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5B615F66" w:rsidR="00F90D86" w:rsidRDefault="00C77468" w:rsidP="00742A37">
            <w:pPr>
              <w:pStyle w:val="covertext"/>
            </w:pPr>
            <w:del w:id="0" w:author="Godfrey, Tim" w:date="2016-09-15T15:22:00Z">
              <w:r w:rsidDel="00742A37">
                <w:delText>May 18</w:delText>
              </w:r>
            </w:del>
            <w:ins w:id="1" w:author="Godfrey, Tim" w:date="2016-09-15T15:22:00Z">
              <w:r w:rsidR="00742A37">
                <w:t>Sept 14</w:t>
              </w:r>
            </w:ins>
            <w:r w:rsidR="00AF42E0">
              <w:t>, 2016</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A832FD8" w14:textId="77777777" w:rsidR="00F90D86" w:rsidRDefault="0060152A" w:rsidP="00F90D86">
            <w:pPr>
              <w:pStyle w:val="covertext"/>
              <w:tabs>
                <w:tab w:val="left" w:pos="1152"/>
              </w:tabs>
              <w:spacing w:before="0" w:after="0"/>
              <w:rPr>
                <w:ins w:id="2" w:author="Godfrey, Tim" w:date="2016-09-12T09:17:00Z"/>
                <w:sz w:val="18"/>
              </w:rPr>
            </w:pPr>
            <w:r w:rsidRPr="00EA698C">
              <w:rPr>
                <w:sz w:val="18"/>
                <w:highlight w:val="yellow"/>
                <w:rPrChange w:id="3" w:author="Godfrey, Tim" w:date="2016-09-12T09:17:00Z">
                  <w:rPr>
                    <w:sz w:val="18"/>
                  </w:rPr>
                </w:rPrChange>
              </w:rPr>
              <w:t>(list contributing authors here)</w:t>
            </w:r>
          </w:p>
          <w:p w14:paraId="23B2D5E7" w14:textId="77777777" w:rsidR="00EA698C" w:rsidRDefault="00EA698C" w:rsidP="00F90D86">
            <w:pPr>
              <w:pStyle w:val="covertext"/>
              <w:tabs>
                <w:tab w:val="left" w:pos="1152"/>
              </w:tabs>
              <w:spacing w:before="0" w:after="0"/>
              <w:rPr>
                <w:ins w:id="4" w:author="Godfrey, Tim" w:date="2016-09-12T09:17:00Z"/>
                <w:sz w:val="18"/>
              </w:rPr>
            </w:pPr>
            <w:ins w:id="5" w:author="Godfrey, Tim" w:date="2016-09-12T09:17:00Z">
              <w:r>
                <w:rPr>
                  <w:sz w:val="18"/>
                </w:rPr>
                <w:t>Kunal Shah</w:t>
              </w:r>
            </w:ins>
          </w:p>
          <w:p w14:paraId="0815E7E2" w14:textId="77777777" w:rsidR="00EA698C" w:rsidRDefault="00EA698C" w:rsidP="00F90D86">
            <w:pPr>
              <w:pStyle w:val="covertext"/>
              <w:tabs>
                <w:tab w:val="left" w:pos="1152"/>
              </w:tabs>
              <w:spacing w:before="0" w:after="0"/>
              <w:rPr>
                <w:ins w:id="6" w:author="Godfrey, Tim" w:date="2016-09-12T09:18:00Z"/>
                <w:sz w:val="18"/>
              </w:rPr>
            </w:pPr>
            <w:ins w:id="7" w:author="Godfrey, Tim" w:date="2016-09-12T09:18:00Z">
              <w:r>
                <w:rPr>
                  <w:sz w:val="18"/>
                </w:rPr>
                <w:t>John Notor</w:t>
              </w:r>
            </w:ins>
          </w:p>
          <w:p w14:paraId="70EA44D5" w14:textId="77777777" w:rsidR="00EA698C" w:rsidRDefault="00EA698C" w:rsidP="00F90D86">
            <w:pPr>
              <w:pStyle w:val="covertext"/>
              <w:tabs>
                <w:tab w:val="left" w:pos="1152"/>
              </w:tabs>
              <w:spacing w:before="0" w:after="0"/>
              <w:rPr>
                <w:ins w:id="8" w:author="Godfrey, Tim" w:date="2016-09-12T09:18:00Z"/>
                <w:sz w:val="18"/>
              </w:rPr>
            </w:pPr>
            <w:ins w:id="9" w:author="Godfrey, Tim" w:date="2016-09-12T09:18:00Z">
              <w:r>
                <w:rPr>
                  <w:sz w:val="18"/>
                </w:rPr>
                <w:t>Tim Godfrey</w:t>
              </w:r>
            </w:ins>
          </w:p>
          <w:p w14:paraId="7DA46AEA" w14:textId="27A69E00" w:rsidR="00EA698C" w:rsidRDefault="00EA698C" w:rsidP="00F90D86">
            <w:pPr>
              <w:pStyle w:val="covertext"/>
              <w:tabs>
                <w:tab w:val="left" w:pos="1152"/>
              </w:tabs>
              <w:spacing w:before="0" w:after="0"/>
              <w:rPr>
                <w:ins w:id="10" w:author="Godfrey, Tim" w:date="2016-09-12T09:19:00Z"/>
                <w:sz w:val="18"/>
              </w:rPr>
            </w:pPr>
            <w:ins w:id="11" w:author="Godfrey, Tim" w:date="2016-09-12T09:18:00Z">
              <w:r>
                <w:rPr>
                  <w:sz w:val="18"/>
                </w:rPr>
                <w:t>Ben Rolfe</w:t>
              </w:r>
            </w:ins>
          </w:p>
          <w:p w14:paraId="3E083DBE" w14:textId="4195C297" w:rsidR="00EA698C" w:rsidRDefault="00EA698C" w:rsidP="00F90D86">
            <w:pPr>
              <w:pStyle w:val="covertext"/>
              <w:tabs>
                <w:tab w:val="left" w:pos="1152"/>
              </w:tabs>
              <w:spacing w:before="0" w:after="0"/>
              <w:rPr>
                <w:ins w:id="12" w:author="Godfrey, Tim" w:date="2016-09-15T15:22:00Z"/>
                <w:sz w:val="18"/>
              </w:rPr>
            </w:pPr>
            <w:ins w:id="13" w:author="Godfrey, Tim" w:date="2016-09-12T09:19:00Z">
              <w:r w:rsidRPr="00EA698C">
                <w:rPr>
                  <w:sz w:val="18"/>
                </w:rPr>
                <w:t>Yongho Seok</w:t>
              </w:r>
            </w:ins>
          </w:p>
          <w:p w14:paraId="29570255" w14:textId="1895F567" w:rsidR="00742A37" w:rsidRDefault="00742A37" w:rsidP="00F90D86">
            <w:pPr>
              <w:pStyle w:val="covertext"/>
              <w:tabs>
                <w:tab w:val="left" w:pos="1152"/>
              </w:tabs>
              <w:spacing w:before="0" w:after="0"/>
              <w:rPr>
                <w:ins w:id="14" w:author="Godfrey, Tim" w:date="2016-09-12T09:18:00Z"/>
                <w:sz w:val="18"/>
              </w:rPr>
            </w:pPr>
            <w:ins w:id="15" w:author="Godfrey, Tim" w:date="2016-09-15T15:23:00Z">
              <w:r>
                <w:rPr>
                  <w:sz w:val="18"/>
                </w:rPr>
                <w:t>Tuncer Baycas</w:t>
              </w:r>
            </w:ins>
          </w:p>
          <w:p w14:paraId="18C9B54A" w14:textId="72533851" w:rsidR="00EA698C" w:rsidRDefault="00EA698C" w:rsidP="00F90D86">
            <w:pPr>
              <w:pStyle w:val="covertext"/>
              <w:tabs>
                <w:tab w:val="left" w:pos="1152"/>
              </w:tabs>
              <w:spacing w:before="0" w:after="0"/>
              <w:rPr>
                <w:sz w:val="18"/>
              </w:rPr>
            </w:pP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24EBAD0" w14:textId="7E3442BB" w:rsidR="00B75BFB" w:rsidRPr="00845B50" w:rsidRDefault="000A48AF" w:rsidP="00533242">
      <w:pPr>
        <w:rPr>
          <w:b/>
        </w:rPr>
      </w:pPr>
      <w:r w:rsidRPr="00845B50">
        <w:rPr>
          <w:b/>
        </w:rPr>
        <w:t>Why Sub 1 G</w:t>
      </w:r>
      <w:r w:rsidR="00533242" w:rsidRPr="00845B50">
        <w:rPr>
          <w:b/>
        </w:rPr>
        <w:t>Hz is of interest for Smart Grid?</w:t>
      </w:r>
    </w:p>
    <w:p w14:paraId="35D99BBA" w14:textId="1EDEBD62" w:rsidR="005508BD" w:rsidRDefault="005D4E8D" w:rsidP="00845B50">
      <w:r>
        <w:t>In many of the deployment environments and scenarios for smart grid devices, the frequencies below 1 GHz provide superior propagation characteristics Compared</w:t>
      </w:r>
      <w:r w:rsidR="005508BD">
        <w:t xml:space="preserve"> to higher frequencies</w:t>
      </w:r>
      <w:r>
        <w:t xml:space="preserve">. For example, using simple </w:t>
      </w:r>
      <w:r w:rsidR="00C77468">
        <w:t>modulation, signals</w:t>
      </w:r>
      <w:r>
        <w:t xml:space="preserve"> at 900MHz will tend to penetrate foliage (trees, shrubs, other plants) more readily compared with 2.4GHz, which is attenuated more by the water contained in plants and animals. Propagation through some building materials too may be improved at lower frequencies.  The effective antenna aperture will be improved at lower frequencies at well (to a point).  Bands in the 400 to 900 MHz frequency range provide good tradeoffs.</w:t>
      </w:r>
    </w:p>
    <w:p w14:paraId="473C2EE3" w14:textId="62141764" w:rsidR="005D4E8D" w:rsidRDefault="005D4E8D" w:rsidP="00845B50">
      <w:r>
        <w:t xml:space="preserve">In most regions of the world, there are license exempt </w:t>
      </w:r>
      <w:r w:rsidR="00C77468">
        <w:t>frequency</w:t>
      </w:r>
      <w:r>
        <w:t xml:space="preserve"> allocations between 800 MHz and 1 GHz, and in many regions allocations in the 400 to 500 MHz frequency ranges as well.  </w:t>
      </w:r>
      <w:r w:rsidR="00C77468">
        <w:t xml:space="preserve">IEEE </w:t>
      </w:r>
      <w:r>
        <w:t>802 standards include operating modes to address these sometimes limited allocations effectively, with simple and low cost implementations.</w:t>
      </w:r>
    </w:p>
    <w:p w14:paraId="75515E51" w14:textId="6F1FC56E" w:rsidR="005508BD" w:rsidRPr="00845B50" w:rsidRDefault="005508BD" w:rsidP="000B5063">
      <w:pPr>
        <w:pStyle w:val="ListParagraph"/>
        <w:numPr>
          <w:ilvl w:val="1"/>
          <w:numId w:val="1"/>
        </w:numPr>
        <w:rPr>
          <w:highlight w:val="yellow"/>
        </w:rPr>
      </w:pPr>
      <w:r w:rsidRPr="00845B50">
        <w:rPr>
          <w:highlight w:val="yellow"/>
        </w:rPr>
        <w:t>Include some example of range calculations comparing 915 MHz to 2.4 GHz</w:t>
      </w:r>
      <w:r w:rsidR="00290810" w:rsidRPr="00845B50">
        <w:rPr>
          <w:highlight w:val="yellow"/>
        </w:rPr>
        <w:t>.</w:t>
      </w:r>
    </w:p>
    <w:p w14:paraId="50366978" w14:textId="386DA7CA" w:rsidR="00533242" w:rsidRDefault="005D21EA" w:rsidP="007A5378">
      <w:r>
        <w:t xml:space="preserve">ISM bands have many </w:t>
      </w:r>
      <w:r w:rsidR="000A48AF">
        <w:t xml:space="preserve">incumbents and </w:t>
      </w:r>
      <w:r w:rsidR="008A4BE5">
        <w:t xml:space="preserve">existing users </w:t>
      </w:r>
      <w:r w:rsidR="000A48AF">
        <w:t>in the band</w:t>
      </w:r>
      <w:r w:rsidR="00533242">
        <w:t>s.</w:t>
      </w:r>
      <w:r w:rsidR="008A4BE5">
        <w:t xml:space="preserve"> The nature of these users d</w:t>
      </w:r>
      <w:r w:rsidR="00533242">
        <w:t xml:space="preserve">epends on </w:t>
      </w:r>
      <w:r w:rsidR="008A4BE5">
        <w:t xml:space="preserve">the </w:t>
      </w:r>
      <w:r w:rsidR="00533242">
        <w:t>regulatory domain. In North America, the 915 MHz band is less congested than the 2.4 GHz band, but it is still used by multiple services and devices.</w:t>
      </w:r>
      <w:r w:rsidR="008A4BE5">
        <w:t xml:space="preserve"> One notable user is the Progeny location service which operates in the 915 MHz ISM band under a license, and thus can transmit with much higher power levels. </w:t>
      </w:r>
    </w:p>
    <w:p w14:paraId="76F2EF3D" w14:textId="3B84E1D1" w:rsidR="00533242" w:rsidRDefault="00533242" w:rsidP="007A5378">
      <w:r>
        <w:t xml:space="preserve">In the TV White Space </w:t>
      </w:r>
      <w:r w:rsidR="008A4BE5">
        <w:t xml:space="preserve">spectrum, the incumbents are TV broadcasters. TVWS operation is only permitted in areas and on channels that are unused. The status of unused is based on conservative rules intended to eliminate any possibility of interference with broadcasters. </w:t>
      </w:r>
      <w:r>
        <w:t xml:space="preserve">In many large metropolitan areas, there are no available channels. In rural areas there are many. After the FCC </w:t>
      </w:r>
      <w:r w:rsidR="008A4BE5">
        <w:t xml:space="preserve">auctions much of the </w:t>
      </w:r>
      <w:r>
        <w:t xml:space="preserve">600 MHz band, there will be even less availability of TV White Space channels. </w:t>
      </w:r>
    </w:p>
    <w:p w14:paraId="16D73324" w14:textId="77777777" w:rsidR="00C06FDA" w:rsidRPr="007A5378" w:rsidRDefault="00C06FDA" w:rsidP="00845B50">
      <w:pPr>
        <w:keepNext/>
        <w:keepLines/>
        <w:rPr>
          <w:b/>
        </w:rPr>
      </w:pPr>
      <w:r w:rsidRPr="007A5378">
        <w:rPr>
          <w:b/>
        </w:rPr>
        <w:lastRenderedPageBreak/>
        <w:t>Standards for regional sub-GHz channel plans</w:t>
      </w:r>
    </w:p>
    <w:p w14:paraId="0D5FA9AD" w14:textId="77777777" w:rsidR="00AF42E0" w:rsidRDefault="00AF42E0" w:rsidP="00845B50">
      <w:pPr>
        <w:keepNext/>
        <w:keepLines/>
      </w:pPr>
      <w:r>
        <w:t xml:space="preserve">The figure below summarizes 802 wireless standards with channel plans specifying operation below 1 GHz.  </w:t>
      </w:r>
    </w:p>
    <w:p w14:paraId="29FD18A8" w14:textId="77777777" w:rsidR="00AF42E0" w:rsidRDefault="00AF42E0" w:rsidP="00AF42E0">
      <w:r>
        <w:object w:dxaOrig="16093" w:dyaOrig="9217" w14:anchorId="589FE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9.25pt" o:ole="">
            <v:imagedata r:id="rId8" o:title=""/>
          </v:shape>
          <o:OLEObject Type="Embed" ProgID="Visio.Drawing.15" ShapeID="_x0000_i1025" DrawAspect="Content" ObjectID="_1535458197" r:id="rId9"/>
        </w:object>
      </w:r>
    </w:p>
    <w:p w14:paraId="7BED45E9" w14:textId="77777777" w:rsidR="00AF42E0" w:rsidRDefault="00AF42E0"/>
    <w:p w14:paraId="186C0F8B" w14:textId="049D125A" w:rsidR="00B271FE" w:rsidRPr="00845B50" w:rsidRDefault="00C06FDA" w:rsidP="00B271FE">
      <w:pPr>
        <w:tabs>
          <w:tab w:val="left" w:pos="2595"/>
        </w:tabs>
        <w:ind w:firstLine="720"/>
        <w:rPr>
          <w:b/>
        </w:rPr>
      </w:pPr>
      <w:r w:rsidRPr="00845B50">
        <w:rPr>
          <w:b/>
        </w:rPr>
        <w:t>802.15.4g (SUN)</w:t>
      </w:r>
      <w:r w:rsidR="00D77FA1" w:rsidRPr="00845B50">
        <w:rPr>
          <w:b/>
        </w:rPr>
        <w:tab/>
        <w:t xml:space="preserve"> </w:t>
      </w:r>
    </w:p>
    <w:p w14:paraId="5CF77D43" w14:textId="32B0DFC4" w:rsidR="00B271FE" w:rsidRPr="00F2015F" w:rsidRDefault="00DE762B" w:rsidP="007A5378">
      <w:pPr>
        <w:ind w:left="72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7A5378">
      <w:pPr>
        <w:ind w:left="720"/>
      </w:pPr>
      <w:r>
        <w:t>The amendment includes t</w:t>
      </w:r>
      <w:r w:rsidRPr="00F2015F">
        <w:t>hree different PHY options</w:t>
      </w:r>
      <w:r>
        <w:t>:</w:t>
      </w:r>
    </w:p>
    <w:p w14:paraId="551DDE1C" w14:textId="77777777" w:rsidR="00B271FE" w:rsidRPr="00F2015F" w:rsidRDefault="00B271FE" w:rsidP="007A5378">
      <w:pPr>
        <w:pStyle w:val="ListParagraph"/>
        <w:numPr>
          <w:ilvl w:val="0"/>
          <w:numId w:val="3"/>
        </w:numPr>
        <w:ind w:left="1440"/>
      </w:pPr>
      <w:r w:rsidRPr="00F2015F">
        <w:t>FSK PHY based on legacy AMI systems (part of which used by Wi-SUN)</w:t>
      </w:r>
    </w:p>
    <w:p w14:paraId="75DEB455" w14:textId="77777777" w:rsidR="00B271FE" w:rsidRPr="00F2015F" w:rsidRDefault="00B271FE" w:rsidP="007A5378">
      <w:pPr>
        <w:pStyle w:val="ListParagraph"/>
        <w:numPr>
          <w:ilvl w:val="0"/>
          <w:numId w:val="3"/>
        </w:numPr>
        <w:ind w:left="1440"/>
      </w:pPr>
      <w:r w:rsidRPr="00F2015F">
        <w:t>Extension of the legacy 802.15.4 DSSS PHY</w:t>
      </w:r>
    </w:p>
    <w:p w14:paraId="7BB90AC0" w14:textId="7F888D3C" w:rsidR="00B271FE" w:rsidRPr="00F2015F" w:rsidRDefault="006755EE" w:rsidP="007A5378">
      <w:pPr>
        <w:pStyle w:val="ListParagraph"/>
        <w:numPr>
          <w:ilvl w:val="0"/>
          <w:numId w:val="3"/>
        </w:numPr>
        <w:ind w:left="1440"/>
      </w:pPr>
      <w:r>
        <w:t>OFDM PHY for higher data rates</w:t>
      </w:r>
      <w:r w:rsidR="00DE762B">
        <w:t xml:space="preserve"> (50 to 800 </w:t>
      </w:r>
      <w:r w:rsidR="007E3108">
        <w:t>k</w:t>
      </w:r>
      <w:r w:rsidR="00DE762B">
        <w:t>bps)</w:t>
      </w:r>
    </w:p>
    <w:p w14:paraId="04DE5AEB" w14:textId="458028F3" w:rsidR="00B271FE" w:rsidRDefault="00B271FE" w:rsidP="007A5378">
      <w:pPr>
        <w:ind w:left="72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IoT applications. Conforming 802.15.4g based implementations are available from a large number of vendors, and has proven to 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etworks.  The p</w:t>
      </w:r>
      <w:r w:rsidRPr="00F2015F">
        <w:t xml:space="preserve">roven technology standard </w:t>
      </w:r>
      <w:r w:rsidRPr="00F2015F">
        <w:lastRenderedPageBreak/>
        <w:t>enables interoperable produ</w:t>
      </w:r>
      <w:r>
        <w:t xml:space="preserve">cts and addresses global market and has been adopted in many regions and markets. </w:t>
      </w:r>
    </w:p>
    <w:p w14:paraId="3A663659" w14:textId="2877A094" w:rsidR="00B271FE" w:rsidRDefault="00B271FE" w:rsidP="007A5378">
      <w:pPr>
        <w:ind w:left="720"/>
      </w:pPr>
      <w:r>
        <w:t xml:space="preserve">The standard defines operation in </w:t>
      </w:r>
      <w:r w:rsidRPr="00D11E28">
        <w:t>license exempt and licensed bands in US/Canada/EU/Japan/China/AU</w:t>
      </w:r>
      <w:r>
        <w:t xml:space="preserve"> and other regions.  Each PHY define multiple data rates to </w:t>
      </w:r>
      <w:bookmarkStart w:id="16" w:name="_GoBack"/>
      <w:bookmarkEnd w:id="16"/>
      <w:r>
        <w:t xml:space="preserve">provide adaptability to the deployment environment. </w:t>
      </w:r>
    </w:p>
    <w:p w14:paraId="7BDA6827" w14:textId="0EF0890B" w:rsidR="00C06FDA" w:rsidRPr="00845B50" w:rsidRDefault="00B271FE" w:rsidP="00B271FE">
      <w:pPr>
        <w:tabs>
          <w:tab w:val="left" w:pos="2595"/>
        </w:tabs>
        <w:ind w:firstLine="720"/>
        <w:rPr>
          <w:b/>
          <w:lang w:eastAsia="ko-KR"/>
        </w:rPr>
      </w:pPr>
      <w:r w:rsidRPr="00845B50">
        <w:rPr>
          <w:b/>
        </w:rPr>
        <w:t>8</w:t>
      </w:r>
      <w:r w:rsidR="00C06FDA" w:rsidRPr="00845B50">
        <w:rPr>
          <w:b/>
        </w:rPr>
        <w:t>02.11ah (S1G)</w:t>
      </w:r>
    </w:p>
    <w:p w14:paraId="5525E5D5" w14:textId="77777777" w:rsidR="00C4176B" w:rsidRDefault="00BE4585" w:rsidP="007A5378">
      <w:pPr>
        <w:ind w:left="720"/>
        <w:rPr>
          <w:lang w:eastAsia="ko-KR"/>
        </w:rPr>
      </w:pPr>
      <w:r>
        <w:t>IEEE 802.1</w:t>
      </w:r>
      <w:r>
        <w:rPr>
          <w:rFonts w:hint="eastAsia"/>
          <w:lang w:eastAsia="ko-KR"/>
        </w:rPr>
        <w:t>1ah</w:t>
      </w:r>
      <w:r w:rsidR="00D57444">
        <w:t xml:space="preserve"> </w:t>
      </w:r>
      <w:r w:rsidR="00D57444">
        <w:rPr>
          <w:rFonts w:hint="eastAsia"/>
          <w:lang w:eastAsia="ko-KR"/>
        </w:rPr>
        <w:t>is a MAC/PHY amendment of the 802.11 standard</w:t>
      </w:r>
      <w:r w:rsidR="00B01853">
        <w:rPr>
          <w:rFonts w:hint="eastAsia"/>
          <w:lang w:eastAsia="ko-KR"/>
        </w:rPr>
        <w:t xml:space="preserve"> for p</w:t>
      </w:r>
      <w:r w:rsidR="00B01853">
        <w:rPr>
          <w:lang w:eastAsia="ko-KR"/>
        </w:rPr>
        <w:t xml:space="preserve">otential </w:t>
      </w:r>
      <w:r w:rsidR="00B01853">
        <w:rPr>
          <w:rFonts w:hint="eastAsia"/>
          <w:lang w:eastAsia="ko-KR"/>
        </w:rPr>
        <w:t>a</w:t>
      </w:r>
      <w:r w:rsidR="00B01853">
        <w:rPr>
          <w:lang w:eastAsia="ko-KR"/>
        </w:rPr>
        <w:t>pplications</w:t>
      </w:r>
      <w:r w:rsidR="00B01853">
        <w:rPr>
          <w:rFonts w:hint="eastAsia"/>
          <w:lang w:eastAsia="ko-KR"/>
        </w:rPr>
        <w:t xml:space="preserve"> such as </w:t>
      </w:r>
      <w:r w:rsidR="00B01853">
        <w:rPr>
          <w:lang w:eastAsia="ko-KR"/>
        </w:rPr>
        <w:t>Internet of everything (IoT)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p>
    <w:p w14:paraId="7E5606C9" w14:textId="77777777" w:rsidR="00C4176B" w:rsidRDefault="00D57444" w:rsidP="007A5378">
      <w:pPr>
        <w:ind w:left="720"/>
        <w:rPr>
          <w:lang w:eastAsia="ko-KR"/>
        </w:rPr>
      </w:pPr>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r w:rsidR="00E174C9">
        <w:rPr>
          <w:rFonts w:hint="eastAsia"/>
          <w:lang w:eastAsia="ko-KR"/>
        </w:rPr>
        <w:t>e</w:t>
      </w:r>
      <w:r w:rsidR="00E174C9">
        <w:rPr>
          <w:lang w:eastAsia="ko-KR"/>
        </w:rPr>
        <w:t>xtended range</w:t>
      </w:r>
      <w:r w:rsidR="00E174C9">
        <w:rPr>
          <w:rFonts w:hint="eastAsia"/>
          <w:lang w:eastAsia="ko-KR"/>
        </w:rPr>
        <w:t xml:space="preserve"> (up to 1 km), higher p</w:t>
      </w:r>
      <w:r w:rsidR="00E174C9">
        <w:rPr>
          <w:lang w:eastAsia="ko-KR"/>
        </w:rPr>
        <w:t>ower efficiency</w:t>
      </w:r>
      <w:r w:rsidR="00E174C9">
        <w:rPr>
          <w:rFonts w:hint="eastAsia"/>
          <w:lang w:eastAsia="ko-KR"/>
        </w:rPr>
        <w:t>, l</w:t>
      </w:r>
      <w:r w:rsidR="00E174C9">
        <w:rPr>
          <w:lang w:eastAsia="ko-KR"/>
        </w:rPr>
        <w:t>arge number of devices</w:t>
      </w:r>
      <w:r>
        <w:rPr>
          <w:rFonts w:hint="eastAsia"/>
          <w:lang w:eastAsia="ko-KR"/>
        </w:rPr>
        <w:t xml:space="preserve">. </w:t>
      </w:r>
    </w:p>
    <w:p w14:paraId="0C7AD176" w14:textId="454F559D" w:rsidR="00E174C9" w:rsidRDefault="00D57444" w:rsidP="007A5378">
      <w:pPr>
        <w:ind w:left="720"/>
        <w:rPr>
          <w:lang w:eastAsia="ko-KR"/>
        </w:rPr>
      </w:pPr>
      <w:r>
        <w:rPr>
          <w:lang w:eastAsia="ko-KR"/>
        </w:rPr>
        <w:t>The data rates defined in this amendment optimize the rate vs range performance of the specific channelization in a given band.</w:t>
      </w:r>
      <w:r w:rsidR="00B01853">
        <w:rPr>
          <w:rFonts w:hint="eastAsia"/>
          <w:lang w:eastAsia="ko-KR"/>
        </w:rPr>
        <w:t xml:space="preserve"> (see the below figure) </w:t>
      </w:r>
      <w:r>
        <w:rPr>
          <w:rFonts w:hint="eastAsia"/>
          <w:lang w:eastAsia="ko-KR"/>
        </w:rPr>
        <w:t xml:space="preserve"> </w:t>
      </w:r>
    </w:p>
    <w:p w14:paraId="76E77EE9" w14:textId="1C54EF9C" w:rsidR="00E174C9" w:rsidRDefault="00E174C9" w:rsidP="00845B50">
      <w:pPr>
        <w:ind w:left="1440"/>
        <w:jc w:val="center"/>
        <w:rPr>
          <w:lang w:eastAsia="ko-KR"/>
        </w:rPr>
      </w:pPr>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4400" cy="3207600"/>
                    </a:xfrm>
                    <a:prstGeom prst="rect">
                      <a:avLst/>
                    </a:prstGeom>
                  </pic:spPr>
                </pic:pic>
              </a:graphicData>
            </a:graphic>
          </wp:inline>
        </w:drawing>
      </w:r>
    </w:p>
    <w:p w14:paraId="35F14761" w14:textId="05941D8A" w:rsidR="00E174C9" w:rsidRDefault="00E174C9" w:rsidP="007A5378">
      <w:pPr>
        <w:ind w:left="720"/>
        <w:rPr>
          <w:lang w:eastAsia="ko-KR"/>
        </w:rPr>
      </w:pPr>
      <w:r>
        <w:rPr>
          <w:lang w:eastAsia="ko-KR"/>
        </w:rPr>
        <w:t>PHY</w:t>
      </w:r>
      <w:r>
        <w:rPr>
          <w:rFonts w:hint="eastAsia"/>
          <w:lang w:eastAsia="ko-KR"/>
        </w:rPr>
        <w:t xml:space="preserve"> features </w:t>
      </w:r>
      <w:r w:rsidR="00B01853">
        <w:rPr>
          <w:rFonts w:hint="eastAsia"/>
          <w:lang w:eastAsia="ko-KR"/>
        </w:rPr>
        <w:t xml:space="preserve">of IEEE 802.11ah </w:t>
      </w:r>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r>
        <w:rPr>
          <w:rFonts w:hint="eastAsia"/>
          <w:lang w:eastAsia="ko-KR"/>
        </w:rPr>
        <w:br/>
        <w:t xml:space="preserve">- </w:t>
      </w:r>
      <w:r>
        <w:rPr>
          <w:lang w:eastAsia="ko-KR"/>
        </w:rPr>
        <w:t>New reliable MCS working with larger delay spread and Doppler for outdoor</w:t>
      </w:r>
      <w:r>
        <w:rPr>
          <w:rFonts w:hint="eastAsia"/>
          <w:lang w:eastAsia="ko-KR"/>
        </w:rPr>
        <w:br/>
        <w:t xml:space="preserve">- </w:t>
      </w:r>
      <w:r>
        <w:rPr>
          <w:lang w:eastAsia="ko-KR"/>
        </w:rPr>
        <w:t>Diverse data rates:150Kbps-347Mbps</w:t>
      </w:r>
      <w:r>
        <w:rPr>
          <w:rFonts w:hint="eastAsia"/>
          <w:lang w:eastAsia="ko-KR"/>
        </w:rPr>
        <w:br/>
        <w:t xml:space="preserve">- </w:t>
      </w:r>
      <w:r>
        <w:rPr>
          <w:lang w:eastAsia="ko-KR"/>
        </w:rPr>
        <w:t>Range &gt;1 km</w:t>
      </w:r>
    </w:p>
    <w:p w14:paraId="29FC99C5" w14:textId="21F381E6" w:rsidR="00E174C9" w:rsidRDefault="00E174C9" w:rsidP="007A5378">
      <w:pPr>
        <w:ind w:left="720"/>
        <w:rPr>
          <w:lang w:eastAsia="ko-KR"/>
        </w:rPr>
      </w:pPr>
      <w:r>
        <w:rPr>
          <w:lang w:eastAsia="ko-KR"/>
        </w:rPr>
        <w:lastRenderedPageBreak/>
        <w:t>MAC</w:t>
      </w:r>
      <w:r w:rsidR="00B01853">
        <w:rPr>
          <w:rFonts w:hint="eastAsia"/>
          <w:lang w:eastAsia="ko-KR"/>
        </w:rPr>
        <w:t xml:space="preserve"> features of IEEE 802.11ah are </w:t>
      </w:r>
      <w:r w:rsidR="00B01853">
        <w:rPr>
          <w:lang w:eastAsia="ko-KR"/>
        </w:rPr>
        <w:t>summarized</w:t>
      </w:r>
      <w:r w:rsidR="00B01853">
        <w:rPr>
          <w:rFonts w:hint="eastAsia"/>
          <w:lang w:eastAsia="ko-KR"/>
        </w:rPr>
        <w:t xml:space="preserve"> as the following: </w:t>
      </w:r>
      <w:r w:rsidR="00B01853">
        <w:rPr>
          <w:rFonts w:hint="eastAsia"/>
          <w:lang w:eastAsia="ko-KR"/>
        </w:rPr>
        <w:br/>
        <w:t xml:space="preserve">- </w:t>
      </w:r>
      <w:r>
        <w:rPr>
          <w:lang w:eastAsia="ko-KR"/>
        </w:rPr>
        <w:t>Scalability up to 8191 devices per AP</w:t>
      </w:r>
      <w:r w:rsidR="00B01853">
        <w:rPr>
          <w:rFonts w:hint="eastAsia"/>
          <w:lang w:eastAsia="ko-KR"/>
        </w:rPr>
        <w:t xml:space="preserve"> (</w:t>
      </w:r>
      <w:r>
        <w:rPr>
          <w:lang w:eastAsia="ko-KR"/>
        </w:rPr>
        <w:t>Hierarchical TIM structure</w:t>
      </w:r>
      <w:r w:rsidR="00B01853">
        <w:rPr>
          <w:rFonts w:hint="eastAsia"/>
          <w:lang w:eastAsia="ko-KR"/>
        </w:rPr>
        <w:t>)</w:t>
      </w:r>
      <w:r w:rsidR="00B01853">
        <w:rPr>
          <w:rFonts w:hint="eastAsia"/>
          <w:lang w:eastAsia="ko-KR"/>
        </w:rPr>
        <w:br/>
        <w:t xml:space="preserve">- </w:t>
      </w:r>
      <w:r>
        <w:rPr>
          <w:lang w:eastAsia="ko-KR"/>
        </w:rPr>
        <w:t>Efficient frames and transmissions</w:t>
      </w:r>
      <w:r w:rsidR="00B01853">
        <w:rPr>
          <w:rFonts w:hint="eastAsia"/>
          <w:lang w:eastAsia="ko-KR"/>
        </w:rPr>
        <w:t xml:space="preserve"> (</w:t>
      </w:r>
      <w:r>
        <w:rPr>
          <w:lang w:eastAsia="ko-KR"/>
        </w:rPr>
        <w:t>Short frame format</w:t>
      </w:r>
      <w:r w:rsidR="00B01853">
        <w:rPr>
          <w:rFonts w:hint="eastAsia"/>
          <w:lang w:eastAsia="ko-KR"/>
        </w:rPr>
        <w:t xml:space="preserve">, </w:t>
      </w:r>
      <w:r w:rsidR="00B01853">
        <w:rPr>
          <w:lang w:eastAsia="ko-KR"/>
        </w:rPr>
        <w:t>Short control/mgmt. frames</w:t>
      </w:r>
      <w:r w:rsidR="00BB268F">
        <w:rPr>
          <w:rFonts w:hint="eastAsia"/>
          <w:lang w:eastAsia="ko-KR"/>
        </w:rPr>
        <w:t>)</w:t>
      </w:r>
      <w:r w:rsidR="00BB268F">
        <w:rPr>
          <w:lang w:eastAsia="ko-KR"/>
        </w:rPr>
        <w:br/>
      </w:r>
      <w:r w:rsidR="00B01853">
        <w:rPr>
          <w:rFonts w:hint="eastAsia"/>
          <w:lang w:eastAsia="ko-KR"/>
        </w:rPr>
        <w:t xml:space="preserve">- </w:t>
      </w:r>
      <w:r>
        <w:rPr>
          <w:lang w:eastAsia="ko-KR"/>
        </w:rPr>
        <w:t>Reducing power consumption</w:t>
      </w:r>
      <w:r w:rsidR="00B01853">
        <w:rPr>
          <w:rFonts w:hint="eastAsia"/>
          <w:lang w:eastAsia="ko-KR"/>
        </w:rPr>
        <w:t xml:space="preserve"> (</w:t>
      </w:r>
      <w:r w:rsidR="00B01853">
        <w:rPr>
          <w:lang w:eastAsia="ko-KR"/>
        </w:rPr>
        <w:t>Non-TIM operation</w:t>
      </w:r>
      <w:r w:rsidR="00B01853">
        <w:rPr>
          <w:rFonts w:hint="eastAsia"/>
          <w:lang w:eastAsia="ko-KR"/>
        </w:rPr>
        <w:t xml:space="preserve">, </w:t>
      </w:r>
      <w:r w:rsidR="00B01853">
        <w:rPr>
          <w:lang w:eastAsia="ko-KR"/>
        </w:rPr>
        <w:t>Target Wake Time mechanism</w:t>
      </w:r>
      <w:r w:rsidR="00BB268F">
        <w:rPr>
          <w:rFonts w:hint="eastAsia"/>
          <w:lang w:eastAsia="ko-KR"/>
        </w:rPr>
        <w:t>)</w:t>
      </w:r>
      <w:r w:rsidR="00B01853">
        <w:rPr>
          <w:rFonts w:hint="eastAsia"/>
          <w:lang w:eastAsia="ko-KR"/>
        </w:rPr>
        <w:t xml:space="preserve"> </w:t>
      </w:r>
      <w:r w:rsidR="00B01853">
        <w:rPr>
          <w:rFonts w:hint="eastAsia"/>
          <w:lang w:eastAsia="ko-KR"/>
        </w:rPr>
        <w:br/>
        <w:t xml:space="preserve">- </w:t>
      </w:r>
      <w:r>
        <w:rPr>
          <w:lang w:eastAsia="ko-KR"/>
        </w:rPr>
        <w:t>Relay Operation</w:t>
      </w:r>
    </w:p>
    <w:p w14:paraId="7E7D29C5" w14:textId="73D7DFFF" w:rsidR="00274314" w:rsidRPr="00BE4585" w:rsidRDefault="00BB268F" w:rsidP="007A5378">
      <w:pPr>
        <w:ind w:left="720"/>
        <w:rPr>
          <w:lang w:eastAsia="ko-KR"/>
        </w:rPr>
      </w:pPr>
      <w:r>
        <w:rPr>
          <w:rFonts w:hint="eastAsia"/>
          <w:lang w:eastAsia="ko-KR"/>
        </w:rPr>
        <w:t xml:space="preserve">Since having started a </w:t>
      </w:r>
      <w:r>
        <w:rPr>
          <w:lang w:eastAsia="ko-KR"/>
        </w:rPr>
        <w:t>standardization</w:t>
      </w:r>
      <w:r>
        <w:rPr>
          <w:rFonts w:hint="eastAsia"/>
          <w:lang w:eastAsia="ko-KR"/>
        </w:rPr>
        <w:t xml:space="preserve"> activity from </w:t>
      </w:r>
      <w:r w:rsidR="00C4176B">
        <w:rPr>
          <w:rFonts w:hint="eastAsia"/>
          <w:lang w:eastAsia="ko-KR"/>
        </w:rPr>
        <w:t xml:space="preserve">November 2010, currently IEEE 802.11ah </w:t>
      </w:r>
      <w:r w:rsidR="00C4176B">
        <w:rPr>
          <w:lang w:eastAsia="ko-KR"/>
        </w:rPr>
        <w:t>amendment</w:t>
      </w:r>
      <w:r w:rsidR="00C4176B">
        <w:rPr>
          <w:rFonts w:hint="eastAsia"/>
          <w:lang w:eastAsia="ko-KR"/>
        </w:rPr>
        <w:t xml:space="preserve"> is in a phase of sponsor ballot. </w:t>
      </w:r>
      <w:r w:rsidR="006B11C5">
        <w:rPr>
          <w:lang w:eastAsia="ko-KR"/>
        </w:rPr>
        <w:t xml:space="preserve">The </w:t>
      </w:r>
      <w:r w:rsidR="00C4176B">
        <w:rPr>
          <w:rFonts w:hint="eastAsia"/>
          <w:lang w:eastAsia="ko-KR"/>
        </w:rPr>
        <w:t xml:space="preserve">expected publication date of IEEE 802.11ah </w:t>
      </w:r>
      <w:r w:rsidR="00C4176B">
        <w:rPr>
          <w:lang w:eastAsia="ko-KR"/>
        </w:rPr>
        <w:t>amendment</w:t>
      </w:r>
      <w:r w:rsidR="00C4176B">
        <w:rPr>
          <w:rFonts w:hint="eastAsia"/>
          <w:lang w:eastAsia="ko-KR"/>
        </w:rPr>
        <w:t xml:space="preserve"> is July 2016. </w:t>
      </w:r>
    </w:p>
    <w:p w14:paraId="04DA9B6E" w14:textId="77777777" w:rsidR="00C06FDA" w:rsidRDefault="00C06FDA" w:rsidP="00C06FDA">
      <w:pPr>
        <w:rPr>
          <w:b/>
        </w:rPr>
      </w:pPr>
      <w:r w:rsidRPr="00845B50">
        <w:rPr>
          <w:b/>
        </w:rPr>
        <w:t>Standards for TV White Space</w:t>
      </w:r>
    </w:p>
    <w:p w14:paraId="10DAD164" w14:textId="4EEC1F93" w:rsidR="0069426E" w:rsidRPr="0069426E" w:rsidRDefault="0069426E" w:rsidP="007A5378">
      <w:pPr>
        <w:ind w:left="720"/>
      </w:pPr>
      <w:r>
        <w:t>Although TVWS standards have been available for several years, there has not been widespread commercialization and deployment. This may be partially due to the uncertainty around the outcome auction</w:t>
      </w:r>
      <w:r w:rsidR="00845B50">
        <w:t>ing</w:t>
      </w:r>
      <w:r>
        <w:t xml:space="preserve"> of 600 MHz spectrum by the FCC. The reduction of available channels will significantly curtail availably of vacant TV channels in metropolitan areas. Another aspect is the lack of maturity of database services that these IEEE 802 TVWS standards depend on for operation. </w:t>
      </w:r>
    </w:p>
    <w:p w14:paraId="518976CB" w14:textId="77777777" w:rsidR="00C06FDA" w:rsidRPr="00845B50" w:rsidRDefault="00C06FDA" w:rsidP="00C06FDA">
      <w:pPr>
        <w:rPr>
          <w:b/>
        </w:rPr>
      </w:pPr>
      <w:r w:rsidRPr="00845B50">
        <w:rPr>
          <w:b/>
        </w:rPr>
        <w:tab/>
        <w:t>802.15.4m (TVWS)</w:t>
      </w:r>
    </w:p>
    <w:p w14:paraId="2E519033" w14:textId="77777777" w:rsidR="00B75BFB" w:rsidRDefault="00B75BFB" w:rsidP="007A5378">
      <w:pPr>
        <w:ind w:left="720"/>
        <w:rPr>
          <w:lang w:eastAsia="ja-JP"/>
        </w:rPr>
      </w:pPr>
      <w:r w:rsidRPr="00A33115">
        <w:rPr>
          <w:lang w:eastAsia="ja-JP"/>
        </w:rPr>
        <w:t>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kbits per second to 2000 kbits per second range, to realize optimal and power efficient device command and control applications.</w:t>
      </w:r>
    </w:p>
    <w:p w14:paraId="7DA9CB36" w14:textId="77777777" w:rsidR="00B75BFB" w:rsidRPr="00A33115" w:rsidRDefault="00B75BFB" w:rsidP="007A5378">
      <w:pPr>
        <w:spacing w:after="200" w:line="276" w:lineRule="auto"/>
        <w:ind w:left="720"/>
      </w:pPr>
      <w:r w:rsidRPr="00A33115">
        <w:t>The alternate PHYs support principally outdoor, low-data-rate, wireless, TV white space (TVWS) network applications. The TVWS PHYs are as follows:</w:t>
      </w:r>
    </w:p>
    <w:p w14:paraId="75E5CB0E" w14:textId="53842E6E" w:rsidR="00B75BFB" w:rsidRPr="00A33115" w:rsidRDefault="00B75BFB" w:rsidP="007A5378">
      <w:pPr>
        <w:pStyle w:val="ListParagraph"/>
        <w:numPr>
          <w:ilvl w:val="0"/>
          <w:numId w:val="7"/>
        </w:numPr>
        <w:spacing w:after="200" w:line="276" w:lineRule="auto"/>
      </w:pPr>
      <w:r w:rsidRPr="00A33115">
        <w:t xml:space="preserve">Frequency Shift Keying (TVWS-FSK) PHY </w:t>
      </w:r>
    </w:p>
    <w:p w14:paraId="0BABBC6B" w14:textId="10F61E9C" w:rsidR="00B75BFB" w:rsidRPr="00A33115" w:rsidRDefault="00B75BFB" w:rsidP="007A5378">
      <w:pPr>
        <w:pStyle w:val="ListParagraph"/>
        <w:numPr>
          <w:ilvl w:val="0"/>
          <w:numId w:val="7"/>
        </w:numPr>
        <w:spacing w:after="200" w:line="276" w:lineRule="auto"/>
      </w:pPr>
      <w:r w:rsidRPr="00A33115">
        <w:t>Orthogonal Frequency Division Multiplexing (TVWS-OFDM) PHY</w:t>
      </w:r>
    </w:p>
    <w:p w14:paraId="566810BD" w14:textId="4D0108AF" w:rsidR="00B75BFB" w:rsidRPr="00A33115" w:rsidRDefault="00B75BFB" w:rsidP="007A5378">
      <w:pPr>
        <w:pStyle w:val="ListParagraph"/>
        <w:numPr>
          <w:ilvl w:val="0"/>
          <w:numId w:val="7"/>
        </w:numPr>
        <w:spacing w:after="200" w:line="276" w:lineRule="auto"/>
      </w:pPr>
      <w:r w:rsidRPr="00A33115">
        <w:t>Narrow Band Orthogonal Frequency Division Multiplexing (TVWS-NB-OFDM) PHY</w:t>
      </w:r>
    </w:p>
    <w:p w14:paraId="71570184" w14:textId="77777777" w:rsidR="00B75BFB" w:rsidRPr="00A33115" w:rsidRDefault="00B75BFB" w:rsidP="007A5378">
      <w:pPr>
        <w:spacing w:after="200" w:line="276" w:lineRule="auto"/>
        <w:ind w:left="720"/>
      </w:pPr>
      <w:r w:rsidRPr="00A33115">
        <w:t>802.15.4m TVWS devices are expected to operate indoors and outdoors at frequencies from 54 to 862 MHz.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3BB6FC63" w:rsidR="00B75BFB" w:rsidRPr="00A33115" w:rsidRDefault="00B75BFB" w:rsidP="007A5378">
      <w:pPr>
        <w:spacing w:after="200" w:line="276" w:lineRule="auto"/>
        <w:ind w:left="720"/>
      </w:pPr>
      <w:r w:rsidRPr="00A33115">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w:t>
      </w:r>
      <w:r w:rsidRPr="00A33115">
        <w:lastRenderedPageBreak/>
        <w:t xml:space="preserve">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rsidP="007A5378">
      <w:pPr>
        <w:spacing w:after="200" w:line="276" w:lineRule="auto"/>
        <w:ind w:left="720"/>
      </w:pPr>
      <w:r w:rsidRPr="00A33115">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14:paraId="219F2D8E" w14:textId="04751106" w:rsidR="00C06FDA" w:rsidRPr="00845B50" w:rsidRDefault="00B75BFB" w:rsidP="00C06FDA">
      <w:pPr>
        <w:rPr>
          <w:b/>
        </w:rPr>
      </w:pPr>
      <w:r w:rsidRPr="00A33115">
        <w:rPr>
          <w:rFonts w:ascii="Arial" w:eastAsia="Malgun Gothic" w:hAnsi="Arial" w:cs="Arial"/>
          <w:lang w:eastAsia="ko-KR"/>
        </w:rPr>
        <w:t xml:space="preserve"> </w:t>
      </w:r>
      <w:r w:rsidR="00C06FDA">
        <w:tab/>
      </w:r>
      <w:r w:rsidR="00C06FDA" w:rsidRPr="00845B50">
        <w:rPr>
          <w:b/>
        </w:rPr>
        <w:t>802.11af (TVHT)</w:t>
      </w:r>
    </w:p>
    <w:p w14:paraId="4B293F16" w14:textId="0400F3C2" w:rsidR="0069426E" w:rsidRDefault="0069426E" w:rsidP="007A5378">
      <w:pPr>
        <w:ind w:left="720"/>
      </w:pPr>
      <w:r w:rsidRPr="0069426E">
        <w:t xml:space="preserve">With the global transition to Digital TV (DTV), sub-Gigahertz RF spectrum is becoming available, much of it for unlicensed, license exempt and/or lightly licensed use. </w:t>
      </w:r>
      <w:r>
        <w:t xml:space="preserve">802.11af made </w:t>
      </w:r>
      <w:r w:rsidRPr="0069426E">
        <w:t>the necessary MAC and PHY changes to enable 802.11 products to take advantage of this additional spectrum.  In the US, this represents a reco</w:t>
      </w:r>
      <w:r>
        <w:t xml:space="preserve">nsideration of FCC regulations </w:t>
      </w:r>
      <w:r w:rsidRPr="0069426E">
        <w:t xml:space="preserve">- the November 2008 FCC Part 15 Subpart H Television Band Devices rules; Ofcom (UK) is in the process of making this Digital Dividend band available, and the EU has conducted a consultation on the TV band. Other regulatory domains are expected to follow. The project will adapt to changes in the regulations, as they progress. It is in the best interest of users and the industry to strive for a level of coexistence between wireless systems in the TVWS bands.  </w:t>
      </w:r>
      <w:r>
        <w:t xml:space="preserve">IEEE 802.11af </w:t>
      </w:r>
      <w:r w:rsidRPr="0069426E">
        <w:t xml:space="preserve">provides mechanisms for coexistence with other systems.  One approach is a common coexistence mechanism </w:t>
      </w:r>
      <w:r>
        <w:t xml:space="preserve">(IEEE 802.19.1) </w:t>
      </w:r>
      <w:r w:rsidRPr="0069426E">
        <w:t>that may be used by other TVWS systems; other approaches are also possible.</w:t>
      </w:r>
    </w:p>
    <w:p w14:paraId="3B9564EF" w14:textId="74F759A9" w:rsidR="00A71417" w:rsidRPr="00845B50" w:rsidRDefault="00C06FDA" w:rsidP="00C06FDA">
      <w:pPr>
        <w:rPr>
          <w:b/>
        </w:rPr>
      </w:pPr>
      <w:r w:rsidRPr="00845B50">
        <w:rPr>
          <w:b/>
        </w:rPr>
        <w:tab/>
        <w:t>802.22</w:t>
      </w:r>
      <w:r w:rsidR="00274314" w:rsidRPr="00845B50">
        <w:rPr>
          <w:b/>
        </w:rPr>
        <w:t xml:space="preserve"> </w:t>
      </w:r>
    </w:p>
    <w:p w14:paraId="3B09DD0E" w14:textId="7481E6AF" w:rsidR="005D2397" w:rsidRDefault="00307EF9" w:rsidP="007A5378">
      <w:pPr>
        <w:ind w:left="720"/>
      </w:pPr>
      <w:r>
        <w:t>The IEEE 802.22 (Wi-FAR™) Standard on Cognitive Radi</w:t>
      </w:r>
      <w:r w:rsidR="005D2397">
        <w:t>o based Wireless Regional Area N</w:t>
      </w:r>
      <w:r>
        <w:t>etworks</w:t>
      </w:r>
      <w:r w:rsidR="005D2397">
        <w:t xml:space="preserve"> (WRAN)</w:t>
      </w:r>
      <w:r>
        <w:t xml:space="preserve"> </w:t>
      </w:r>
      <w:r w:rsidR="00DE7B8A" w:rsidRPr="00845B50">
        <w:t xml:space="preserve">takes advantage of the favorable transmission characteristics of the VHF and UHF TV bands to provide broadband wireless access over a large area </w:t>
      </w:r>
      <w:r w:rsidR="005D2397">
        <w:t>with a range of 10 -</w:t>
      </w:r>
      <w:r w:rsidR="00DE7B8A" w:rsidRPr="00845B50">
        <w:t xml:space="preserve"> </w:t>
      </w:r>
      <w:r w:rsidR="00A672B3">
        <w:t>3</w:t>
      </w:r>
      <w:r w:rsidR="00DE7B8A" w:rsidRPr="00845B50">
        <w:t xml:space="preserve">0 km from the transmitter. </w:t>
      </w:r>
      <w:r w:rsidR="005D2397">
        <w:t xml:space="preserve">Hence each IEEE 802.22 Base Station can potentially provide a typical coverage over 300 sq km and in some cases, up to 900 sq. km.  </w:t>
      </w:r>
    </w:p>
    <w:p w14:paraId="578C1F7A" w14:textId="70513BF9" w:rsidR="005D2397" w:rsidRDefault="005D2397" w:rsidP="007A5378">
      <w:pPr>
        <w:ind w:left="720"/>
      </w:pPr>
      <w:r w:rsidRPr="000F7F36">
        <w:t xml:space="preserve">IEEE 802.22-based wireless regional area networks take advantage of the favorable propagation characteristics in the VHF and low UHF TV bands, to provide broadband wireless access under both line-of-sight (LoS) and non-line-of-sight (NLoS) conditions. This occurs while operating on a strict non-interference basis in “TV white space” (TVWS)—spectrum that is assigned to, but unused by, incumbent licensed services. </w:t>
      </w:r>
      <w:r>
        <w:t>As a result, s</w:t>
      </w:r>
      <w:r w:rsidRPr="000F7F36">
        <w:t xml:space="preserve">ome industry trade associations, such as the WhiteSpace Alliance, </w:t>
      </w:r>
      <w:r>
        <w:t xml:space="preserve">have started </w:t>
      </w:r>
      <w:r w:rsidRPr="000F7F36">
        <w:t>refer</w:t>
      </w:r>
      <w:r>
        <w:t>ring</w:t>
      </w:r>
      <w:r w:rsidRPr="000F7F36">
        <w:t xml:space="preserve"> to IEEE 802.22 standard as “Wi-FAR™.” Each IEEE 802.22 network </w:t>
      </w:r>
      <w:r>
        <w:t>proposes to</w:t>
      </w:r>
      <w:r w:rsidRPr="000F7F36">
        <w:t xml:space="preserve"> deliver up to 22 Mbps per </w:t>
      </w:r>
      <w:r>
        <w:t xml:space="preserve">6 MHz </w:t>
      </w:r>
      <w:r w:rsidRPr="000F7F36">
        <w:t xml:space="preserve">channel </w:t>
      </w:r>
      <w:r>
        <w:t xml:space="preserve">and 28 Mbps per 8 MHz Channel. </w:t>
      </w:r>
      <w:r w:rsidRPr="000F7F36">
        <w:t>This technology is especially useful for serving rural areas, and developing countries where most vacant TV channels can be found.</w:t>
      </w:r>
      <w:r>
        <w:t xml:space="preserve"> </w:t>
      </w:r>
    </w:p>
    <w:p w14:paraId="380D293C" w14:textId="35A08096" w:rsidR="005D2397" w:rsidRPr="000F7F36" w:rsidRDefault="005D2397" w:rsidP="007A5378">
      <w:pPr>
        <w:spacing w:after="0" w:line="240" w:lineRule="auto"/>
        <w:ind w:left="720"/>
      </w:pPr>
      <w:r w:rsidRPr="000F7F36">
        <w:t xml:space="preserve">Use cases for IEEE 802.22-based devices include broadband access over large distances and NLoS conditions, broadband Internet access for remote and rural areas, </w:t>
      </w:r>
      <w:r>
        <w:t>Internet of Things (</w:t>
      </w:r>
      <w:r w:rsidRPr="000F7F36">
        <w:t>IoT</w:t>
      </w:r>
      <w:r>
        <w:t>)</w:t>
      </w:r>
      <w:r w:rsidRPr="000F7F36">
        <w:t xml:space="preserve"> applications, cellular offload, monitoring of the rain forests, long-range backhaul, smart grid, critical infrastructure monitoring, defense, homeland security, healthcare, small office/home office (SoHo) and campus-wide broadband wireless access. The IEEE 802.22 Wireless Regional </w:t>
      </w:r>
      <w:r w:rsidRPr="000F7F36">
        <w:lastRenderedPageBreak/>
        <w:t>Area Networks Working Group is a winner of the IEEE Standards Association (IEEE-SA) Emerging Technology Award.</w:t>
      </w:r>
    </w:p>
    <w:p w14:paraId="60517D55" w14:textId="77777777" w:rsidR="001E47E0" w:rsidRDefault="001E47E0" w:rsidP="007A5378">
      <w:pPr>
        <w:spacing w:after="0" w:line="360" w:lineRule="auto"/>
      </w:pPr>
    </w:p>
    <w:p w14:paraId="0668B307" w14:textId="75FD417F" w:rsidR="001E47E0" w:rsidRDefault="001E47E0" w:rsidP="007A5378">
      <w:pPr>
        <w:ind w:left="720"/>
      </w:pPr>
      <w:r w:rsidRPr="000F7F36">
        <w:t xml:space="preserve">IEEE 802.22 incorporates advanced cognitive radio capabilities including dynamic spectrum access, incumbent database access, accurate geolocation techniques, spectrum sensing, regulatory domain dependent policies, spectrum etiquette, and coexistence for optimal use of the available spectrum. </w:t>
      </w:r>
      <w:r>
        <w:t xml:space="preserve">In addition, IEEE 802.22 systems have been incorporated with enhanced security features for both, traditional and cognitive functions. </w:t>
      </w:r>
    </w:p>
    <w:p w14:paraId="6D4E0255" w14:textId="0C709B17" w:rsidR="00A71417" w:rsidRDefault="005D2397" w:rsidP="007A5378">
      <w:pPr>
        <w:spacing w:after="0" w:line="240" w:lineRule="auto"/>
        <w:ind w:left="720"/>
      </w:pPr>
      <w:r w:rsidRPr="00845B50">
        <w:t>IEEE 802.22b is an amendment to IEEE 802.22™-2011</w:t>
      </w:r>
      <w:bookmarkStart w:id="17" w:name="OLE_LINK1"/>
      <w:bookmarkStart w:id="18" w:name="OLE_LINK2"/>
      <w:r w:rsidR="001E47E0">
        <w:t xml:space="preserve">. </w:t>
      </w:r>
      <w:r w:rsidRPr="00845B50">
        <w:t>IEEE 802.22b-2015 is designed to double the throughput of devices based on the original IEEE 802.22 standard. The new amendment is intended also to serve more users per base station and enable relay capability for machine-to-machine (M2M) and Internet of Things (IoT) use cases</w:t>
      </w:r>
      <w:r w:rsidR="001E47E0">
        <w:t xml:space="preserve">. </w:t>
      </w:r>
      <w:r w:rsidRPr="00845B50">
        <w:t xml:space="preserve"> </w:t>
      </w:r>
      <w:bookmarkEnd w:id="17"/>
      <w:bookmarkEnd w:id="18"/>
    </w:p>
    <w:p w14:paraId="64BC6B17" w14:textId="77777777" w:rsidR="00A71417" w:rsidRDefault="00A71417" w:rsidP="00C06FDA"/>
    <w:p w14:paraId="7E8C3F1A" w14:textId="63F884E3" w:rsidR="003D09DD" w:rsidRPr="00845B50" w:rsidRDefault="003D09DD" w:rsidP="00C06FDA">
      <w:pPr>
        <w:rPr>
          <w:b/>
        </w:rPr>
      </w:pPr>
      <w:r w:rsidRPr="00845B50">
        <w:rPr>
          <w:b/>
        </w:rPr>
        <w:tab/>
        <w:t>802.19.</w:t>
      </w:r>
      <w:r w:rsidR="00254BBC" w:rsidRPr="00845B50">
        <w:rPr>
          <w:b/>
        </w:rPr>
        <w:t>1</w:t>
      </w:r>
    </w:p>
    <w:p w14:paraId="7FE8921E" w14:textId="684FE5C6" w:rsidR="00493E70" w:rsidRDefault="005D21EA" w:rsidP="00845B50">
      <w:pPr>
        <w:ind w:left="720"/>
      </w:pPr>
      <w:r>
        <w:t xml:space="preserve">Project </w:t>
      </w:r>
      <w:r w:rsidR="00493E70">
        <w:t>P802.19.1 to develop a standard for “TV White Space Coexistence Methods”</w:t>
      </w:r>
      <w:r>
        <w:t xml:space="preserve"> was initiated </w:t>
      </w:r>
      <w:r w:rsidRPr="005D21EA">
        <w:t>in December 2009</w:t>
      </w:r>
      <w:r>
        <w:t xml:space="preserve"> and published </w:t>
      </w:r>
      <w:r w:rsidR="00493E70">
        <w:t xml:space="preserve">in June 2014. </w:t>
      </w:r>
      <w:r>
        <w:t xml:space="preserve">The standard provides </w:t>
      </w:r>
      <w:r w:rsidRPr="005D21EA">
        <w:t>coexistence solutions for different cognitive radio systems operating in TVWS frequency bands</w:t>
      </w:r>
      <w:r>
        <w:t>.</w:t>
      </w:r>
      <w:r w:rsidRPr="005D21EA">
        <w:t xml:space="preserve"> </w:t>
      </w:r>
      <w:r w:rsidR="00493E70">
        <w:t xml:space="preserve">It specifies radio technology independent methods for coexistence among dissimilar or independently operated TV band networks. The IEEE 802.19.1 is designed to perform three key </w:t>
      </w:r>
      <w:r w:rsidR="00B31549">
        <w:t>tasks required</w:t>
      </w:r>
      <w:r w:rsidR="00493E70">
        <w:t xml:space="preserve"> to solve coexistence problems between different TVWS radio networks:</w:t>
      </w:r>
    </w:p>
    <w:p w14:paraId="7DC9C441" w14:textId="06392275" w:rsidR="00493E70" w:rsidRDefault="00493E70" w:rsidP="00845B50">
      <w:pPr>
        <w:ind w:left="720"/>
      </w:pPr>
      <w:r>
        <w:t>• Discovery of WS radio systems that need to coexist with each other.</w:t>
      </w:r>
    </w:p>
    <w:p w14:paraId="3C39E762" w14:textId="60B632BC" w:rsidR="00493E70" w:rsidRDefault="00493E70" w:rsidP="00845B50">
      <w:pPr>
        <w:ind w:left="720"/>
      </w:pPr>
      <w:r>
        <w:t xml:space="preserve">• Changing operating parameters of these </w:t>
      </w:r>
      <w:r w:rsidR="00B31549">
        <w:t>WS radio</w:t>
      </w:r>
      <w:r>
        <w:t xml:space="preserve"> systems to improve their performance.</w:t>
      </w:r>
    </w:p>
    <w:p w14:paraId="5C2C8E8C" w14:textId="5D8D0657" w:rsidR="00493E70" w:rsidRDefault="00493E70" w:rsidP="00845B50">
      <w:pPr>
        <w:ind w:left="720"/>
      </w:pPr>
      <w:r>
        <w:t>• Providing a unified interface between different types of WS radio systems and a coexistence system.</w:t>
      </w:r>
    </w:p>
    <w:p w14:paraId="3164EA95" w14:textId="6006FC32" w:rsidR="00493E70" w:rsidRDefault="00493E70" w:rsidP="00845B50">
      <w:pPr>
        <w:ind w:left="720"/>
      </w:pPr>
      <w:r>
        <w:t xml:space="preserve">As stated, </w:t>
      </w:r>
      <w:r w:rsidR="00B31549">
        <w:t>t</w:t>
      </w:r>
      <w:r>
        <w:t xml:space="preserve">he first task of a coexistence system is to discover WS radio systems that need to coexist with each other. To solve the first task, a logical entity called a </w:t>
      </w:r>
      <w:r w:rsidR="00B31549">
        <w:t>C</w:t>
      </w:r>
      <w:r>
        <w:t xml:space="preserve">oexistence </w:t>
      </w:r>
      <w:r w:rsidR="00B31549">
        <w:t>D</w:t>
      </w:r>
      <w:r>
        <w:t xml:space="preserve">iscovery and </w:t>
      </w:r>
      <w:r w:rsidR="00B31549">
        <w:t xml:space="preserve">Information Server </w:t>
      </w:r>
      <w:r>
        <w:t>(CDIS) is defined. Its key function is to support discovery of the neighbor WS radio systems. Two WS radio systems are neighbors if they are likely to cause one-way or mutual harmful interference to one another if they operate on the same frequency channel.</w:t>
      </w:r>
    </w:p>
    <w:p w14:paraId="11596841" w14:textId="0705F29E" w:rsidR="00493E70" w:rsidRDefault="00493E70" w:rsidP="00845B50">
      <w:pPr>
        <w:ind w:left="720"/>
      </w:pPr>
      <w:r>
        <w:t xml:space="preserve">The second task of a coexistence system is to continuously update operating parameters of WS radio systems in a way that improves their performance. The IEEE standard 802.19.1 provides two coexistence services to solve this task, namely, information service and management service. </w:t>
      </w:r>
    </w:p>
    <w:p w14:paraId="03F318E9" w14:textId="166AB709" w:rsidR="00493E70" w:rsidRDefault="00493E70" w:rsidP="00845B50">
      <w:pPr>
        <w:ind w:left="720"/>
      </w:pPr>
      <w:r>
        <w:t>Within the information service, the coexistence system provides neighbor discovery information to a WS radio system, and the WS radio system autonomously updates its operating parameters. Within the management service, the coexistence system manages the operating parameters of a WS radio system. To provide the management service, a logical entity called a coexistence manager (CM) is defined.</w:t>
      </w:r>
    </w:p>
    <w:p w14:paraId="5C8ED233" w14:textId="7E9E6DAA" w:rsidR="00493E70" w:rsidRDefault="00493E70" w:rsidP="00845B50">
      <w:pPr>
        <w:ind w:left="720"/>
      </w:pPr>
      <w:r>
        <w:lastRenderedPageBreak/>
        <w:t xml:space="preserve">Once a coexistence system is deployed and in operation, it is intended to serve various types of white space radio systems. Correspondingly, there is a need to have a unified interface between different types of WS radio systems and a coexistence system. This task is solved by defining a logical entity called a coexistence enabler (CE). A CE provides a unified interface between a WS radio system and the IEEE 802.19.1 coexistence system. The interface between a CE and a WS radio system is outside of the scope of the IEEE 802.19.1 standard. In fact, the service access point is defined in an abstract manner in the standard, while exact implementation is left up to manufacturers. Such an approach is very beneficial, because it does not require any changes in already published and future standards in order to use coexistence services provided by the IEEE 802.19.1 coexistence system. A CE will serve as a translator of WS radio system specific messages to </w:t>
      </w:r>
      <w:r w:rsidR="00B31549">
        <w:t xml:space="preserve">be </w:t>
      </w:r>
      <w:r>
        <w:t>exchanged between a CE and a CM.</w:t>
      </w:r>
    </w:p>
    <w:p w14:paraId="0CFD24E0" w14:textId="6F50E863" w:rsidR="00B271FE" w:rsidRPr="00845B50" w:rsidRDefault="00684730" w:rsidP="00B271FE">
      <w:pPr>
        <w:rPr>
          <w:b/>
        </w:rPr>
      </w:pPr>
      <w:r w:rsidRPr="00845B50">
        <w:rPr>
          <w:b/>
        </w:rPr>
        <w:t>Application-domain s</w:t>
      </w:r>
      <w:r w:rsidR="00B271FE" w:rsidRPr="00845B50">
        <w:rPr>
          <w:b/>
        </w:rPr>
        <w:t xml:space="preserve">tandards that </w:t>
      </w:r>
      <w:r w:rsidR="00FC3F5C" w:rsidRPr="00845B50">
        <w:rPr>
          <w:b/>
        </w:rPr>
        <w:t xml:space="preserve">build on IEEE 802 </w:t>
      </w:r>
      <w:r w:rsidR="00B271FE" w:rsidRPr="00845B50">
        <w:rPr>
          <w:b/>
        </w:rPr>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specification also </w:t>
      </w:r>
      <w:r>
        <w:t xml:space="preserve">includes higher layer standards from IETF, defining operation up to the transport layer. </w:t>
      </w:r>
    </w:p>
    <w:p w14:paraId="64ED52A8" w14:textId="77777777" w:rsidR="00684730" w:rsidRDefault="00684730" w:rsidP="00B271FE">
      <w:pPr>
        <w:ind w:left="720"/>
      </w:pPr>
    </w:p>
    <w:p w14:paraId="655DC8A5" w14:textId="77777777" w:rsidR="00C06FDA" w:rsidRPr="007A5378" w:rsidRDefault="00C06FDA" w:rsidP="00C06FDA">
      <w:pPr>
        <w:rPr>
          <w:b/>
        </w:rPr>
      </w:pPr>
      <w:r w:rsidRPr="007A5378">
        <w:rPr>
          <w:b/>
        </w:rPr>
        <w:t>Applications</w:t>
      </w:r>
    </w:p>
    <w:p w14:paraId="4DDDD904" w14:textId="77777777" w:rsidR="005D4E8D" w:rsidRDefault="005D4E8D" w:rsidP="00C06FDA">
      <w:r w:rsidRPr="00845B50">
        <w:t xml:space="preserve">Smart grid applications can be divided into several broad categories related to the topologies and performance characteristics of both the individual devices and networks used to connect devices.  </w:t>
      </w:r>
    </w:p>
    <w:p w14:paraId="793189A4" w14:textId="031E1B09" w:rsidR="005D4E8D" w:rsidRDefault="005D4E8D" w:rsidP="00C06FDA">
      <w:r w:rsidRPr="00845B50">
        <w:t xml:space="preserve">Field and neighborhood area networks </w:t>
      </w:r>
      <w:r>
        <w:t>endpoints may include applications such as:</w:t>
      </w:r>
    </w:p>
    <w:p w14:paraId="538F54F8" w14:textId="16EE056D" w:rsidR="005D4E8D" w:rsidRDefault="005D4E8D" w:rsidP="00845B50">
      <w:pPr>
        <w:pStyle w:val="ListParagraph"/>
        <w:numPr>
          <w:ilvl w:val="0"/>
          <w:numId w:val="5"/>
        </w:numPr>
      </w:pPr>
      <w:r>
        <w:t>Electric meters</w:t>
      </w:r>
    </w:p>
    <w:p w14:paraId="63ADA05D" w14:textId="3A8790EF" w:rsidR="005D4E8D" w:rsidRDefault="005D4E8D" w:rsidP="00845B50">
      <w:pPr>
        <w:pStyle w:val="ListParagraph"/>
        <w:numPr>
          <w:ilvl w:val="0"/>
          <w:numId w:val="5"/>
        </w:numPr>
      </w:pPr>
      <w:r>
        <w:t>Water and gas meters</w:t>
      </w:r>
    </w:p>
    <w:p w14:paraId="4452E0D1" w14:textId="79C3F698" w:rsidR="005D4E8D" w:rsidRDefault="005D4E8D" w:rsidP="00845B50">
      <w:pPr>
        <w:pStyle w:val="ListParagraph"/>
        <w:numPr>
          <w:ilvl w:val="0"/>
          <w:numId w:val="5"/>
        </w:numPr>
      </w:pPr>
      <w:r>
        <w:t>Distribution automation (grid control)</w:t>
      </w:r>
    </w:p>
    <w:p w14:paraId="7DD006F3" w14:textId="5969E0B1" w:rsidR="005D4E8D" w:rsidRDefault="005D4E8D" w:rsidP="00845B50">
      <w:pPr>
        <w:pStyle w:val="ListParagraph"/>
        <w:numPr>
          <w:ilvl w:val="0"/>
          <w:numId w:val="5"/>
        </w:numPr>
      </w:pPr>
      <w:r>
        <w:t>Distributed energy resources</w:t>
      </w:r>
    </w:p>
    <w:p w14:paraId="2621B492" w14:textId="4C638516" w:rsidR="005D4E8D" w:rsidRDefault="005D4E8D" w:rsidP="00845B50">
      <w:pPr>
        <w:pStyle w:val="ListParagraph"/>
        <w:numPr>
          <w:ilvl w:val="0"/>
          <w:numId w:val="5"/>
        </w:numPr>
      </w:pPr>
      <w:r>
        <w:t>Street lights, environmental sensors and other “smart city” devices</w:t>
      </w:r>
    </w:p>
    <w:p w14:paraId="34FFE556" w14:textId="726211B2" w:rsidR="005D4E8D" w:rsidRDefault="005D4E8D" w:rsidP="00845B50">
      <w:pPr>
        <w:pStyle w:val="ListParagraph"/>
        <w:numPr>
          <w:ilvl w:val="0"/>
          <w:numId w:val="5"/>
        </w:numPr>
      </w:pPr>
      <w:r>
        <w:t>Plug-in vehicle charging</w:t>
      </w:r>
    </w:p>
    <w:p w14:paraId="2ECF52DD" w14:textId="2C00E651" w:rsidR="005D4E8D" w:rsidRDefault="005D4E8D">
      <w:r>
        <w:t xml:space="preserve">Many of endpoints in the modern grid and/or smart city application share similar requirements from the network, such as moderate data rates, high device densities, very low energy consumption, and limited spectrum resources.  802 standards address well this type of device.  For example, 80.15.4 includes PHY definitions and MAC features to specifically address these needs by offering low data rates with narrow bandwidth channelization, high spectral and special reuse factors, ability to support very low power operation and protocol options that enable adaptation to range/density trade-offs and varying </w:t>
      </w:r>
      <w:r>
        <w:lastRenderedPageBreak/>
        <w:t xml:space="preserve">environmental conditions.  The standard includes means to use nearly every conceivable type of spectrum allocation available around the world, with options to fit what regulations allow.  In these types of applications, the low data rate requirements </w:t>
      </w:r>
      <w:r w:rsidR="00A356A1">
        <w:t>complement</w:t>
      </w:r>
      <w:r>
        <w:t xml:space="preserve"> the limited amount of spectrum at sub-1GHz frequencies</w:t>
      </w:r>
      <w:r w:rsidR="00A356A1">
        <w:t>,</w:t>
      </w:r>
      <w:r>
        <w:t xml:space="preserve"> and the application of narrow band modulations in 802.15.4 optimizes use of the spectrum.  Another common trait of many of these applications is low duty cycle for network access: communication is required infrequently. In some of these applications, energy </w:t>
      </w:r>
      <w:r w:rsidR="00C77468">
        <w:t>available</w:t>
      </w:r>
      <w:r>
        <w:t xml:space="preserve"> to run the device is limited</w:t>
      </w:r>
      <w:r w:rsidR="00A356A1">
        <w:t xml:space="preserve">. For </w:t>
      </w:r>
      <w:r>
        <w:t xml:space="preserve">example a water meter </w:t>
      </w:r>
      <w:r w:rsidR="00A356A1">
        <w:t>or environmental</w:t>
      </w:r>
      <w:r>
        <w:t xml:space="preserve"> sensor may be battery operated, with the need for the primary battery to last years.   Features in the standard are optimized for such low duty cycle, “sleepy node” situations, enabling use of the communications link to be matched to the performance need (infrequent) saving energy by </w:t>
      </w:r>
      <w:r w:rsidR="00C77468">
        <w:t>turning the</w:t>
      </w:r>
      <w:r>
        <w:t xml:space="preserve"> radio off the rest of the time. </w:t>
      </w:r>
    </w:p>
    <w:p w14:paraId="02DD99B6" w14:textId="6DA8D5B8" w:rsidR="005D4E8D" w:rsidRDefault="005D4E8D">
      <w:r>
        <w:t xml:space="preserve">Other applications in the modern grid and/or smart city network have different trade-offs between energy, data rate, and spectrum utilization.  802 standards exist to address higher data rate applications such as network gateways, traffic aggregation points, data concentration (collectors) and inter-network routers.  Where spectrum allocations allow the bandwidth for high data rates, standards such as 802.11, 802.16 and 802.22 provide spectral efficiency optimized for high data throughput appropriate for these kinds of applications.  </w:t>
      </w:r>
    </w:p>
    <w:p w14:paraId="74615D51" w14:textId="77777777" w:rsidR="004F34FE" w:rsidRDefault="004F34FE" w:rsidP="00C06FDA">
      <w:pPr>
        <w:rPr>
          <w:b/>
        </w:rPr>
      </w:pPr>
    </w:p>
    <w:p w14:paraId="21FD760E" w14:textId="7FB24080" w:rsidR="00C06FDA" w:rsidRPr="00845B50" w:rsidRDefault="00C06FDA" w:rsidP="00C06FDA">
      <w:pPr>
        <w:rPr>
          <w:b/>
        </w:rPr>
      </w:pPr>
      <w:r w:rsidRPr="00845B50">
        <w:rPr>
          <w:b/>
        </w:rPr>
        <w:t>Summary of characteristics</w:t>
      </w:r>
      <w:r w:rsidR="00176293" w:rsidRPr="00845B50">
        <w:rPr>
          <w:b/>
        </w:rPr>
        <w:t xml:space="preserve"> and key comparisons</w:t>
      </w:r>
    </w:p>
    <w:p w14:paraId="13A6C35E" w14:textId="0626B928" w:rsidR="003D09DD" w:rsidRDefault="00030FE6" w:rsidP="003D09DD">
      <w:r>
        <w:t xml:space="preserve">The SGIP </w:t>
      </w:r>
      <w:r w:rsidR="003D09DD">
        <w:t xml:space="preserve">PAP 2 </w:t>
      </w:r>
      <w:r>
        <w:t xml:space="preserve">committee developed a comprehensive </w:t>
      </w:r>
      <w:r w:rsidR="00CF6FC6">
        <w:t>matrix</w:t>
      </w:r>
      <w:r w:rsidR="00CF6FC6">
        <w:rPr>
          <w:rStyle w:val="FootnoteReference"/>
        </w:rPr>
        <w:footnoteReference w:id="1"/>
      </w:r>
      <w:r w:rsidR="00CF6FC6">
        <w:t xml:space="preserve"> </w:t>
      </w:r>
      <w:r>
        <w:t xml:space="preserve">that highlights key features and characteristics of wireless standards used for Smart Grid applications. </w:t>
      </w:r>
      <w:r w:rsidR="00CF6FC6">
        <w:t>A subset of that matrix including the sub-1 GHz standards is presented below.</w:t>
      </w:r>
    </w:p>
    <w:p w14:paraId="031A54AA" w14:textId="77777777" w:rsidR="001A547D" w:rsidRDefault="008D7130" w:rsidP="001A547D">
      <w:pPr>
        <w:keepNext/>
      </w:pPr>
      <w:r w:rsidRPr="008D7130">
        <w:rPr>
          <w:noProof/>
        </w:rPr>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r w:rsidR="008C1DCB">
        <w:fldChar w:fldCharType="begin"/>
      </w:r>
      <w:r w:rsidR="008C1DCB">
        <w:instrText xml:space="preserve"> SEQ Figure \* ARABIC </w:instrText>
      </w:r>
      <w:r w:rsidR="008C1DCB">
        <w:fldChar w:fldCharType="separate"/>
      </w:r>
      <w:r>
        <w:rPr>
          <w:noProof/>
        </w:rPr>
        <w:t>1</w:t>
      </w:r>
      <w:r w:rsidR="008C1DCB">
        <w:rPr>
          <w:noProof/>
        </w:rPr>
        <w:fldChar w:fldCharType="end"/>
      </w:r>
      <w:r>
        <w:t xml:space="preserve"> Excerpt from SGIP PAP</w:t>
      </w:r>
      <w:r>
        <w:rPr>
          <w:noProof/>
        </w:rPr>
        <w:t xml:space="preserve"> 2 Wireless Characteristics Matrix for standards operating in sub-1 GHz spectrum</w:t>
      </w:r>
    </w:p>
    <w:p w14:paraId="24B51A8C" w14:textId="1E86F5BC" w:rsidR="001A547D" w:rsidRDefault="009A7713" w:rsidP="001A547D">
      <w:r>
        <w:t>Notes:</w:t>
      </w:r>
    </w:p>
    <w:p w14:paraId="3B3557BD" w14:textId="7E64E337" w:rsidR="00121408" w:rsidRDefault="00121408" w:rsidP="00121408">
      <w:pPr>
        <w:ind w:left="720"/>
      </w:pPr>
      <w:r>
        <w:t>802.11ah uses a wider bandwidth and can provide a higher data rate</w:t>
      </w:r>
    </w:p>
    <w:p w14:paraId="2C06E3EE" w14:textId="18A36AC8" w:rsidR="00121408" w:rsidRDefault="00121408">
      <w:pPr>
        <w:ind w:left="720"/>
      </w:pPr>
      <w:r>
        <w:t xml:space="preserve">802.11ah is not generally deployed as a mesh, it is more suitable for star networks (although it does implement a </w:t>
      </w:r>
      <w:r w:rsidR="00274314">
        <w:t xml:space="preserve">multi-hop relay </w:t>
      </w:r>
      <w:r>
        <w:t>function for range extension)</w:t>
      </w:r>
    </w:p>
    <w:p w14:paraId="5A1ECD92" w14:textId="50443D44" w:rsidR="00121408" w:rsidRDefault="00121408" w:rsidP="00121408">
      <w:pPr>
        <w:ind w:left="720"/>
      </w:pPr>
      <w:r>
        <w:t xml:space="preserve">802.15.4g </w:t>
      </w:r>
      <w:r w:rsidR="00626DF8">
        <w:t xml:space="preserve">and 802.15.4m are </w:t>
      </w:r>
      <w:r>
        <w:t>typically combined with a meshing standard (at layer 2 or layer 3) to provide coverage over a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26E7E8FF" w14:textId="68B45128" w:rsidR="00274314" w:rsidRPr="00845B50" w:rsidRDefault="00274314" w:rsidP="003D09DD">
      <w:pPr>
        <w:rPr>
          <w:b/>
        </w:rPr>
      </w:pPr>
      <w:r w:rsidRPr="00845B50">
        <w:rPr>
          <w:b/>
        </w:rPr>
        <w:t>Techniques for wide-area coverage</w:t>
      </w:r>
    </w:p>
    <w:p w14:paraId="1B9BF9C8" w14:textId="78C8E43A" w:rsidR="009A7713" w:rsidRDefault="009A7713" w:rsidP="003D09DD">
      <w:r>
        <w:t xml:space="preserve">Due to the RF power limitations in ISM bands, ensuring adequate range and coverage is a technical challenge. Different techniques are used to extend range in different standards, based on receiving and forwarding packets to other devices within range so they will eventually reach their final destination. </w:t>
      </w:r>
    </w:p>
    <w:p w14:paraId="29E2466B" w14:textId="1699F8D8" w:rsidR="00274314" w:rsidRDefault="009A7713" w:rsidP="003D09DD">
      <w:r>
        <w:t xml:space="preserve">IEEE </w:t>
      </w:r>
      <w:r w:rsidR="00274314">
        <w:t>802.15.4 – based standards are typically used with a meshing layer</w:t>
      </w:r>
      <w:r>
        <w:t xml:space="preserve">: </w:t>
      </w:r>
    </w:p>
    <w:p w14:paraId="1701598C" w14:textId="2BEC2A9F" w:rsidR="00274314" w:rsidRDefault="00274314" w:rsidP="007A5378">
      <w:pPr>
        <w:pStyle w:val="ListParagraph"/>
        <w:numPr>
          <w:ilvl w:val="0"/>
          <w:numId w:val="8"/>
        </w:numPr>
      </w:pPr>
      <w:r>
        <w:t>Layer 3 mesh (RPL or similar)</w:t>
      </w:r>
    </w:p>
    <w:p w14:paraId="2BA71985" w14:textId="1E2BD96D" w:rsidR="00274314" w:rsidRDefault="00274314" w:rsidP="007A5378">
      <w:pPr>
        <w:pStyle w:val="ListParagraph"/>
        <w:numPr>
          <w:ilvl w:val="0"/>
          <w:numId w:val="8"/>
        </w:numPr>
      </w:pPr>
      <w:r>
        <w:t>Layer 2 mesh (802.15.10)</w:t>
      </w:r>
    </w:p>
    <w:p w14:paraId="655D972A" w14:textId="23EA7D97" w:rsidR="00274314" w:rsidRDefault="009A7713" w:rsidP="003D09DD">
      <w:r>
        <w:t xml:space="preserve">IEEE </w:t>
      </w:r>
      <w:r w:rsidR="00274314">
        <w:t xml:space="preserve">802.11ah provides relay operation </w:t>
      </w:r>
      <w:r>
        <w:t xml:space="preserve">with an </w:t>
      </w:r>
      <w:r w:rsidR="00274314">
        <w:t xml:space="preserve">unlimited number of hops.  </w:t>
      </w:r>
    </w:p>
    <w:p w14:paraId="7E85478A" w14:textId="3BF93580" w:rsidR="005D4E8D" w:rsidRPr="007A5378" w:rsidRDefault="005D4E8D" w:rsidP="005D4E8D">
      <w:pPr>
        <w:rPr>
          <w:b/>
        </w:rPr>
      </w:pPr>
      <w:r w:rsidRPr="007A5378">
        <w:rPr>
          <w:b/>
        </w:rPr>
        <w:t>Mesh vs. Repeater</w:t>
      </w:r>
    </w:p>
    <w:p w14:paraId="5A16803A" w14:textId="0F89D802" w:rsidR="005D4E8D" w:rsidRDefault="005D4E8D" w:rsidP="005D4E8D">
      <w:r>
        <w:t xml:space="preserve">Mesh network topologies are used to extend the range of the network further than the range of the radios.  With a simple star topology, it may be difficult or impossible to reach all endpoints.  </w:t>
      </w:r>
    </w:p>
    <w:p w14:paraId="2C421E18" w14:textId="3BE282AB" w:rsidR="005D4E8D" w:rsidRDefault="005D4E8D" w:rsidP="005D4E8D">
      <w:r>
        <w:t xml:space="preserve">Adding a repeater can solve this in some situations. A repeater typically provides a static route: it can connect act as a relay between one or more end points and the network coordinator, but does not provide dynamic routing.  This is typically a simple “1 hop” relay between static points. </w:t>
      </w:r>
    </w:p>
    <w:p w14:paraId="7F893D35" w14:textId="56B796FE" w:rsidR="005D4E8D" w:rsidRDefault="005D4E8D" w:rsidP="005D4E8D">
      <w:r>
        <w:t xml:space="preserve">A mesh network topology will support dynamic route determination, as well as redundant routing paths.  Combined these enable dynamic routing that is “self healing” in the event that a given path (radio link) is disrupted and/or a routing node in the network fails.   The mesh more easily adapts to the environment and can be simpler to deploy, as the mesh protocol typically includes automatic route determination and adaptation. </w:t>
      </w:r>
    </w:p>
    <w:p w14:paraId="1F1FE1CB" w14:textId="78943936" w:rsidR="005D4E8D" w:rsidRDefault="005D4E8D" w:rsidP="005D4E8D">
      <w:r>
        <w:t>A star with relay topology is simpler, and where flexibility and dynamic characteristics of the mesh are less important, may require fewer devise over all to support a given geographic area, especially where the area is large and devise are sparsely deployed. In contrast, the mesh may provide more cost efficient in high density deployments where environmental conditions are changing and/or network configuration changes frequently.</w:t>
      </w:r>
    </w:p>
    <w:p w14:paraId="0C498D6C" w14:textId="0F8D7A56" w:rsidR="00274314" w:rsidRDefault="00274314" w:rsidP="003D09DD">
      <w:r>
        <w:t>See</w:t>
      </w:r>
      <w:r w:rsidR="005D4E8D">
        <w:t xml:space="preserve"> also </w:t>
      </w:r>
      <w:r>
        <w:t xml:space="preserve"> </w:t>
      </w:r>
      <w:hyperlink r:id="rId12" w:history="1">
        <w:r w:rsidRPr="00B47F6F">
          <w:rPr>
            <w:rStyle w:val="Hyperlink"/>
          </w:rPr>
          <w:t>https://mentor.ieee.org/802.24/dcn/13/24-13-0028-00-0000-draft-release-2-of-nistir-7761-2013-07-12-sgip-pap02wg-00009-pap2-v2.doc</w:t>
        </w:r>
      </w:hyperlink>
    </w:p>
    <w:p w14:paraId="066EC51F" w14:textId="77777777" w:rsidR="00274314" w:rsidRDefault="00274314" w:rsidP="003D09DD"/>
    <w:p w14:paraId="060AC388" w14:textId="321894EF" w:rsidR="003D09DD" w:rsidRPr="00845B50" w:rsidRDefault="003D09DD" w:rsidP="003D09DD">
      <w:pPr>
        <w:rPr>
          <w:b/>
        </w:rPr>
      </w:pPr>
      <w:r w:rsidRPr="00845B50">
        <w:rPr>
          <w:b/>
          <w:highlight w:val="yellow"/>
        </w:rPr>
        <w:t>Global regulatory environment</w:t>
      </w:r>
      <w:r w:rsidR="00274314">
        <w:rPr>
          <w:b/>
        </w:rPr>
        <w:t xml:space="preserve">    </w:t>
      </w:r>
    </w:p>
    <w:p w14:paraId="65FBF579" w14:textId="353FC7B2" w:rsidR="003D09DD" w:rsidRDefault="003D09DD" w:rsidP="003D09DD">
      <w:r>
        <w:tab/>
        <w:t>FCC, CE</w:t>
      </w:r>
      <w:r w:rsidR="005508BD">
        <w:t>PT, ARIB, CENELEC, ETSI, OFCOM</w:t>
      </w:r>
    </w:p>
    <w:p w14:paraId="0E04FE39" w14:textId="77777777" w:rsidR="003D09DD" w:rsidRDefault="003D09DD" w:rsidP="003D09DD">
      <w:r>
        <w:tab/>
        <w:t>Areas that adopt other domain’s rules</w:t>
      </w:r>
    </w:p>
    <w:p w14:paraId="70998D52" w14:textId="734C4770" w:rsidR="003D09DD" w:rsidRDefault="003D09DD" w:rsidP="003D09DD">
      <w:r>
        <w:tab/>
        <w:t>(Map of world with regulatory agencies highlighted)</w:t>
      </w:r>
      <w:r w:rsidR="005508BD">
        <w:t xml:space="preserve">   </w:t>
      </w:r>
    </w:p>
    <w:p w14:paraId="2F0F969B" w14:textId="5CCAF00E" w:rsidR="005508BD" w:rsidRDefault="005508BD" w:rsidP="005508BD">
      <w:r>
        <w:tab/>
      </w:r>
      <w:r>
        <w:tab/>
        <w:t>Need to show regulatory bodies, spectrum availability, and channel access mechanism</w:t>
      </w:r>
    </w:p>
    <w:p w14:paraId="70682ADD" w14:textId="4BD80A7F" w:rsidR="005508BD" w:rsidRDefault="005508BD" w:rsidP="005508BD">
      <w:r>
        <w:lastRenderedPageBreak/>
        <w:tab/>
      </w:r>
      <w:r>
        <w:tab/>
        <w:t xml:space="preserve">References to defining documents for further information </w:t>
      </w:r>
    </w:p>
    <w:p w14:paraId="4DCF80F8" w14:textId="77777777" w:rsidR="003D09DD" w:rsidRDefault="003D09DD" w:rsidP="003D09DD">
      <w:r>
        <w:tab/>
        <w:t>Coexistence in global bands</w:t>
      </w:r>
    </w:p>
    <w:p w14:paraId="35A5C4CB" w14:textId="50F7CAF8" w:rsidR="005508BD" w:rsidRDefault="005508BD" w:rsidP="003D09DD">
      <w:r>
        <w:tab/>
        <w:t>Other technologies that standards will need to coexist with</w:t>
      </w:r>
    </w:p>
    <w:p w14:paraId="33262815" w14:textId="535510EE" w:rsidR="005508BD" w:rsidRDefault="005508BD" w:rsidP="003B2DFA">
      <w:pPr>
        <w:pStyle w:val="ListParagraph"/>
        <w:numPr>
          <w:ilvl w:val="0"/>
          <w:numId w:val="2"/>
        </w:numPr>
      </w:pPr>
      <w:r>
        <w:t>LORA</w:t>
      </w:r>
    </w:p>
    <w:p w14:paraId="3915223B" w14:textId="5AA7971C" w:rsidR="005508BD" w:rsidRDefault="005508BD" w:rsidP="003B2DFA">
      <w:pPr>
        <w:pStyle w:val="ListParagraph"/>
        <w:numPr>
          <w:ilvl w:val="0"/>
          <w:numId w:val="2"/>
        </w:numPr>
      </w:pPr>
      <w:r>
        <w:t>SigFox</w:t>
      </w:r>
    </w:p>
    <w:p w14:paraId="4B6E5640" w14:textId="0881C1F4" w:rsidR="005508BD" w:rsidRDefault="005508BD" w:rsidP="003B2DFA">
      <w:pPr>
        <w:pStyle w:val="ListParagraph"/>
        <w:numPr>
          <w:ilvl w:val="0"/>
          <w:numId w:val="2"/>
        </w:numPr>
      </w:pPr>
      <w:r>
        <w:t>WeightLess</w:t>
      </w:r>
    </w:p>
    <w:p w14:paraId="448438AD" w14:textId="46861563" w:rsidR="00290810" w:rsidRDefault="00290810" w:rsidP="003B2DFA">
      <w:pPr>
        <w:pStyle w:val="ListParagraph"/>
        <w:numPr>
          <w:ilvl w:val="0"/>
          <w:numId w:val="2"/>
        </w:numPr>
      </w:pPr>
      <w:r>
        <w:t>Progeny (?)</w:t>
      </w:r>
    </w:p>
    <w:p w14:paraId="2C937F70" w14:textId="77777777" w:rsidR="003D09DD" w:rsidRDefault="003D09DD" w:rsidP="003D09DD">
      <w:r>
        <w:t>Conclusions</w:t>
      </w:r>
    </w:p>
    <w:p w14:paraId="6A461C16" w14:textId="75E0DC33" w:rsidR="00490467" w:rsidRDefault="00490467" w:rsidP="003D09DD">
      <w:r>
        <w:t>Unlicensed spectrum is valuable and beneficial for Smart Grid applications, due to the scarcity and cost of licensed spectrum in comparable frequency ranges</w:t>
      </w:r>
      <w:r w:rsidR="00FF7E1C">
        <w:t>.</w:t>
      </w:r>
      <w:r>
        <w:tab/>
      </w:r>
      <w:r w:rsidR="00845B50">
        <w:t xml:space="preserve">The Sub-1 GHz spectrum offers superior propagation and penetration properties when compared to higher frequency ISM bands. TV White Space spectrum can provide additional options for operation in rural areas with sufficient availability of unused TV channels. </w:t>
      </w:r>
      <w:r>
        <w:t xml:space="preserve">The Sub-1GHz standards implement coexistence mechanisms that make it possible to operate effectively in this shared spectrum. </w:t>
      </w:r>
    </w:p>
    <w:p w14:paraId="203BBB1B" w14:textId="77777777" w:rsidR="00C06FDA" w:rsidRDefault="00C06FDA"/>
    <w:sectPr w:rsidR="00C06FD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C33B0" w14:textId="77777777" w:rsidR="008C1DCB" w:rsidRDefault="008C1DCB" w:rsidP="00A619FD">
      <w:pPr>
        <w:spacing w:after="0" w:line="240" w:lineRule="auto"/>
      </w:pPr>
      <w:r>
        <w:separator/>
      </w:r>
    </w:p>
  </w:endnote>
  <w:endnote w:type="continuationSeparator" w:id="0">
    <w:p w14:paraId="72B45ED8" w14:textId="77777777" w:rsidR="008C1DCB" w:rsidRDefault="008C1DCB"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0AE81" w14:textId="77777777" w:rsidR="008C1DCB" w:rsidRDefault="008C1DCB" w:rsidP="00A619FD">
      <w:pPr>
        <w:spacing w:after="0" w:line="240" w:lineRule="auto"/>
      </w:pPr>
      <w:r>
        <w:separator/>
      </w:r>
    </w:p>
  </w:footnote>
  <w:footnote w:type="continuationSeparator" w:id="0">
    <w:p w14:paraId="7723F496" w14:textId="77777777" w:rsidR="008C1DCB" w:rsidRDefault="008C1DCB" w:rsidP="00A619FD">
      <w:pPr>
        <w:spacing w:after="0" w:line="240" w:lineRule="auto"/>
      </w:pPr>
      <w:r>
        <w:continuationSeparator/>
      </w:r>
    </w:p>
  </w:footnote>
  <w:footnote w:id="1">
    <w:p w14:paraId="1ABE98F6" w14:textId="5A12910F" w:rsidR="00CF6FC6" w:rsidRDefault="00CF6FC6">
      <w:pPr>
        <w:pStyle w:val="FootnoteText"/>
      </w:pPr>
      <w:r>
        <w:rPr>
          <w:rStyle w:val="FootnoteReference"/>
        </w:rPr>
        <w:footnoteRef/>
      </w:r>
      <w:r>
        <w:t xml:space="preserve"> </w:t>
      </w:r>
      <w:r w:rsidRPr="00CF6FC6">
        <w:t>http://collaborate.nist.gov/twiki-sggrid/pub/SmartGrid/PAP02Wireless/Consolidated_Wireless_Characteristics_Matrix2_09-03-13.xlsx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9F3C" w14:textId="036D586A" w:rsidR="00A71417" w:rsidRDefault="00ED384F" w:rsidP="005A5F01">
    <w:pPr>
      <w:pStyle w:val="Header"/>
      <w:widowControl w:val="0"/>
      <w:pBdr>
        <w:bottom w:val="single" w:sz="6" w:space="0" w:color="auto"/>
        <w:between w:val="single" w:sz="6" w:space="0" w:color="auto"/>
      </w:pBdr>
      <w:tabs>
        <w:tab w:val="right" w:pos="9270"/>
      </w:tabs>
      <w:spacing w:after="360"/>
      <w:jc w:val="both"/>
      <w:rPr>
        <w:b/>
        <w:sz w:val="28"/>
      </w:rPr>
    </w:pPr>
    <w:del w:id="19" w:author="Godfrey, Tim" w:date="2016-09-15T15:23:00Z">
      <w:r w:rsidDel="00F85393">
        <w:rPr>
          <w:b/>
          <w:sz w:val="28"/>
        </w:rPr>
        <w:delText>May</w:delText>
      </w:r>
    </w:del>
    <w:ins w:id="20" w:author="Godfrey, Tim" w:date="2016-09-15T15:23:00Z">
      <w:r w:rsidR="00F85393">
        <w:rPr>
          <w:b/>
          <w:sz w:val="28"/>
        </w:rPr>
        <w:t>Sept</w:t>
      </w:r>
    </w:ins>
    <w:r w:rsidR="00A71417">
      <w:rPr>
        <w:b/>
        <w:sz w:val="28"/>
      </w:rPr>
      <w:t>, 201</w:t>
    </w:r>
    <w:r>
      <w:rPr>
        <w:b/>
        <w:sz w:val="28"/>
      </w:rPr>
      <w:t>6</w:t>
    </w:r>
    <w:r w:rsidR="00A71417">
      <w:rPr>
        <w:b/>
        <w:sz w:val="28"/>
      </w:rPr>
      <w:tab/>
    </w:r>
    <w:r w:rsidR="00A71417">
      <w:rPr>
        <w:b/>
        <w:sz w:val="28"/>
      </w:rPr>
      <w:tab/>
      <w:t xml:space="preserve"> IEEE P802.</w:t>
    </w:r>
    <w:r w:rsidR="008C1DCB">
      <w:fldChar w:fldCharType="begin"/>
    </w:r>
    <w:r w:rsidR="008C1DCB">
      <w:instrText xml:space="preserve"> DOCPROPERTY "Category"  \* MERGEFORMAT </w:instrText>
    </w:r>
    <w:r w:rsidR="008C1DCB">
      <w:fldChar w:fldCharType="separate"/>
    </w:r>
    <w:r w:rsidR="00A71417" w:rsidRPr="00556173">
      <w:rPr>
        <w:b/>
        <w:sz w:val="28"/>
      </w:rPr>
      <w:t>24-15-00</w:t>
    </w:r>
    <w:r w:rsidR="00A71417">
      <w:rPr>
        <w:b/>
        <w:sz w:val="28"/>
      </w:rPr>
      <w:t>29</w:t>
    </w:r>
    <w:r w:rsidR="00A71417" w:rsidRPr="00556173">
      <w:rPr>
        <w:b/>
        <w:sz w:val="28"/>
      </w:rPr>
      <w:t>-</w:t>
    </w:r>
    <w:del w:id="21" w:author="Godfrey, Tim" w:date="2016-09-15T15:23:00Z">
      <w:r w:rsidR="00077E6C" w:rsidRPr="00556173" w:rsidDel="00F85393">
        <w:rPr>
          <w:b/>
          <w:sz w:val="28"/>
        </w:rPr>
        <w:delText>0</w:delText>
      </w:r>
      <w:r w:rsidR="00077E6C" w:rsidDel="00F85393">
        <w:rPr>
          <w:b/>
          <w:sz w:val="28"/>
        </w:rPr>
        <w:delText>8</w:delText>
      </w:r>
    </w:del>
    <w:ins w:id="22" w:author="Godfrey, Tim" w:date="2016-09-15T15:23:00Z">
      <w:r w:rsidR="00F85393">
        <w:rPr>
          <w:b/>
          <w:sz w:val="28"/>
        </w:rPr>
        <w:t>10</w:t>
      </w:r>
    </w:ins>
    <w:r w:rsidR="00A71417" w:rsidRPr="00556173">
      <w:rPr>
        <w:b/>
        <w:sz w:val="28"/>
      </w:rPr>
      <w:t>-</w:t>
    </w:r>
    <w:r w:rsidR="00A71417">
      <w:rPr>
        <w:b/>
        <w:sz w:val="28"/>
      </w:rPr>
      <w:t>SGTG</w:t>
    </w:r>
    <w:r w:rsidR="008C1DCB">
      <w:rPr>
        <w:b/>
        <w:sz w:val="28"/>
      </w:rPr>
      <w:fldChar w:fldCharType="end"/>
    </w:r>
  </w:p>
  <w:p w14:paraId="3CA0BCC8" w14:textId="77777777" w:rsidR="00A71417" w:rsidRDefault="00A7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F26"/>
    <w:multiLevelType w:val="hybridMultilevel"/>
    <w:tmpl w:val="14FA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A7A10"/>
    <w:multiLevelType w:val="hybridMultilevel"/>
    <w:tmpl w:val="2F62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B94015"/>
    <w:multiLevelType w:val="hybridMultilevel"/>
    <w:tmpl w:val="14D223EE"/>
    <w:lvl w:ilvl="0" w:tplc="3F9E0E1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4641A"/>
    <w:multiLevelType w:val="hybridMultilevel"/>
    <w:tmpl w:val="019AEB52"/>
    <w:lvl w:ilvl="0" w:tplc="3F9E0E1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7"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30FE6"/>
    <w:rsid w:val="00054946"/>
    <w:rsid w:val="00077E6C"/>
    <w:rsid w:val="000850CE"/>
    <w:rsid w:val="000A48AF"/>
    <w:rsid w:val="000B5063"/>
    <w:rsid w:val="000D34A1"/>
    <w:rsid w:val="000E7A15"/>
    <w:rsid w:val="00121408"/>
    <w:rsid w:val="00140388"/>
    <w:rsid w:val="00167FCA"/>
    <w:rsid w:val="00176293"/>
    <w:rsid w:val="001767F6"/>
    <w:rsid w:val="001A547D"/>
    <w:rsid w:val="001A66F7"/>
    <w:rsid w:val="001B09B4"/>
    <w:rsid w:val="001B42F6"/>
    <w:rsid w:val="001C482F"/>
    <w:rsid w:val="001D6013"/>
    <w:rsid w:val="001D60C7"/>
    <w:rsid w:val="001E47E0"/>
    <w:rsid w:val="001E5D75"/>
    <w:rsid w:val="001E6FA4"/>
    <w:rsid w:val="00214C76"/>
    <w:rsid w:val="002244F1"/>
    <w:rsid w:val="00225F31"/>
    <w:rsid w:val="00234E37"/>
    <w:rsid w:val="0024339A"/>
    <w:rsid w:val="00254BBC"/>
    <w:rsid w:val="002636FC"/>
    <w:rsid w:val="00274314"/>
    <w:rsid w:val="00290810"/>
    <w:rsid w:val="002E2F0F"/>
    <w:rsid w:val="002E582C"/>
    <w:rsid w:val="0030045B"/>
    <w:rsid w:val="003063EF"/>
    <w:rsid w:val="00307EF9"/>
    <w:rsid w:val="00324309"/>
    <w:rsid w:val="003326EE"/>
    <w:rsid w:val="0035060E"/>
    <w:rsid w:val="00353070"/>
    <w:rsid w:val="00357B93"/>
    <w:rsid w:val="00357E24"/>
    <w:rsid w:val="00366BC8"/>
    <w:rsid w:val="0037058C"/>
    <w:rsid w:val="00373179"/>
    <w:rsid w:val="003848CB"/>
    <w:rsid w:val="00386F38"/>
    <w:rsid w:val="003915AD"/>
    <w:rsid w:val="00394B56"/>
    <w:rsid w:val="003B2DFA"/>
    <w:rsid w:val="003B43F7"/>
    <w:rsid w:val="003D09DD"/>
    <w:rsid w:val="003F5C42"/>
    <w:rsid w:val="0041479A"/>
    <w:rsid w:val="004248A0"/>
    <w:rsid w:val="00432401"/>
    <w:rsid w:val="00453BB8"/>
    <w:rsid w:val="00460722"/>
    <w:rsid w:val="00480D14"/>
    <w:rsid w:val="004851B7"/>
    <w:rsid w:val="00490467"/>
    <w:rsid w:val="00493E70"/>
    <w:rsid w:val="004A5D93"/>
    <w:rsid w:val="004F305C"/>
    <w:rsid w:val="004F34FE"/>
    <w:rsid w:val="00530261"/>
    <w:rsid w:val="00533242"/>
    <w:rsid w:val="0053338A"/>
    <w:rsid w:val="005378CF"/>
    <w:rsid w:val="00537958"/>
    <w:rsid w:val="00544BFB"/>
    <w:rsid w:val="0054589E"/>
    <w:rsid w:val="005508BD"/>
    <w:rsid w:val="005527E8"/>
    <w:rsid w:val="005A5F01"/>
    <w:rsid w:val="005C3E79"/>
    <w:rsid w:val="005D21EA"/>
    <w:rsid w:val="005D2397"/>
    <w:rsid w:val="005D4E8D"/>
    <w:rsid w:val="005E0FA1"/>
    <w:rsid w:val="0060152A"/>
    <w:rsid w:val="00602A26"/>
    <w:rsid w:val="00607BFC"/>
    <w:rsid w:val="00626DF8"/>
    <w:rsid w:val="00630BC7"/>
    <w:rsid w:val="0065695C"/>
    <w:rsid w:val="0065701D"/>
    <w:rsid w:val="0066649D"/>
    <w:rsid w:val="006712FF"/>
    <w:rsid w:val="006755EE"/>
    <w:rsid w:val="00684730"/>
    <w:rsid w:val="006904A5"/>
    <w:rsid w:val="006906A6"/>
    <w:rsid w:val="00691152"/>
    <w:rsid w:val="00693FE3"/>
    <w:rsid w:val="0069426E"/>
    <w:rsid w:val="006B11C5"/>
    <w:rsid w:val="006B138C"/>
    <w:rsid w:val="006C1E65"/>
    <w:rsid w:val="006C26CA"/>
    <w:rsid w:val="00717433"/>
    <w:rsid w:val="00720F7E"/>
    <w:rsid w:val="00727A4C"/>
    <w:rsid w:val="00742A37"/>
    <w:rsid w:val="00745E8B"/>
    <w:rsid w:val="00756FD6"/>
    <w:rsid w:val="00784CC8"/>
    <w:rsid w:val="00794C7C"/>
    <w:rsid w:val="007A5378"/>
    <w:rsid w:val="007C57D4"/>
    <w:rsid w:val="007D207E"/>
    <w:rsid w:val="007D6E1C"/>
    <w:rsid w:val="007E3108"/>
    <w:rsid w:val="007E62A8"/>
    <w:rsid w:val="007F7EC1"/>
    <w:rsid w:val="00830335"/>
    <w:rsid w:val="00831308"/>
    <w:rsid w:val="0083343D"/>
    <w:rsid w:val="008367A2"/>
    <w:rsid w:val="00845B50"/>
    <w:rsid w:val="0085208E"/>
    <w:rsid w:val="008578B8"/>
    <w:rsid w:val="008636A7"/>
    <w:rsid w:val="00887181"/>
    <w:rsid w:val="00894E6F"/>
    <w:rsid w:val="008A3A7F"/>
    <w:rsid w:val="008A4BE5"/>
    <w:rsid w:val="008B784B"/>
    <w:rsid w:val="008C1DCB"/>
    <w:rsid w:val="008D7130"/>
    <w:rsid w:val="008F5152"/>
    <w:rsid w:val="00904FC8"/>
    <w:rsid w:val="00916F29"/>
    <w:rsid w:val="009358CA"/>
    <w:rsid w:val="00940479"/>
    <w:rsid w:val="009440D1"/>
    <w:rsid w:val="0094511A"/>
    <w:rsid w:val="00962D5D"/>
    <w:rsid w:val="009654B7"/>
    <w:rsid w:val="00976C6A"/>
    <w:rsid w:val="009A50CD"/>
    <w:rsid w:val="009A7713"/>
    <w:rsid w:val="009D2456"/>
    <w:rsid w:val="009E6E1B"/>
    <w:rsid w:val="00A21BA8"/>
    <w:rsid w:val="00A3060D"/>
    <w:rsid w:val="00A331D0"/>
    <w:rsid w:val="00A356A1"/>
    <w:rsid w:val="00A619FD"/>
    <w:rsid w:val="00A672B3"/>
    <w:rsid w:val="00A71417"/>
    <w:rsid w:val="00A776A8"/>
    <w:rsid w:val="00A87A4C"/>
    <w:rsid w:val="00A9401A"/>
    <w:rsid w:val="00A9599A"/>
    <w:rsid w:val="00A96D16"/>
    <w:rsid w:val="00AD0A83"/>
    <w:rsid w:val="00AD287F"/>
    <w:rsid w:val="00AF42E0"/>
    <w:rsid w:val="00AF6FD7"/>
    <w:rsid w:val="00B01853"/>
    <w:rsid w:val="00B02DE2"/>
    <w:rsid w:val="00B271FE"/>
    <w:rsid w:val="00B31549"/>
    <w:rsid w:val="00B74564"/>
    <w:rsid w:val="00B74BCA"/>
    <w:rsid w:val="00B75BFB"/>
    <w:rsid w:val="00B77815"/>
    <w:rsid w:val="00B8618A"/>
    <w:rsid w:val="00B96150"/>
    <w:rsid w:val="00B96B3E"/>
    <w:rsid w:val="00BA5491"/>
    <w:rsid w:val="00BB0F99"/>
    <w:rsid w:val="00BB268F"/>
    <w:rsid w:val="00BD53F8"/>
    <w:rsid w:val="00BE1C16"/>
    <w:rsid w:val="00BE4585"/>
    <w:rsid w:val="00C06FDA"/>
    <w:rsid w:val="00C123A4"/>
    <w:rsid w:val="00C1760A"/>
    <w:rsid w:val="00C4057A"/>
    <w:rsid w:val="00C41373"/>
    <w:rsid w:val="00C4176B"/>
    <w:rsid w:val="00C4774B"/>
    <w:rsid w:val="00C506CE"/>
    <w:rsid w:val="00C65DC4"/>
    <w:rsid w:val="00C77468"/>
    <w:rsid w:val="00C81AC7"/>
    <w:rsid w:val="00CA0BD6"/>
    <w:rsid w:val="00CE1A4D"/>
    <w:rsid w:val="00CE5D7D"/>
    <w:rsid w:val="00CF6FC6"/>
    <w:rsid w:val="00D064A4"/>
    <w:rsid w:val="00D50980"/>
    <w:rsid w:val="00D52A80"/>
    <w:rsid w:val="00D57444"/>
    <w:rsid w:val="00D67333"/>
    <w:rsid w:val="00D77FA1"/>
    <w:rsid w:val="00D84DC8"/>
    <w:rsid w:val="00D9237F"/>
    <w:rsid w:val="00D94BD1"/>
    <w:rsid w:val="00DA3C53"/>
    <w:rsid w:val="00DD1A8A"/>
    <w:rsid w:val="00DE762B"/>
    <w:rsid w:val="00DE7B8A"/>
    <w:rsid w:val="00E06B30"/>
    <w:rsid w:val="00E174C9"/>
    <w:rsid w:val="00E24EAE"/>
    <w:rsid w:val="00E24EFF"/>
    <w:rsid w:val="00E27135"/>
    <w:rsid w:val="00E47879"/>
    <w:rsid w:val="00E47FA6"/>
    <w:rsid w:val="00E62AB8"/>
    <w:rsid w:val="00E83F45"/>
    <w:rsid w:val="00EA3BD9"/>
    <w:rsid w:val="00EA4E6A"/>
    <w:rsid w:val="00EA698C"/>
    <w:rsid w:val="00EB4589"/>
    <w:rsid w:val="00EB5C66"/>
    <w:rsid w:val="00ED384F"/>
    <w:rsid w:val="00ED7190"/>
    <w:rsid w:val="00F00DAB"/>
    <w:rsid w:val="00F03B17"/>
    <w:rsid w:val="00F077D2"/>
    <w:rsid w:val="00F10E0C"/>
    <w:rsid w:val="00F65950"/>
    <w:rsid w:val="00F75AE8"/>
    <w:rsid w:val="00F85393"/>
    <w:rsid w:val="00F86F25"/>
    <w:rsid w:val="00F90D86"/>
    <w:rsid w:val="00FC3F5C"/>
    <w:rsid w:val="00FD60E0"/>
    <w:rsid w:val="00FD7C60"/>
    <w:rsid w:val="00FE113B"/>
    <w:rsid w:val="00FE7653"/>
    <w:rsid w:val="00FF7E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B0C88"/>
  <w15:docId w15:val="{2B210D53-9BBB-4319-8792-0420B63B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D2397"/>
    <w:pPr>
      <w:spacing w:after="0" w:line="240" w:lineRule="auto"/>
    </w:pPr>
    <w:rPr>
      <w:rFonts w:ascii="Calibri" w:eastAsia="Calibri" w:hAnsi="Calibri" w:cs="Times New Roman"/>
      <w:sz w:val="24"/>
      <w:szCs w:val="24"/>
    </w:rPr>
  </w:style>
  <w:style w:type="character" w:customStyle="1" w:styleId="FootnoteTextChar">
    <w:name w:val="Footnote Text Char"/>
    <w:basedOn w:val="DefaultParagraphFont"/>
    <w:link w:val="FootnoteText"/>
    <w:rsid w:val="005D2397"/>
    <w:rPr>
      <w:rFonts w:ascii="Calibri" w:eastAsia="Calibri" w:hAnsi="Calibri" w:cs="Times New Roman"/>
      <w:sz w:val="24"/>
      <w:szCs w:val="24"/>
    </w:rPr>
  </w:style>
  <w:style w:type="character" w:styleId="FootnoteReference">
    <w:name w:val="footnote reference"/>
    <w:unhideWhenUsed/>
    <w:rsid w:val="005D2397"/>
    <w:rPr>
      <w:vertAlign w:val="superscript"/>
    </w:rPr>
  </w:style>
  <w:style w:type="paragraph" w:styleId="Revision">
    <w:name w:val="Revision"/>
    <w:hidden/>
    <w:uiPriority w:val="99"/>
    <w:semiHidden/>
    <w:rsid w:val="00E4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4/dcn/13/24-13-0028-00-0000-draft-release-2-of-nistir-7761-2013-07-12-sgip-pap02wg-00009-pap2-v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6450-CE5C-4847-A4C8-D5208889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3395</Words>
  <Characters>19357</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7</cp:revision>
  <dcterms:created xsi:type="dcterms:W3CDTF">2016-07-26T22:59:00Z</dcterms:created>
  <dcterms:modified xsi:type="dcterms:W3CDTF">2016-09-15T20:24:00Z</dcterms:modified>
</cp:coreProperties>
</file>