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0227B5" w:rsidRDefault="004C4BC9" w:rsidP="00C75F57">
      <w:pPr>
        <w:pStyle w:val="T1"/>
        <w:pBdr>
          <w:bottom w:val="single" w:sz="6" w:space="0" w:color="auto"/>
        </w:pBdr>
        <w:suppressAutoHyphens/>
        <w:spacing w:after="240"/>
      </w:pPr>
      <w:r w:rsidRPr="000227B5">
        <w:t>IEEE P802.11</w:t>
      </w:r>
      <w:r w:rsidRPr="000227B5">
        <w:br/>
        <w:t>Wireless LANs</w:t>
      </w:r>
      <w:bookmarkStart w:id="0" w:name="_GoBack"/>
      <w:bookmarkEnd w:id="0"/>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0227B5" w14:paraId="11FD21C3" w14:textId="77777777" w:rsidTr="00024E44">
        <w:trPr>
          <w:trHeight w:val="350"/>
          <w:jc w:val="center"/>
        </w:trPr>
        <w:tc>
          <w:tcPr>
            <w:tcW w:w="9576" w:type="dxa"/>
            <w:gridSpan w:val="5"/>
            <w:vAlign w:val="center"/>
          </w:tcPr>
          <w:p w14:paraId="4624EF4C" w14:textId="18EC1689" w:rsidR="00A353D7" w:rsidRPr="000227B5" w:rsidRDefault="004B0876" w:rsidP="002E1A51">
            <w:pPr>
              <w:pStyle w:val="T2"/>
              <w:suppressAutoHyphens/>
              <w:spacing w:before="120" w:after="120"/>
              <w:ind w:left="0"/>
              <w:rPr>
                <w:b w:val="0"/>
              </w:rPr>
            </w:pPr>
            <w:r>
              <w:rPr>
                <w:b w:val="0"/>
              </w:rPr>
              <w:t>R-TWT Replacement Link</w:t>
            </w:r>
          </w:p>
        </w:tc>
      </w:tr>
      <w:tr w:rsidR="00A353D7" w:rsidRPr="000227B5" w14:paraId="5101EAE9" w14:textId="77777777" w:rsidTr="007836FF">
        <w:trPr>
          <w:trHeight w:val="269"/>
          <w:jc w:val="center"/>
        </w:trPr>
        <w:tc>
          <w:tcPr>
            <w:tcW w:w="9576" w:type="dxa"/>
            <w:gridSpan w:val="5"/>
            <w:vAlign w:val="center"/>
          </w:tcPr>
          <w:p w14:paraId="3704DF93" w14:textId="0FF11454" w:rsidR="00A353D7" w:rsidRPr="000227B5" w:rsidRDefault="00CA0CDA" w:rsidP="00223EEC">
            <w:pPr>
              <w:pStyle w:val="T2"/>
              <w:suppressAutoHyphens/>
              <w:spacing w:before="120" w:after="120"/>
              <w:ind w:left="0"/>
              <w:rPr>
                <w:b w:val="0"/>
                <w:sz w:val="20"/>
              </w:rPr>
            </w:pPr>
            <w:r w:rsidRPr="000227B5">
              <w:rPr>
                <w:bCs/>
                <w:sz w:val="20"/>
              </w:rPr>
              <w:t>Date</w:t>
            </w:r>
            <w:r w:rsidRPr="000227B5">
              <w:rPr>
                <w:b w:val="0"/>
                <w:sz w:val="20"/>
              </w:rPr>
              <w:t xml:space="preserve">: </w:t>
            </w:r>
            <w:r w:rsidR="00A0363E">
              <w:rPr>
                <w:b w:val="0"/>
                <w:sz w:val="20"/>
              </w:rPr>
              <w:t>Feb 2025</w:t>
            </w:r>
          </w:p>
        </w:tc>
      </w:tr>
      <w:tr w:rsidR="00A353D7" w:rsidRPr="000227B5" w14:paraId="2C8F57D3" w14:textId="77777777" w:rsidTr="00C6255B">
        <w:trPr>
          <w:cantSplit/>
          <w:jc w:val="center"/>
        </w:trPr>
        <w:tc>
          <w:tcPr>
            <w:tcW w:w="9576" w:type="dxa"/>
            <w:gridSpan w:val="5"/>
            <w:vAlign w:val="center"/>
          </w:tcPr>
          <w:p w14:paraId="519DC4AF" w14:textId="77777777" w:rsidR="00A353D7" w:rsidRPr="000227B5" w:rsidRDefault="00A353D7" w:rsidP="00C75F57">
            <w:pPr>
              <w:pStyle w:val="T2"/>
              <w:suppressAutoHyphens/>
              <w:spacing w:after="0"/>
              <w:ind w:left="0" w:right="0"/>
              <w:jc w:val="left"/>
              <w:rPr>
                <w:sz w:val="20"/>
              </w:rPr>
            </w:pPr>
            <w:r w:rsidRPr="000227B5">
              <w:rPr>
                <w:sz w:val="20"/>
              </w:rPr>
              <w:t>Author(s):</w:t>
            </w:r>
          </w:p>
        </w:tc>
      </w:tr>
      <w:tr w:rsidR="00A353D7" w:rsidRPr="000227B5" w14:paraId="4CA9836C" w14:textId="77777777" w:rsidTr="00E547CE">
        <w:trPr>
          <w:jc w:val="center"/>
        </w:trPr>
        <w:tc>
          <w:tcPr>
            <w:tcW w:w="1705" w:type="dxa"/>
            <w:vAlign w:val="center"/>
          </w:tcPr>
          <w:p w14:paraId="122902DC" w14:textId="77777777" w:rsidR="00A353D7" w:rsidRPr="000227B5" w:rsidRDefault="00A353D7" w:rsidP="00C75F57">
            <w:pPr>
              <w:pStyle w:val="T2"/>
              <w:suppressAutoHyphens/>
              <w:spacing w:after="0"/>
              <w:ind w:left="0" w:right="0"/>
              <w:jc w:val="left"/>
              <w:rPr>
                <w:sz w:val="20"/>
              </w:rPr>
            </w:pPr>
            <w:r w:rsidRPr="000227B5">
              <w:rPr>
                <w:sz w:val="20"/>
              </w:rPr>
              <w:t>Name</w:t>
            </w:r>
          </w:p>
        </w:tc>
        <w:tc>
          <w:tcPr>
            <w:tcW w:w="1695" w:type="dxa"/>
            <w:vAlign w:val="center"/>
          </w:tcPr>
          <w:p w14:paraId="4A5F7728" w14:textId="77777777" w:rsidR="00A353D7" w:rsidRPr="000227B5" w:rsidRDefault="00A353D7" w:rsidP="00C75F57">
            <w:pPr>
              <w:pStyle w:val="T2"/>
              <w:suppressAutoHyphens/>
              <w:spacing w:after="0"/>
              <w:ind w:left="0" w:right="0"/>
              <w:jc w:val="left"/>
              <w:rPr>
                <w:sz w:val="20"/>
              </w:rPr>
            </w:pPr>
            <w:r w:rsidRPr="000227B5">
              <w:rPr>
                <w:sz w:val="20"/>
              </w:rPr>
              <w:t>Affiliation</w:t>
            </w:r>
          </w:p>
        </w:tc>
        <w:tc>
          <w:tcPr>
            <w:tcW w:w="2175" w:type="dxa"/>
            <w:vAlign w:val="center"/>
          </w:tcPr>
          <w:p w14:paraId="4B6B0D13" w14:textId="77777777" w:rsidR="00A353D7" w:rsidRPr="000227B5" w:rsidRDefault="00A353D7" w:rsidP="00C75F57">
            <w:pPr>
              <w:pStyle w:val="T2"/>
              <w:suppressAutoHyphens/>
              <w:spacing w:after="0"/>
              <w:ind w:left="0" w:right="0"/>
              <w:jc w:val="left"/>
              <w:rPr>
                <w:sz w:val="20"/>
              </w:rPr>
            </w:pPr>
            <w:r w:rsidRPr="000227B5">
              <w:rPr>
                <w:sz w:val="20"/>
              </w:rPr>
              <w:t>Address</w:t>
            </w:r>
          </w:p>
        </w:tc>
        <w:tc>
          <w:tcPr>
            <w:tcW w:w="1710" w:type="dxa"/>
            <w:vAlign w:val="center"/>
          </w:tcPr>
          <w:p w14:paraId="64E1800C" w14:textId="77777777" w:rsidR="00A353D7" w:rsidRPr="000227B5" w:rsidRDefault="00A353D7" w:rsidP="00C75F57">
            <w:pPr>
              <w:pStyle w:val="T2"/>
              <w:suppressAutoHyphens/>
              <w:spacing w:after="0"/>
              <w:ind w:left="0" w:right="0"/>
              <w:jc w:val="left"/>
              <w:rPr>
                <w:sz w:val="20"/>
              </w:rPr>
            </w:pPr>
            <w:r w:rsidRPr="000227B5">
              <w:rPr>
                <w:sz w:val="20"/>
              </w:rPr>
              <w:t>Phone</w:t>
            </w:r>
          </w:p>
        </w:tc>
        <w:tc>
          <w:tcPr>
            <w:tcW w:w="2291" w:type="dxa"/>
            <w:vAlign w:val="center"/>
          </w:tcPr>
          <w:p w14:paraId="39FA26A6" w14:textId="56412C34" w:rsidR="00A353D7" w:rsidRPr="000227B5" w:rsidRDefault="001A6F4B" w:rsidP="00C75F57">
            <w:pPr>
              <w:pStyle w:val="T2"/>
              <w:suppressAutoHyphens/>
              <w:spacing w:after="0"/>
              <w:ind w:left="0" w:right="0"/>
              <w:jc w:val="left"/>
              <w:rPr>
                <w:sz w:val="20"/>
              </w:rPr>
            </w:pPr>
            <w:r w:rsidRPr="000227B5">
              <w:rPr>
                <w:sz w:val="20"/>
              </w:rPr>
              <w:t>E</w:t>
            </w:r>
            <w:r w:rsidR="00A353D7" w:rsidRPr="000227B5">
              <w:rPr>
                <w:sz w:val="20"/>
              </w:rPr>
              <w:t>mail</w:t>
            </w:r>
          </w:p>
        </w:tc>
      </w:tr>
      <w:tr w:rsidR="006F53CD" w:rsidRPr="000227B5" w14:paraId="14952E9D" w14:textId="77777777" w:rsidTr="00132ABE">
        <w:trPr>
          <w:jc w:val="center"/>
        </w:trPr>
        <w:tc>
          <w:tcPr>
            <w:tcW w:w="1705" w:type="dxa"/>
            <w:vAlign w:val="center"/>
          </w:tcPr>
          <w:p w14:paraId="148DA94C" w14:textId="48DB88DA"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Rubayet Shafin</w:t>
            </w:r>
          </w:p>
        </w:tc>
        <w:tc>
          <w:tcPr>
            <w:tcW w:w="1695" w:type="dxa"/>
            <w:vMerge w:val="restart"/>
            <w:vAlign w:val="center"/>
          </w:tcPr>
          <w:p w14:paraId="19A490FE" w14:textId="09FC3603" w:rsidR="006F53CD" w:rsidRPr="000227B5" w:rsidRDefault="006F53CD" w:rsidP="00E14254">
            <w:pPr>
              <w:pStyle w:val="T2"/>
              <w:suppressAutoHyphens/>
              <w:spacing w:after="0"/>
              <w:ind w:left="0" w:right="0"/>
              <w:rPr>
                <w:b w:val="0"/>
                <w:sz w:val="18"/>
                <w:szCs w:val="18"/>
                <w:lang w:eastAsia="ko-KR"/>
              </w:rPr>
            </w:pPr>
            <w:r w:rsidRPr="000227B5">
              <w:rPr>
                <w:b w:val="0"/>
                <w:sz w:val="18"/>
                <w:szCs w:val="18"/>
                <w:lang w:eastAsia="ko-KR"/>
              </w:rPr>
              <w:t xml:space="preserve">Samsung </w:t>
            </w:r>
            <w:r w:rsidR="00F07AB4">
              <w:rPr>
                <w:b w:val="0"/>
                <w:sz w:val="18"/>
                <w:szCs w:val="18"/>
                <w:lang w:eastAsia="ko-KR"/>
              </w:rPr>
              <w:t>Electronics</w:t>
            </w:r>
          </w:p>
        </w:tc>
        <w:tc>
          <w:tcPr>
            <w:tcW w:w="2175" w:type="dxa"/>
            <w:vMerge w:val="restart"/>
          </w:tcPr>
          <w:p w14:paraId="595B2595" w14:textId="49AB1C69" w:rsidR="006F53CD" w:rsidRPr="000227B5" w:rsidRDefault="004B0876" w:rsidP="002168EC">
            <w:pPr>
              <w:pStyle w:val="T2"/>
              <w:suppressAutoHyphens/>
              <w:spacing w:after="0"/>
              <w:ind w:left="0" w:right="0"/>
              <w:rPr>
                <w:b w:val="0"/>
                <w:sz w:val="18"/>
                <w:szCs w:val="18"/>
                <w:lang w:eastAsia="ko-KR"/>
              </w:rPr>
            </w:pPr>
            <w:r>
              <w:rPr>
                <w:b w:val="0"/>
                <w:sz w:val="18"/>
                <w:szCs w:val="18"/>
                <w:lang w:eastAsia="ko-KR"/>
              </w:rPr>
              <w:t>6105 Tennyson Pkwy</w:t>
            </w:r>
            <w:r w:rsidR="006F53CD" w:rsidRPr="000227B5">
              <w:rPr>
                <w:b w:val="0"/>
                <w:sz w:val="18"/>
                <w:szCs w:val="18"/>
                <w:lang w:eastAsia="ko-KR"/>
              </w:rPr>
              <w:t>, Plano, TX, 7502</w:t>
            </w:r>
            <w:r>
              <w:rPr>
                <w:b w:val="0"/>
                <w:sz w:val="18"/>
                <w:szCs w:val="18"/>
                <w:lang w:eastAsia="ko-KR"/>
              </w:rPr>
              <w:t>4</w:t>
            </w:r>
          </w:p>
        </w:tc>
        <w:tc>
          <w:tcPr>
            <w:tcW w:w="1710" w:type="dxa"/>
            <w:vAlign w:val="center"/>
          </w:tcPr>
          <w:p w14:paraId="18BD9FA5" w14:textId="6E15AD06"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6F53CD" w:rsidRPr="000227B5" w:rsidRDefault="00FF44C7" w:rsidP="001A6F4B">
            <w:pPr>
              <w:pStyle w:val="T2"/>
              <w:suppressAutoHyphens/>
              <w:spacing w:after="0"/>
              <w:ind w:left="0" w:right="0"/>
              <w:jc w:val="left"/>
              <w:rPr>
                <w:b w:val="0"/>
                <w:sz w:val="16"/>
                <w:szCs w:val="18"/>
                <w:lang w:eastAsia="ko-KR"/>
              </w:rPr>
            </w:pPr>
            <w:hyperlink r:id="rId8" w:history="1">
              <w:r w:rsidR="006F53CD" w:rsidRPr="000227B5">
                <w:rPr>
                  <w:rStyle w:val="Hyperlink"/>
                  <w:b w:val="0"/>
                  <w:sz w:val="16"/>
                  <w:szCs w:val="18"/>
                  <w:lang w:eastAsia="ko-KR"/>
                </w:rPr>
                <w:t>r.shafin@samsung.com</w:t>
              </w:r>
            </w:hyperlink>
          </w:p>
        </w:tc>
      </w:tr>
      <w:tr w:rsidR="006F53CD" w:rsidRPr="000227B5" w14:paraId="596ED9DB" w14:textId="77777777" w:rsidTr="00E547CE">
        <w:trPr>
          <w:jc w:val="center"/>
        </w:trPr>
        <w:tc>
          <w:tcPr>
            <w:tcW w:w="1705" w:type="dxa"/>
            <w:vAlign w:val="center"/>
          </w:tcPr>
          <w:p w14:paraId="008ECE2D" w14:textId="370304C2"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Boon Loong Ng</w:t>
            </w:r>
          </w:p>
        </w:tc>
        <w:tc>
          <w:tcPr>
            <w:tcW w:w="1695" w:type="dxa"/>
            <w:vMerge/>
            <w:vAlign w:val="center"/>
          </w:tcPr>
          <w:p w14:paraId="018848BA" w14:textId="53762F3B" w:rsidR="006F53CD" w:rsidRPr="000227B5" w:rsidRDefault="006F53CD" w:rsidP="00E44F2A">
            <w:pPr>
              <w:pStyle w:val="T2"/>
              <w:suppressAutoHyphens/>
              <w:spacing w:after="0"/>
              <w:ind w:left="0" w:right="0"/>
              <w:jc w:val="left"/>
              <w:rPr>
                <w:b w:val="0"/>
                <w:sz w:val="20"/>
              </w:rPr>
            </w:pPr>
          </w:p>
        </w:tc>
        <w:tc>
          <w:tcPr>
            <w:tcW w:w="2175" w:type="dxa"/>
            <w:vMerge/>
          </w:tcPr>
          <w:p w14:paraId="0795BABC" w14:textId="02701AAB" w:rsidR="006F53CD" w:rsidRPr="000227B5" w:rsidRDefault="006F53CD" w:rsidP="00E44F2A">
            <w:pPr>
              <w:pStyle w:val="T2"/>
              <w:suppressAutoHyphens/>
              <w:spacing w:after="0"/>
              <w:ind w:left="0" w:right="0"/>
              <w:jc w:val="left"/>
              <w:rPr>
                <w:b w:val="0"/>
                <w:sz w:val="20"/>
              </w:rPr>
            </w:pPr>
          </w:p>
        </w:tc>
        <w:tc>
          <w:tcPr>
            <w:tcW w:w="1710" w:type="dxa"/>
            <w:vAlign w:val="center"/>
          </w:tcPr>
          <w:p w14:paraId="16296257" w14:textId="49A2B7C0" w:rsidR="006F53CD" w:rsidRPr="000227B5" w:rsidRDefault="006F53CD" w:rsidP="00E44F2A">
            <w:pPr>
              <w:pStyle w:val="T2"/>
              <w:suppressAutoHyphens/>
              <w:spacing w:after="0"/>
              <w:ind w:left="0" w:right="0"/>
              <w:jc w:val="left"/>
              <w:rPr>
                <w:b w:val="0"/>
                <w:sz w:val="20"/>
              </w:rPr>
            </w:pPr>
          </w:p>
        </w:tc>
        <w:tc>
          <w:tcPr>
            <w:tcW w:w="2291" w:type="dxa"/>
            <w:vAlign w:val="center"/>
          </w:tcPr>
          <w:p w14:paraId="4CAE653E" w14:textId="3D2FED31" w:rsidR="006F53CD" w:rsidRPr="000227B5" w:rsidRDefault="006F53CD" w:rsidP="00E44F2A">
            <w:pPr>
              <w:pStyle w:val="T2"/>
              <w:suppressAutoHyphens/>
              <w:spacing w:after="0"/>
              <w:ind w:left="0" w:right="0"/>
              <w:jc w:val="left"/>
              <w:rPr>
                <w:b w:val="0"/>
                <w:sz w:val="16"/>
              </w:rPr>
            </w:pPr>
          </w:p>
        </w:tc>
      </w:tr>
      <w:tr w:rsidR="006F53CD" w:rsidRPr="000227B5" w14:paraId="2C023A30" w14:textId="77777777" w:rsidTr="00E547CE">
        <w:trPr>
          <w:jc w:val="center"/>
        </w:trPr>
        <w:tc>
          <w:tcPr>
            <w:tcW w:w="1705" w:type="dxa"/>
            <w:vAlign w:val="center"/>
          </w:tcPr>
          <w:p w14:paraId="6F6ED727" w14:textId="2DA06999"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Peshal Nayak</w:t>
            </w:r>
          </w:p>
        </w:tc>
        <w:tc>
          <w:tcPr>
            <w:tcW w:w="1695" w:type="dxa"/>
            <w:vMerge/>
            <w:vAlign w:val="center"/>
          </w:tcPr>
          <w:p w14:paraId="0A40E4EA" w14:textId="7D2C86D9"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769A8E4A" w14:textId="722A3B8D"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395477A1" w14:textId="77777777" w:rsidTr="00E547CE">
        <w:trPr>
          <w:jc w:val="center"/>
        </w:trPr>
        <w:tc>
          <w:tcPr>
            <w:tcW w:w="1705" w:type="dxa"/>
            <w:vAlign w:val="center"/>
          </w:tcPr>
          <w:p w14:paraId="6561D501" w14:textId="2BBD3162"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Vishnu Ratnam</w:t>
            </w:r>
          </w:p>
        </w:tc>
        <w:tc>
          <w:tcPr>
            <w:tcW w:w="1695" w:type="dxa"/>
            <w:vMerge/>
            <w:vAlign w:val="center"/>
          </w:tcPr>
          <w:p w14:paraId="75357DF9"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202EA7E7"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2067E0DF" w14:textId="77777777" w:rsidTr="00E547CE">
        <w:trPr>
          <w:jc w:val="center"/>
        </w:trPr>
        <w:tc>
          <w:tcPr>
            <w:tcW w:w="1705" w:type="dxa"/>
            <w:vAlign w:val="center"/>
          </w:tcPr>
          <w:p w14:paraId="1266E4C5" w14:textId="19F0C4FA"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Yue Qi</w:t>
            </w:r>
          </w:p>
        </w:tc>
        <w:tc>
          <w:tcPr>
            <w:tcW w:w="1695" w:type="dxa"/>
            <w:vMerge/>
            <w:vAlign w:val="center"/>
          </w:tcPr>
          <w:p w14:paraId="10632300"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46426AC7"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421A38B7" w14:textId="77777777" w:rsidTr="00E547CE">
        <w:trPr>
          <w:jc w:val="center"/>
        </w:trPr>
        <w:tc>
          <w:tcPr>
            <w:tcW w:w="1705" w:type="dxa"/>
            <w:vAlign w:val="center"/>
          </w:tcPr>
          <w:p w14:paraId="1360557E" w14:textId="73367ACE" w:rsidR="006F53CD" w:rsidRPr="000227B5" w:rsidRDefault="005A6A8F" w:rsidP="00E44F2A">
            <w:pPr>
              <w:pStyle w:val="T2"/>
              <w:suppressAutoHyphens/>
              <w:spacing w:after="0"/>
              <w:ind w:left="0" w:right="0"/>
              <w:jc w:val="left"/>
              <w:rPr>
                <w:b w:val="0"/>
                <w:sz w:val="18"/>
                <w:szCs w:val="18"/>
                <w:lang w:eastAsia="ko-KR"/>
              </w:rPr>
            </w:pPr>
            <w:r>
              <w:rPr>
                <w:b w:val="0"/>
                <w:sz w:val="18"/>
                <w:szCs w:val="18"/>
                <w:lang w:eastAsia="ko-KR"/>
              </w:rPr>
              <w:t>Bilal Sadiq</w:t>
            </w:r>
          </w:p>
        </w:tc>
        <w:tc>
          <w:tcPr>
            <w:tcW w:w="1695" w:type="dxa"/>
            <w:vMerge/>
            <w:vAlign w:val="center"/>
          </w:tcPr>
          <w:p w14:paraId="71BC8EF9"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69C5DC3E"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669F250A"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025CEDC4" w14:textId="77777777" w:rsidR="006F53CD" w:rsidRPr="000227B5" w:rsidRDefault="006F53CD" w:rsidP="00E44F2A">
            <w:pPr>
              <w:pStyle w:val="T2"/>
              <w:suppressAutoHyphens/>
              <w:spacing w:after="0"/>
              <w:ind w:left="0" w:right="0"/>
              <w:jc w:val="left"/>
              <w:rPr>
                <w:b w:val="0"/>
                <w:sz w:val="16"/>
                <w:szCs w:val="18"/>
                <w:lang w:eastAsia="ko-KR"/>
              </w:rPr>
            </w:pPr>
          </w:p>
        </w:tc>
      </w:tr>
    </w:tbl>
    <w:p w14:paraId="62F05A71" w14:textId="22A5B4B8" w:rsidR="00A353D7" w:rsidRPr="000227B5" w:rsidRDefault="0024297C" w:rsidP="0024297C">
      <w:pPr>
        <w:pStyle w:val="T1"/>
        <w:tabs>
          <w:tab w:val="center" w:pos="4320"/>
          <w:tab w:val="left" w:pos="6490"/>
        </w:tabs>
        <w:suppressAutoHyphens/>
        <w:spacing w:after="120"/>
        <w:jc w:val="left"/>
      </w:pPr>
      <w:r w:rsidRPr="000227B5">
        <w:tab/>
      </w:r>
      <w:r w:rsidR="00A353D7" w:rsidRPr="000227B5">
        <w:t>Abstract</w:t>
      </w:r>
      <w:r w:rsidRPr="000227B5">
        <w:tab/>
      </w:r>
    </w:p>
    <w:p w14:paraId="6918D4FB" w14:textId="082E20FB" w:rsidR="00F87BB5" w:rsidRPr="000227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02586B62" w:rsidR="00A8423E" w:rsidRPr="000227B5" w:rsidRDefault="00A0363E" w:rsidP="00A8423E">
      <w:pPr>
        <w:pStyle w:val="T"/>
        <w:spacing w:after="0" w:line="240" w:lineRule="auto"/>
        <w:rPr>
          <w:b/>
          <w:i/>
          <w:iCs/>
          <w:highlight w:val="yellow"/>
        </w:rPr>
      </w:pPr>
      <w:proofErr w:type="spellStart"/>
      <w:r>
        <w:rPr>
          <w:b/>
          <w:i/>
          <w:iCs/>
          <w:highlight w:val="yellow"/>
        </w:rPr>
        <w:t>TGmf</w:t>
      </w:r>
      <w:proofErr w:type="spellEnd"/>
      <w:r>
        <w:rPr>
          <w:b/>
          <w:i/>
          <w:iCs/>
          <w:highlight w:val="yellow"/>
        </w:rPr>
        <w:t xml:space="preserve"> editor</w:t>
      </w:r>
      <w:r w:rsidR="00A8423E" w:rsidRPr="000227B5">
        <w:rPr>
          <w:b/>
          <w:i/>
          <w:iCs/>
          <w:highlight w:val="yellow"/>
        </w:rPr>
        <w:t xml:space="preserve">: Please note Baseline is 11be </w:t>
      </w:r>
      <w:r>
        <w:rPr>
          <w:b/>
          <w:i/>
          <w:iCs/>
          <w:highlight w:val="yellow"/>
        </w:rPr>
        <w:t xml:space="preserve">D7.0 and </w:t>
      </w:r>
      <w:proofErr w:type="spellStart"/>
      <w:r>
        <w:rPr>
          <w:b/>
          <w:i/>
          <w:iCs/>
          <w:highlight w:val="yellow"/>
        </w:rPr>
        <w:t>REVme</w:t>
      </w:r>
      <w:proofErr w:type="spellEnd"/>
      <w:r>
        <w:rPr>
          <w:b/>
          <w:i/>
          <w:iCs/>
          <w:highlight w:val="yellow"/>
        </w:rPr>
        <w:t xml:space="preserve"> D7.0</w:t>
      </w:r>
    </w:p>
    <w:p w14:paraId="44609FB7" w14:textId="77777777" w:rsidR="004D5DB9" w:rsidRPr="000227B5" w:rsidRDefault="004D5DB9" w:rsidP="00A8423E">
      <w:pPr>
        <w:pStyle w:val="T"/>
        <w:spacing w:after="0" w:line="240" w:lineRule="auto"/>
        <w:rPr>
          <w:b/>
          <w:i/>
          <w:iCs/>
          <w:highlight w:val="yellow"/>
        </w:rPr>
      </w:pPr>
    </w:p>
    <w:p w14:paraId="57677F17" w14:textId="77777777" w:rsidR="005A4375" w:rsidRPr="000227B5" w:rsidRDefault="00A353D7" w:rsidP="005A4375">
      <w:p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br w:type="page"/>
      </w:r>
      <w:r w:rsidR="005A4375" w:rsidRPr="000227B5">
        <w:rPr>
          <w:rFonts w:ascii="Times New Roman" w:eastAsia="Malgun Gothic" w:hAnsi="Times New Roman" w:cs="Times New Roman"/>
          <w:sz w:val="18"/>
          <w:szCs w:val="20"/>
          <w:lang w:val="en-GB"/>
        </w:rPr>
        <w:lastRenderedPageBreak/>
        <w:t>Interpretation of a Motion to Adopt</w:t>
      </w:r>
    </w:p>
    <w:p w14:paraId="38836EAC" w14:textId="0A4137D9"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0227B5">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0227B5">
        <w:rPr>
          <w:rFonts w:ascii="Times New Roman" w:eastAsia="Malgun Gothic" w:hAnsi="Times New Roman" w:cs="Times New Roman"/>
          <w:sz w:val="18"/>
          <w:szCs w:val="20"/>
          <w:lang w:val="en-GB" w:eastAsia="ko-KR"/>
        </w:rPr>
        <w:t>TGbe</w:t>
      </w:r>
      <w:proofErr w:type="spellEnd"/>
      <w:r w:rsidRPr="000227B5">
        <w:rPr>
          <w:rFonts w:ascii="Times New Roman" w:eastAsia="Malgun Gothic" w:hAnsi="Times New Roman" w:cs="Times New Roman"/>
          <w:sz w:val="18"/>
          <w:szCs w:val="20"/>
          <w:lang w:val="en-GB" w:eastAsia="ko-KR"/>
        </w:rPr>
        <w:t xml:space="preserve"> Draft. This introduction is not part of the adopted material.</w:t>
      </w:r>
    </w:p>
    <w:p w14:paraId="06BAEA1E" w14:textId="77777777" w:rsidR="004142A8" w:rsidRPr="000227B5" w:rsidRDefault="004142A8" w:rsidP="005A4375">
      <w:pPr>
        <w:suppressAutoHyphens/>
        <w:spacing w:after="0" w:line="240" w:lineRule="auto"/>
        <w:rPr>
          <w:rFonts w:ascii="Times New Roman" w:eastAsia="Malgun Gothic" w:hAnsi="Times New Roman" w:cs="Times New Roman"/>
          <w:sz w:val="18"/>
          <w:szCs w:val="20"/>
          <w:lang w:val="en-GB" w:eastAsia="ko-KR"/>
        </w:rPr>
      </w:pPr>
    </w:p>
    <w:p w14:paraId="34D66DC0" w14:textId="77777777" w:rsidR="00DF4554" w:rsidRDefault="00DF4554" w:rsidP="002C012F">
      <w:pPr>
        <w:spacing w:before="240" w:after="0" w:line="240" w:lineRule="auto"/>
        <w:rPr>
          <w:rFonts w:ascii="Times New Roman" w:eastAsia="Times New Roman" w:hAnsi="Times New Roman" w:cs="Times New Roman"/>
          <w:b/>
          <w:bCs/>
          <w:sz w:val="18"/>
          <w:szCs w:val="18"/>
          <w:u w:val="single"/>
          <w:lang w:val="en-GB" w:eastAsia="ko-KR"/>
        </w:rPr>
      </w:pPr>
    </w:p>
    <w:p w14:paraId="054A0029" w14:textId="6BC30CFE" w:rsidR="002C012F" w:rsidRPr="00821B4D" w:rsidRDefault="002C012F" w:rsidP="002C012F">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02F4E749" w14:textId="77777777" w:rsidR="002C012F" w:rsidRDefault="002C012F" w:rsidP="002C012F">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08598C74" w14:textId="77777777" w:rsidR="002C012F" w:rsidRPr="00DF6322" w:rsidRDefault="002C012F" w:rsidP="002C012F">
      <w:pPr>
        <w:tabs>
          <w:tab w:val="left" w:pos="2082"/>
        </w:tabs>
        <w:rPr>
          <w:rFonts w:ascii="Times New Roman" w:hAnsi="Times New Roman" w:cs="Times New Roman"/>
          <w:sz w:val="18"/>
          <w:szCs w:val="18"/>
        </w:rPr>
      </w:pPr>
      <w:bookmarkStart w:id="1" w:name="_Hlk96016483"/>
      <w:r w:rsidRPr="00FD6D35">
        <w:rPr>
          <w:rFonts w:ascii="Times New Roman" w:hAnsi="Times New Roman" w:cs="Times New Roman"/>
          <w:sz w:val="18"/>
          <w:szCs w:val="18"/>
        </w:rPr>
        <w:t>Due to power saving purpose or regulatory</w:t>
      </w:r>
      <w:r>
        <w:rPr>
          <w:rFonts w:ascii="Times New Roman" w:hAnsi="Times New Roman" w:cs="Times New Roman"/>
          <w:sz w:val="18"/>
          <w:szCs w:val="18"/>
        </w:rPr>
        <w:t xml:space="preserve"> </w:t>
      </w:r>
      <w:r w:rsidRPr="00FD6D35">
        <w:rPr>
          <w:rFonts w:ascii="Times New Roman" w:hAnsi="Times New Roman" w:cs="Times New Roman"/>
          <w:sz w:val="18"/>
          <w:szCs w:val="18"/>
        </w:rPr>
        <w:t xml:space="preserve">reasons, a link between an AP MLD and a non-AP MLD can be muted or become unavailable. If the non-AP MLD had an </w:t>
      </w:r>
      <w:r>
        <w:rPr>
          <w:rFonts w:ascii="Times New Roman" w:hAnsi="Times New Roman" w:cs="Times New Roman"/>
          <w:sz w:val="18"/>
          <w:szCs w:val="18"/>
        </w:rPr>
        <w:t>R</w:t>
      </w:r>
      <w:r w:rsidRPr="00FD6D35">
        <w:rPr>
          <w:rFonts w:ascii="Times New Roman" w:hAnsi="Times New Roman" w:cs="Times New Roman"/>
          <w:sz w:val="18"/>
          <w:szCs w:val="18"/>
        </w:rPr>
        <w:t>-TWT schedule set up on that link for its latency-sensitive traffic, there needs to be a method to seamlessly retrieve or transmit latency-sensit</w:t>
      </w:r>
      <w:r>
        <w:rPr>
          <w:rFonts w:ascii="Times New Roman" w:hAnsi="Times New Roman" w:cs="Times New Roman"/>
          <w:sz w:val="18"/>
          <w:szCs w:val="18"/>
        </w:rPr>
        <w:t>i</w:t>
      </w:r>
      <w:r w:rsidRPr="00FD6D35">
        <w:rPr>
          <w:rFonts w:ascii="Times New Roman" w:hAnsi="Times New Roman" w:cs="Times New Roman"/>
          <w:sz w:val="18"/>
          <w:szCs w:val="18"/>
        </w:rPr>
        <w:t>ve BUs on another link before the first link becomes unavailable. Currently, such a mechanism is missing</w:t>
      </w:r>
      <w:r>
        <w:rPr>
          <w:rFonts w:ascii="Times New Roman" w:hAnsi="Times New Roman" w:cs="Times New Roman"/>
          <w:sz w:val="18"/>
          <w:szCs w:val="18"/>
        </w:rPr>
        <w:t xml:space="preserve"> in the R-TWT operation</w:t>
      </w:r>
      <w:r w:rsidRPr="00FD6D35">
        <w:rPr>
          <w:rFonts w:ascii="Times New Roman" w:hAnsi="Times New Roman" w:cs="Times New Roman"/>
          <w:sz w:val="18"/>
          <w:szCs w:val="18"/>
        </w:rPr>
        <w:t>. Note that renegotiating another schedule for the second link might not be a seamless process.</w:t>
      </w:r>
      <w:r>
        <w:rPr>
          <w:rFonts w:ascii="Times New Roman" w:hAnsi="Times New Roman" w:cs="Times New Roman"/>
          <w:sz w:val="18"/>
          <w:szCs w:val="18"/>
        </w:rPr>
        <w:t xml:space="preserve"> The issue is illustrated in Figure D-1.</w:t>
      </w:r>
    </w:p>
    <w:p w14:paraId="6E6DE2B5" w14:textId="77777777" w:rsidR="002C012F" w:rsidRDefault="002C012F" w:rsidP="002C012F">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p w14:paraId="089F1CCE" w14:textId="77777777" w:rsidR="002C012F" w:rsidRDefault="002C012F" w:rsidP="002C012F">
      <w:pPr>
        <w:pBdr>
          <w:top w:val="nil"/>
          <w:left w:val="nil"/>
          <w:bottom w:val="nil"/>
          <w:right w:val="nil"/>
          <w:between w:val="nil"/>
        </w:pBdr>
        <w:spacing w:after="0" w:line="240" w:lineRule="auto"/>
        <w:ind w:left="720"/>
        <w:contextualSpacing/>
        <w:jc w:val="center"/>
      </w:pPr>
      <w:r>
        <w:object w:dxaOrig="9108" w:dyaOrig="4704" w14:anchorId="5C605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235.9pt" o:ole="">
            <v:imagedata r:id="rId9" o:title=""/>
          </v:shape>
          <o:OLEObject Type="Embed" ProgID="Visio.Drawing.15" ShapeID="_x0000_i1025" DrawAspect="Content" ObjectID="_1803300950" r:id="rId10"/>
        </w:object>
      </w:r>
    </w:p>
    <w:p w14:paraId="5B20B41F" w14:textId="77777777" w:rsidR="002C012F" w:rsidRDefault="002C012F" w:rsidP="002C012F">
      <w:pPr>
        <w:pBdr>
          <w:top w:val="nil"/>
          <w:left w:val="nil"/>
          <w:bottom w:val="nil"/>
          <w:right w:val="nil"/>
          <w:between w:val="nil"/>
        </w:pBdr>
        <w:spacing w:after="0" w:line="240" w:lineRule="auto"/>
        <w:ind w:left="720"/>
        <w:contextualSpacing/>
        <w:jc w:val="center"/>
      </w:pPr>
    </w:p>
    <w:p w14:paraId="10AAE653" w14:textId="77777777" w:rsidR="002C012F" w:rsidRDefault="002C012F" w:rsidP="002C012F">
      <w:pPr>
        <w:pBdr>
          <w:top w:val="nil"/>
          <w:left w:val="nil"/>
          <w:bottom w:val="nil"/>
          <w:right w:val="nil"/>
          <w:between w:val="nil"/>
        </w:pBdr>
        <w:spacing w:after="0" w:line="240" w:lineRule="auto"/>
        <w:ind w:left="720"/>
        <w:contextualSpacing/>
        <w:jc w:val="center"/>
        <w:rPr>
          <w:rFonts w:ascii="Times New Roman" w:hAnsi="Times New Roman" w:cs="Times New Roman"/>
          <w:bCs/>
          <w:sz w:val="20"/>
          <w:szCs w:val="18"/>
        </w:rPr>
      </w:pPr>
      <w:r w:rsidRPr="00807FDC">
        <w:rPr>
          <w:rFonts w:ascii="Times New Roman" w:hAnsi="Times New Roman" w:cs="Times New Roman"/>
          <w:bCs/>
          <w:sz w:val="20"/>
          <w:szCs w:val="18"/>
        </w:rPr>
        <w:t>Figure D</w:t>
      </w:r>
      <w:r>
        <w:rPr>
          <w:rFonts w:ascii="Times New Roman" w:hAnsi="Times New Roman" w:cs="Times New Roman"/>
          <w:bCs/>
          <w:sz w:val="20"/>
          <w:szCs w:val="18"/>
        </w:rPr>
        <w:t>-</w:t>
      </w:r>
      <w:r w:rsidRPr="00807FDC">
        <w:rPr>
          <w:rFonts w:ascii="Times New Roman" w:hAnsi="Times New Roman" w:cs="Times New Roman"/>
          <w:bCs/>
          <w:sz w:val="20"/>
          <w:szCs w:val="18"/>
        </w:rPr>
        <w:t xml:space="preserve">1: </w:t>
      </w:r>
      <w:r w:rsidRPr="00DF6322">
        <w:rPr>
          <w:rFonts w:ascii="Times New Roman" w:hAnsi="Times New Roman" w:cs="Times New Roman"/>
          <w:bCs/>
          <w:sz w:val="20"/>
          <w:szCs w:val="18"/>
        </w:rPr>
        <w:t>Illustrati</w:t>
      </w:r>
      <w:r>
        <w:rPr>
          <w:rFonts w:ascii="Times New Roman" w:hAnsi="Times New Roman" w:cs="Times New Roman"/>
          <w:bCs/>
          <w:sz w:val="20"/>
          <w:szCs w:val="18"/>
        </w:rPr>
        <w:t>on of</w:t>
      </w:r>
      <w:r w:rsidRPr="00DF6322">
        <w:rPr>
          <w:rFonts w:ascii="Times New Roman" w:hAnsi="Times New Roman" w:cs="Times New Roman"/>
          <w:bCs/>
          <w:sz w:val="20"/>
          <w:szCs w:val="18"/>
        </w:rPr>
        <w:t xml:space="preserve"> the issue of Link disablement or deletion while there is still an R-TWT Schedule established on that link.</w:t>
      </w:r>
    </w:p>
    <w:p w14:paraId="0752C88F" w14:textId="77777777" w:rsidR="002C012F" w:rsidRDefault="002C012F" w:rsidP="002C012F">
      <w:pPr>
        <w:pBdr>
          <w:top w:val="nil"/>
          <w:left w:val="nil"/>
          <w:bottom w:val="nil"/>
          <w:right w:val="nil"/>
          <w:between w:val="nil"/>
        </w:pBdr>
        <w:spacing w:after="0" w:line="240" w:lineRule="auto"/>
        <w:ind w:left="720"/>
        <w:contextualSpacing/>
        <w:jc w:val="center"/>
        <w:rPr>
          <w:rFonts w:ascii="Times New Roman" w:eastAsia="Times New Roman" w:hAnsi="Times New Roman" w:cs="Times New Roman"/>
          <w:color w:val="000000"/>
          <w:sz w:val="18"/>
          <w:szCs w:val="18"/>
          <w:lang w:val="en-GB" w:eastAsia="ko-KR"/>
        </w:rPr>
      </w:pPr>
    </w:p>
    <w:p w14:paraId="0DE4D797" w14:textId="77777777" w:rsidR="002C012F" w:rsidRDefault="002C012F" w:rsidP="002C012F">
      <w:pPr>
        <w:tabs>
          <w:tab w:val="left" w:pos="2082"/>
        </w:tabs>
        <w:rPr>
          <w:rFonts w:ascii="Times New Roman" w:hAnsi="Times New Roman" w:cs="Times New Roman"/>
          <w:b/>
          <w:bCs/>
          <w:sz w:val="18"/>
          <w:szCs w:val="18"/>
        </w:rPr>
      </w:pPr>
      <w:r>
        <w:rPr>
          <w:rFonts w:ascii="Times New Roman" w:hAnsi="Times New Roman" w:cs="Times New Roman"/>
          <w:sz w:val="18"/>
          <w:szCs w:val="18"/>
        </w:rPr>
        <w:t>In Figure D-1, an R-TWT schedule is established on Link 1. The first R-TWT SP starts at time t1 and ends at time t2. The second R-TWT SP is scheduled to start at time t4 and scheduled to end at time t5. However, the link is scheduled to be deleted or disabled at time t3. Hence, the second R-TWT SP would not be available for the non-AP MLD, and hence, the latency-sensitive traffic for the non-AP MLD would be affected. Similar situation can also happen to other non-AP MLDs associated with the AP MLD and that have R-TWT schedules set up on Link 1. Hence the AP MLD needs a mechanism to establish a replacement R-TWT schedule on a different link before the restricted TWT on Link 1 becomes unavailable due to link deletion.</w:t>
      </w:r>
    </w:p>
    <w:p w14:paraId="1F2F73D4" w14:textId="77777777" w:rsidR="002C012F" w:rsidRDefault="002C012F" w:rsidP="002C012F">
      <w:pPr>
        <w:tabs>
          <w:tab w:val="left" w:pos="2082"/>
        </w:tabs>
        <w:rPr>
          <w:rFonts w:ascii="Times New Roman" w:hAnsi="Times New Roman" w:cs="Times New Roman"/>
          <w:sz w:val="18"/>
          <w:szCs w:val="18"/>
        </w:rPr>
      </w:pPr>
      <w:r w:rsidRPr="003657E9">
        <w:rPr>
          <w:rFonts w:ascii="Times New Roman" w:hAnsi="Times New Roman" w:cs="Times New Roman" w:hint="eastAsia"/>
          <w:sz w:val="18"/>
          <w:szCs w:val="18"/>
        </w:rPr>
        <w:t xml:space="preserve">There can be many R-TWT scheduled </w:t>
      </w:r>
      <w:r>
        <w:rPr>
          <w:rFonts w:ascii="Times New Roman" w:hAnsi="Times New Roman" w:cs="Times New Roman"/>
          <w:sz w:val="18"/>
          <w:szCs w:val="18"/>
        </w:rPr>
        <w:t>non-AP MLDs in the BSS</w:t>
      </w:r>
      <w:r w:rsidRPr="003657E9">
        <w:rPr>
          <w:rFonts w:ascii="Times New Roman" w:hAnsi="Times New Roman" w:cs="Times New Roman" w:hint="eastAsia"/>
          <w:sz w:val="18"/>
          <w:szCs w:val="18"/>
        </w:rPr>
        <w:t xml:space="preserve">. </w:t>
      </w:r>
      <w:r w:rsidRPr="003657E9">
        <w:rPr>
          <w:rFonts w:ascii="Times New Roman" w:hAnsi="Times New Roman" w:cs="Times New Roman"/>
          <w:sz w:val="18"/>
          <w:szCs w:val="18"/>
        </w:rPr>
        <w:t xml:space="preserve">If the AP </w:t>
      </w:r>
      <w:r>
        <w:rPr>
          <w:rFonts w:ascii="Times New Roman" w:hAnsi="Times New Roman" w:cs="Times New Roman"/>
          <w:sz w:val="18"/>
          <w:szCs w:val="18"/>
        </w:rPr>
        <w:t xml:space="preserve">MLD </w:t>
      </w:r>
      <w:r w:rsidRPr="003657E9">
        <w:rPr>
          <w:rFonts w:ascii="Times New Roman" w:hAnsi="Times New Roman" w:cs="Times New Roman"/>
          <w:sz w:val="18"/>
          <w:szCs w:val="18"/>
        </w:rPr>
        <w:t xml:space="preserve">needs to perform 1-to-1 negotiation with all those </w:t>
      </w:r>
      <w:r>
        <w:rPr>
          <w:rFonts w:ascii="Times New Roman" w:hAnsi="Times New Roman" w:cs="Times New Roman"/>
          <w:sz w:val="18"/>
          <w:szCs w:val="18"/>
        </w:rPr>
        <w:t>non-AP MLD for establishing a replacement R-TWT schedule on a different link</w:t>
      </w:r>
      <w:r w:rsidRPr="003657E9">
        <w:rPr>
          <w:rFonts w:ascii="Times New Roman" w:hAnsi="Times New Roman" w:cs="Times New Roman"/>
          <w:sz w:val="18"/>
          <w:szCs w:val="18"/>
        </w:rPr>
        <w:t>, then it can take quite a long time.</w:t>
      </w:r>
      <w:r>
        <w:rPr>
          <w:rFonts w:ascii="Times New Roman" w:hAnsi="Times New Roman" w:cs="Times New Roman"/>
          <w:sz w:val="18"/>
          <w:szCs w:val="18"/>
        </w:rPr>
        <w:t xml:space="preserve"> </w:t>
      </w:r>
      <w:r w:rsidRPr="003657E9">
        <w:rPr>
          <w:rFonts w:ascii="Times New Roman" w:hAnsi="Times New Roman" w:cs="Times New Roman"/>
          <w:sz w:val="18"/>
          <w:szCs w:val="18"/>
        </w:rPr>
        <w:t xml:space="preserve">Accordingly, a </w:t>
      </w:r>
      <w:r>
        <w:rPr>
          <w:rFonts w:ascii="Times New Roman" w:hAnsi="Times New Roman" w:cs="Times New Roman"/>
          <w:sz w:val="18"/>
          <w:szCs w:val="18"/>
        </w:rPr>
        <w:t>non-AP MLD</w:t>
      </w:r>
      <w:r w:rsidRPr="003657E9">
        <w:rPr>
          <w:rFonts w:ascii="Times New Roman" w:hAnsi="Times New Roman" w:cs="Times New Roman"/>
          <w:sz w:val="18"/>
          <w:szCs w:val="18"/>
        </w:rPr>
        <w:t xml:space="preserve"> that has latency-sensitive traffic may be affected due to excessive time taken for successful negotiation.</w:t>
      </w:r>
      <w:r>
        <w:rPr>
          <w:rFonts w:ascii="Times New Roman" w:hAnsi="Times New Roman" w:cs="Times New Roman"/>
          <w:sz w:val="18"/>
          <w:szCs w:val="18"/>
        </w:rPr>
        <w:t xml:space="preserve">  To avoid this, the AP MLD should have the option to establish another R-TWT schedule on a second link on which the AP MLD is operating (if the AP MLD deems that it is possible for the second link to have an R-TWT schedule with the SP patterns matching that of the schedule on the soon-to-be-unavailable link). This process can be referred to as R-TWT Link Replacement and is depicted in Figure D-2.</w:t>
      </w:r>
    </w:p>
    <w:p w14:paraId="7A7B59CA" w14:textId="77777777" w:rsidR="002C012F" w:rsidRDefault="002C012F" w:rsidP="002C012F">
      <w:pPr>
        <w:tabs>
          <w:tab w:val="left" w:pos="2082"/>
        </w:tabs>
        <w:jc w:val="center"/>
      </w:pPr>
      <w:r>
        <w:object w:dxaOrig="9108" w:dyaOrig="4836" w14:anchorId="772C4680">
          <v:shape id="_x0000_i1026" type="#_x0000_t75" style="width:456pt;height:241.9pt" o:ole="">
            <v:imagedata r:id="rId11" o:title=""/>
          </v:shape>
          <o:OLEObject Type="Embed" ProgID="Visio.Drawing.15" ShapeID="_x0000_i1026" DrawAspect="Content" ObjectID="_1803300951" r:id="rId12"/>
        </w:object>
      </w:r>
    </w:p>
    <w:p w14:paraId="6930890D" w14:textId="77777777" w:rsidR="002C012F" w:rsidRDefault="002C012F" w:rsidP="002C012F">
      <w:pPr>
        <w:pBdr>
          <w:top w:val="nil"/>
          <w:left w:val="nil"/>
          <w:bottom w:val="nil"/>
          <w:right w:val="nil"/>
          <w:between w:val="nil"/>
        </w:pBdr>
        <w:spacing w:after="0" w:line="240" w:lineRule="auto"/>
        <w:ind w:left="720"/>
        <w:contextualSpacing/>
        <w:jc w:val="center"/>
        <w:rPr>
          <w:rFonts w:ascii="Times New Roman" w:hAnsi="Times New Roman" w:cs="Times New Roman"/>
          <w:bCs/>
          <w:sz w:val="20"/>
          <w:szCs w:val="18"/>
        </w:rPr>
      </w:pPr>
      <w:r w:rsidRPr="00807FDC">
        <w:rPr>
          <w:rFonts w:ascii="Times New Roman" w:hAnsi="Times New Roman" w:cs="Times New Roman"/>
          <w:bCs/>
          <w:sz w:val="20"/>
          <w:szCs w:val="18"/>
        </w:rPr>
        <w:t>Figure D</w:t>
      </w:r>
      <w:r>
        <w:rPr>
          <w:rFonts w:ascii="Times New Roman" w:hAnsi="Times New Roman" w:cs="Times New Roman"/>
          <w:bCs/>
          <w:sz w:val="20"/>
          <w:szCs w:val="18"/>
        </w:rPr>
        <w:t>-2</w:t>
      </w:r>
      <w:r w:rsidRPr="00807FDC">
        <w:rPr>
          <w:rFonts w:ascii="Times New Roman" w:hAnsi="Times New Roman" w:cs="Times New Roman"/>
          <w:bCs/>
          <w:sz w:val="20"/>
          <w:szCs w:val="18"/>
        </w:rPr>
        <w:t xml:space="preserve">: </w:t>
      </w:r>
      <w:r w:rsidRPr="00DF6322">
        <w:rPr>
          <w:rFonts w:ascii="Times New Roman" w:hAnsi="Times New Roman" w:cs="Times New Roman"/>
          <w:bCs/>
          <w:sz w:val="20"/>
          <w:szCs w:val="18"/>
        </w:rPr>
        <w:t>Illustrati</w:t>
      </w:r>
      <w:r>
        <w:rPr>
          <w:rFonts w:ascii="Times New Roman" w:hAnsi="Times New Roman" w:cs="Times New Roman"/>
          <w:bCs/>
          <w:sz w:val="20"/>
          <w:szCs w:val="18"/>
        </w:rPr>
        <w:t>on of</w:t>
      </w:r>
      <w:r w:rsidRPr="00DF6322">
        <w:rPr>
          <w:rFonts w:ascii="Times New Roman" w:hAnsi="Times New Roman" w:cs="Times New Roman"/>
          <w:bCs/>
          <w:sz w:val="20"/>
          <w:szCs w:val="18"/>
        </w:rPr>
        <w:t xml:space="preserve"> </w:t>
      </w:r>
      <w:r>
        <w:rPr>
          <w:rFonts w:ascii="Times New Roman" w:hAnsi="Times New Roman" w:cs="Times New Roman"/>
          <w:bCs/>
          <w:sz w:val="20"/>
          <w:szCs w:val="18"/>
        </w:rPr>
        <w:t>R-TWT Link Replacement.</w:t>
      </w:r>
    </w:p>
    <w:p w14:paraId="06069C81" w14:textId="77777777" w:rsidR="002C012F" w:rsidRDefault="002C012F" w:rsidP="002C012F">
      <w:pPr>
        <w:tabs>
          <w:tab w:val="left" w:pos="2082"/>
        </w:tabs>
        <w:rPr>
          <w:rFonts w:ascii="Times New Roman" w:hAnsi="Times New Roman" w:cs="Times New Roman"/>
          <w:sz w:val="18"/>
          <w:szCs w:val="18"/>
        </w:rPr>
      </w:pPr>
    </w:p>
    <w:p w14:paraId="46AEC01A" w14:textId="77777777" w:rsidR="002C012F" w:rsidRPr="003657E9" w:rsidRDefault="002C012F" w:rsidP="002C012F">
      <w:pPr>
        <w:tabs>
          <w:tab w:val="left" w:pos="2082"/>
        </w:tabs>
        <w:rPr>
          <w:rFonts w:ascii="Times New Roman" w:hAnsi="Times New Roman" w:cs="Times New Roman"/>
          <w:sz w:val="18"/>
          <w:szCs w:val="18"/>
        </w:rPr>
      </w:pPr>
      <w:r>
        <w:rPr>
          <w:rFonts w:ascii="Times New Roman" w:hAnsi="Times New Roman" w:cs="Times New Roman"/>
          <w:sz w:val="18"/>
          <w:szCs w:val="18"/>
        </w:rPr>
        <w:t>In Figure D-2, a non-AP MLD is associated with an AP MLD and is operating on three links—Link 1 between AP1 and STA1, Link 2 between AP2 and STA2, and Link 3 between AP3 and STA3. Two R-TWT schedules are established on Link 1—Schedule-A and Schedule-B. STA1 affiliated with the non-AP MLD is a member of both R-TWT schedules. Link 1 is scheduled to be unavailable starting from time t1. Before Link 1 becomes unavailable, AP MLD announces in its BSS that Schedule-A on Link 1 is replaced by another R-TWT schedule on Link 3, and Schedule-B on Link 2 is replaced by another R-TWT schedule on Link 2. Accordingly, STA3 becomes a member of the new R-TWT schedule on Link 3, and STA2 becomes a member of the new R-TWT schedule on Link 2.</w:t>
      </w:r>
    </w:p>
    <w:bookmarkEnd w:id="1"/>
    <w:p w14:paraId="390C8AF9" w14:textId="77777777" w:rsidR="002C012F" w:rsidRDefault="002C012F" w:rsidP="002C012F">
      <w:pPr>
        <w:autoSpaceDE w:val="0"/>
        <w:autoSpaceDN w:val="0"/>
        <w:rPr>
          <w:rFonts w:ascii="Arial" w:hAnsi="Arial"/>
          <w:b/>
        </w:rPr>
      </w:pPr>
      <w:r w:rsidRPr="003D2DA6">
        <w:rPr>
          <w:rFonts w:ascii="Arial" w:hAnsi="Arial"/>
          <w:b/>
        </w:rPr>
        <w:t>9. Frame formats</w:t>
      </w:r>
    </w:p>
    <w:p w14:paraId="313C5105" w14:textId="322A0555" w:rsidR="002C012F" w:rsidRDefault="00A0363E" w:rsidP="002C012F">
      <w:pPr>
        <w:autoSpaceDE w:val="0"/>
        <w:autoSpaceDN w:val="0"/>
        <w:rPr>
          <w:bCs/>
          <w:sz w:val="18"/>
          <w:szCs w:val="18"/>
        </w:rPr>
      </w:pPr>
      <w:proofErr w:type="spellStart"/>
      <w:r>
        <w:rPr>
          <w:b/>
          <w:i/>
          <w:iCs/>
          <w:highlight w:val="yellow"/>
        </w:rPr>
        <w:t>TGmf</w:t>
      </w:r>
      <w:proofErr w:type="spellEnd"/>
      <w:r>
        <w:rPr>
          <w:b/>
          <w:i/>
          <w:iCs/>
          <w:highlight w:val="yellow"/>
        </w:rPr>
        <w:t xml:space="preserve"> editor</w:t>
      </w:r>
      <w:r w:rsidR="002C012F" w:rsidRPr="002A37AA">
        <w:rPr>
          <w:b/>
          <w:i/>
          <w:iCs/>
          <w:highlight w:val="yellow"/>
        </w:rPr>
        <w:t xml:space="preserve">: Please </w:t>
      </w:r>
      <w:r w:rsidR="002C012F">
        <w:rPr>
          <w:b/>
          <w:i/>
          <w:iCs/>
          <w:highlight w:val="yellow"/>
        </w:rPr>
        <w:t xml:space="preserve">add the following subclause 9.4.2.xxx (Broadcast TWT Link Replacement element) including the figure under the subclause 9.4.2 (Elements) </w:t>
      </w:r>
      <w:r w:rsidR="002C012F" w:rsidRPr="00F44994">
        <w:rPr>
          <w:b/>
          <w:bCs/>
          <w:i/>
          <w:highlight w:val="yellow"/>
        </w:rPr>
        <w:t>as follows:</w:t>
      </w:r>
    </w:p>
    <w:p w14:paraId="71FCE922" w14:textId="77777777" w:rsidR="002C012F" w:rsidRDefault="002C012F" w:rsidP="002C012F">
      <w:pPr>
        <w:autoSpaceDE w:val="0"/>
        <w:autoSpaceDN w:val="0"/>
        <w:rPr>
          <w:rFonts w:ascii="Arial" w:hAnsi="Arial"/>
          <w:b/>
        </w:rPr>
      </w:pPr>
    </w:p>
    <w:p w14:paraId="0E889FA9" w14:textId="77777777" w:rsidR="002C012F" w:rsidRDefault="002C012F" w:rsidP="002C012F">
      <w:pPr>
        <w:autoSpaceDE w:val="0"/>
        <w:autoSpaceDN w:val="0"/>
        <w:rPr>
          <w:rFonts w:ascii="Arial" w:hAnsi="Arial"/>
          <w:b/>
        </w:rPr>
      </w:pPr>
      <w:r w:rsidRPr="000B3467">
        <w:rPr>
          <w:rFonts w:ascii="Arial" w:hAnsi="Arial"/>
          <w:b/>
        </w:rPr>
        <w:t>9.4.2.</w:t>
      </w:r>
      <w:r>
        <w:rPr>
          <w:rFonts w:ascii="Arial" w:hAnsi="Arial"/>
          <w:b/>
        </w:rPr>
        <w:t>xxx</w:t>
      </w:r>
      <w:r w:rsidRPr="000B3467">
        <w:rPr>
          <w:rFonts w:ascii="Arial" w:hAnsi="Arial"/>
          <w:b/>
        </w:rPr>
        <w:t xml:space="preserve"> </w:t>
      </w:r>
      <w:r>
        <w:rPr>
          <w:rFonts w:ascii="Arial" w:hAnsi="Arial"/>
          <w:b/>
        </w:rPr>
        <w:t>B-</w:t>
      </w:r>
      <w:r w:rsidRPr="000B3467">
        <w:rPr>
          <w:rFonts w:ascii="Arial" w:hAnsi="Arial"/>
          <w:b/>
        </w:rPr>
        <w:t xml:space="preserve">TWT </w:t>
      </w:r>
      <w:r>
        <w:rPr>
          <w:rFonts w:ascii="Arial" w:hAnsi="Arial"/>
          <w:b/>
        </w:rPr>
        <w:t xml:space="preserve">Link Replacement </w:t>
      </w:r>
      <w:r w:rsidRPr="000B3467">
        <w:rPr>
          <w:rFonts w:ascii="Arial" w:hAnsi="Arial"/>
          <w:b/>
        </w:rPr>
        <w:t>element</w:t>
      </w:r>
    </w:p>
    <w:p w14:paraId="2A61D5DC" w14:textId="77777777" w:rsidR="002C012F" w:rsidRPr="00E3231D" w:rsidRDefault="002C012F" w:rsidP="002C012F">
      <w:pPr>
        <w:autoSpaceDE w:val="0"/>
        <w:autoSpaceDN w:val="0"/>
        <w:rPr>
          <w:b/>
          <w:iCs/>
          <w:highlight w:val="yellow"/>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format of the Broadcast TWT Link Replacement element is shown in Figure 9-yy1.</w:t>
      </w:r>
    </w:p>
    <w:p w14:paraId="06562CFF" w14:textId="492E4F63" w:rsidR="002C012F" w:rsidRDefault="00A0363E" w:rsidP="002C012F">
      <w:pPr>
        <w:autoSpaceDE w:val="0"/>
        <w:autoSpaceDN w:val="0"/>
        <w:rPr>
          <w:bCs/>
          <w:sz w:val="18"/>
          <w:szCs w:val="18"/>
        </w:rPr>
      </w:pPr>
      <w:proofErr w:type="spellStart"/>
      <w:r>
        <w:rPr>
          <w:b/>
          <w:i/>
          <w:iCs/>
          <w:highlight w:val="yellow"/>
        </w:rPr>
        <w:t>TGmf</w:t>
      </w:r>
      <w:proofErr w:type="spellEnd"/>
      <w:r>
        <w:rPr>
          <w:b/>
          <w:i/>
          <w:iCs/>
          <w:highlight w:val="yellow"/>
        </w:rPr>
        <w:t xml:space="preserve"> editor</w:t>
      </w:r>
      <w:r w:rsidR="002C012F" w:rsidRPr="002A37AA">
        <w:rPr>
          <w:b/>
          <w:i/>
          <w:iCs/>
          <w:highlight w:val="yellow"/>
        </w:rPr>
        <w:t xml:space="preserve">: Please </w:t>
      </w:r>
      <w:r w:rsidR="002C012F">
        <w:rPr>
          <w:b/>
          <w:bCs/>
          <w:i/>
          <w:highlight w:val="yellow"/>
        </w:rPr>
        <w:t>add</w:t>
      </w:r>
      <w:r w:rsidR="002C012F" w:rsidRPr="00F44994">
        <w:rPr>
          <w:b/>
          <w:bCs/>
          <w:i/>
          <w:highlight w:val="yellow"/>
        </w:rPr>
        <w:t xml:space="preserve"> Figure 9-</w:t>
      </w:r>
      <w:r w:rsidR="002C012F">
        <w:rPr>
          <w:b/>
          <w:bCs/>
          <w:i/>
          <w:highlight w:val="yellow"/>
        </w:rPr>
        <w:t>yy1</w:t>
      </w:r>
      <w:r w:rsidR="002C012F" w:rsidRPr="00F44994">
        <w:rPr>
          <w:b/>
          <w:bCs/>
          <w:i/>
          <w:highlight w:val="yellow"/>
        </w:rPr>
        <w:t xml:space="preserve"> (</w:t>
      </w:r>
      <w:r w:rsidR="002C012F">
        <w:rPr>
          <w:b/>
          <w:bCs/>
          <w:i/>
          <w:highlight w:val="yellow"/>
        </w:rPr>
        <w:t>Broadcast TWT Link Replacement element format</w:t>
      </w:r>
      <w:r w:rsidR="002C012F" w:rsidRPr="00F44994">
        <w:rPr>
          <w:b/>
          <w:bCs/>
          <w:i/>
          <w:highlight w:val="yellow"/>
        </w:rPr>
        <w:t>) as follows:</w:t>
      </w:r>
    </w:p>
    <w:p w14:paraId="3308DE79" w14:textId="77777777" w:rsidR="002C012F" w:rsidRDefault="002C012F" w:rsidP="002C012F">
      <w:pPr>
        <w:autoSpaceDE w:val="0"/>
        <w:autoSpaceDN w:val="0"/>
        <w:jc w:val="center"/>
        <w:rPr>
          <w:rFonts w:ascii="Times New Roman" w:hAnsi="Times New Roman" w:cs="Times New Roman"/>
          <w:bCs/>
          <w:sz w:val="18"/>
          <w:szCs w:val="18"/>
        </w:rPr>
      </w:pPr>
      <w:r>
        <w:object w:dxaOrig="6072" w:dyaOrig="1368" w14:anchorId="78998998">
          <v:shape id="_x0000_i1027" type="#_x0000_t75" style="width:303.75pt;height:69.75pt" o:ole="">
            <v:imagedata r:id="rId13" o:title=""/>
          </v:shape>
          <o:OLEObject Type="Embed" ProgID="Visio.Drawing.15" ShapeID="_x0000_i1027" DrawAspect="Content" ObjectID="_1803300952" r:id="rId14"/>
        </w:object>
      </w:r>
    </w:p>
    <w:p w14:paraId="764B8565" w14:textId="642766D9" w:rsidR="002C012F" w:rsidRDefault="002C012F" w:rsidP="002C012F">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yy1</w:t>
      </w:r>
      <w:r w:rsidRPr="00D649E0">
        <w:rPr>
          <w:rFonts w:ascii="Arial" w:hAnsi="Arial" w:cs="Arial"/>
          <w:b/>
          <w:bCs/>
          <w:sz w:val="20"/>
          <w:szCs w:val="18"/>
        </w:rPr>
        <w:t xml:space="preserve">: </w:t>
      </w:r>
      <w:r>
        <w:rPr>
          <w:rFonts w:ascii="Arial" w:hAnsi="Arial" w:cs="Arial"/>
          <w:b/>
          <w:bCs/>
          <w:sz w:val="20"/>
          <w:szCs w:val="18"/>
        </w:rPr>
        <w:t>Broadcast TWT Link Replacement element format</w:t>
      </w:r>
    </w:p>
    <w:p w14:paraId="4A4971CC" w14:textId="77777777" w:rsidR="002C012F" w:rsidRDefault="002C012F" w:rsidP="002C012F">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Element ID, Length, and Element ID Extension fields are defined in 9.4.2.1 (General).</w:t>
      </w:r>
    </w:p>
    <w:p w14:paraId="7E9F6D8E" w14:textId="77777777" w:rsidR="002C012F" w:rsidRDefault="002C012F" w:rsidP="002C012F">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format of the Link Replacement Information field is shown in Figure 9-yy2.</w:t>
      </w:r>
    </w:p>
    <w:p w14:paraId="453AE79B" w14:textId="77777777" w:rsidR="002C012F" w:rsidRPr="00E467CE" w:rsidRDefault="002C012F" w:rsidP="002C012F">
      <w:pPr>
        <w:autoSpaceDE w:val="0"/>
        <w:autoSpaceDN w:val="0"/>
        <w:jc w:val="center"/>
      </w:pPr>
      <w:r>
        <w:object w:dxaOrig="9252" w:dyaOrig="1668" w14:anchorId="3540780B">
          <v:shape id="_x0000_i1028" type="#_x0000_t75" style="width:462pt;height:84pt" o:ole="">
            <v:imagedata r:id="rId15" o:title=""/>
          </v:shape>
          <o:OLEObject Type="Embed" ProgID="Visio.Drawing.15" ShapeID="_x0000_i1028" DrawAspect="Content" ObjectID="_1803300953" r:id="rId16"/>
        </w:object>
      </w:r>
    </w:p>
    <w:p w14:paraId="7FD40B6F" w14:textId="56A18B04" w:rsidR="002C012F" w:rsidRDefault="002C012F" w:rsidP="002C012F">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yy2</w:t>
      </w:r>
      <w:r w:rsidRPr="00D649E0">
        <w:rPr>
          <w:rFonts w:ascii="Arial" w:hAnsi="Arial" w:cs="Arial"/>
          <w:b/>
          <w:bCs/>
          <w:sz w:val="20"/>
          <w:szCs w:val="18"/>
        </w:rPr>
        <w:t xml:space="preserve">: </w:t>
      </w:r>
      <w:r>
        <w:rPr>
          <w:rFonts w:ascii="Arial" w:hAnsi="Arial" w:cs="Arial"/>
          <w:b/>
          <w:bCs/>
          <w:sz w:val="20"/>
          <w:szCs w:val="18"/>
        </w:rPr>
        <w:t xml:space="preserve">Link Replacement Information field format </w:t>
      </w:r>
    </w:p>
    <w:p w14:paraId="04C79145" w14:textId="1C6A7754" w:rsidR="002C012F" w:rsidRDefault="002C012F" w:rsidP="002C012F">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w:t>
      </w:r>
      <w:proofErr w:type="gramStart"/>
      <w:r>
        <w:rPr>
          <w:rFonts w:ascii="Times New Roman" w:hAnsi="Times New Roman" w:cs="Times New Roman"/>
          <w:bCs/>
          <w:sz w:val="18"/>
          <w:szCs w:val="18"/>
        </w:rPr>
        <w:t>From</w:t>
      </w:r>
      <w:proofErr w:type="gramEnd"/>
      <w:r>
        <w:rPr>
          <w:rFonts w:ascii="Times New Roman" w:hAnsi="Times New Roman" w:cs="Times New Roman"/>
          <w:bCs/>
          <w:sz w:val="18"/>
          <w:szCs w:val="18"/>
        </w:rPr>
        <w:t xml:space="preserve"> Broadcast TWT ID subfield in the Link Replacement Information field indicates the broadcast TWT ID corresponding to the Broadcast TWT schedule on the link, indicated by the From Link ID subfield, from which the Broadcast TWT schedule is moved to a different link using the Broadcast TWT Link Replacement element. </w:t>
      </w:r>
    </w:p>
    <w:p w14:paraId="771CC5ED" w14:textId="5FB8CA54" w:rsidR="002C012F" w:rsidRDefault="002C012F" w:rsidP="002C012F">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w:t>
      </w:r>
      <w:proofErr w:type="gramStart"/>
      <w:r>
        <w:rPr>
          <w:rFonts w:ascii="Times New Roman" w:hAnsi="Times New Roman" w:cs="Times New Roman"/>
          <w:bCs/>
          <w:sz w:val="18"/>
          <w:szCs w:val="18"/>
        </w:rPr>
        <w:t>To</w:t>
      </w:r>
      <w:proofErr w:type="gramEnd"/>
      <w:r>
        <w:rPr>
          <w:rFonts w:ascii="Times New Roman" w:hAnsi="Times New Roman" w:cs="Times New Roman"/>
          <w:bCs/>
          <w:sz w:val="18"/>
          <w:szCs w:val="18"/>
        </w:rPr>
        <w:t xml:space="preserve"> Broadcast TWT ID subfield indicates the broadcast TWT ID corresponding to the Broadcast TWT schedule on the link, indicated by the To Link ID subfield, to which the Broadcast TWT schedule is moved using the Broadcast TWT Link Replacement element. </w:t>
      </w:r>
    </w:p>
    <w:p w14:paraId="25E20857" w14:textId="77777777" w:rsidR="002C012F" w:rsidRDefault="002C012F" w:rsidP="002C012F">
      <w:pPr>
        <w:autoSpaceDE w:val="0"/>
        <w:autoSpaceDN w:val="0"/>
        <w:rPr>
          <w:rFonts w:ascii="Times New Roman" w:hAnsi="Times New Roman" w:cs="Times New Roman"/>
          <w:bCs/>
          <w:sz w:val="18"/>
          <w:szCs w:val="18"/>
        </w:rPr>
      </w:pPr>
      <w:r>
        <w:rPr>
          <w:rFonts w:ascii="Times New Roman" w:hAnsi="Times New Roman" w:cs="Times New Roman"/>
          <w:bCs/>
          <w:sz w:val="18"/>
          <w:szCs w:val="18"/>
        </w:rPr>
        <w:t>The Link Replacement Time subfield value contains a positive unsigned integer corresponding to a TSF time at which the Broadcast TWT schedule identified by the Broadcast TWT ID subfield of the Link Replacement Information field is moved from one link between the AP MLD and the non-AP MLD onto another link. The TSF time indicated in the Link Replacement Time subfield is with respect to the TSF of the link from which the Broadcast TWT schedule is moved.</w:t>
      </w:r>
    </w:p>
    <w:p w14:paraId="6B66B32A" w14:textId="77777777" w:rsidR="002C012F" w:rsidRDefault="002C012F" w:rsidP="002C012F">
      <w:pPr>
        <w:autoSpaceDE w:val="0"/>
        <w:autoSpaceDN w:val="0"/>
        <w:rPr>
          <w:rFonts w:ascii="Times New Roman" w:hAnsi="Times New Roman" w:cs="Times New Roman"/>
          <w:bCs/>
          <w:sz w:val="18"/>
          <w:szCs w:val="18"/>
        </w:rPr>
      </w:pPr>
      <w:r>
        <w:rPr>
          <w:rFonts w:ascii="Times New Roman" w:hAnsi="Times New Roman" w:cs="Times New Roman"/>
          <w:bCs/>
          <w:sz w:val="18"/>
          <w:szCs w:val="18"/>
        </w:rPr>
        <w:t>The Minimum TWT Wake Duration subfield indicates the minimum amount of time the TWT scheduled STA is expected to be awake for the period of TWT wake interval corresponding to the replacement Broadcast TWT schedule on the link onto which the Broadcast TWT schedule is moved. The unit of Minimum TWT Wake Duration subfield value of the Broadcast TWT Link Replacement element is the same as that of the Nominal Minimum TWT Wake Duration subfield of the original Broadcast TWT schedule on the link indicated in the From Link ID subfield of the Link Replacement Information field.</w:t>
      </w:r>
    </w:p>
    <w:p w14:paraId="5DF44FFC" w14:textId="2A6882EB" w:rsidR="002C012F" w:rsidRDefault="002C012F" w:rsidP="002C012F">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w:t>
      </w:r>
      <w:proofErr w:type="gramStart"/>
      <w:r>
        <w:rPr>
          <w:rFonts w:ascii="Times New Roman" w:hAnsi="Times New Roman" w:cs="Times New Roman"/>
          <w:bCs/>
          <w:sz w:val="18"/>
          <w:szCs w:val="18"/>
        </w:rPr>
        <w:t>From</w:t>
      </w:r>
      <w:proofErr w:type="gramEnd"/>
      <w:r>
        <w:rPr>
          <w:rFonts w:ascii="Times New Roman" w:hAnsi="Times New Roman" w:cs="Times New Roman"/>
          <w:bCs/>
          <w:sz w:val="18"/>
          <w:szCs w:val="18"/>
        </w:rPr>
        <w:t xml:space="preserve"> Link ID subfield indicates the link of an AP MLD from which the Broadcast TWT schedule is moved to another link.</w:t>
      </w:r>
    </w:p>
    <w:p w14:paraId="00AD6EF6" w14:textId="5213D030" w:rsidR="002C012F" w:rsidRDefault="002C012F" w:rsidP="002C012F">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w:t>
      </w:r>
      <w:proofErr w:type="gramStart"/>
      <w:r>
        <w:rPr>
          <w:rFonts w:ascii="Times New Roman" w:hAnsi="Times New Roman" w:cs="Times New Roman"/>
          <w:bCs/>
          <w:sz w:val="18"/>
          <w:szCs w:val="18"/>
        </w:rPr>
        <w:t>To</w:t>
      </w:r>
      <w:proofErr w:type="gramEnd"/>
      <w:r>
        <w:rPr>
          <w:rFonts w:ascii="Times New Roman" w:hAnsi="Times New Roman" w:cs="Times New Roman"/>
          <w:bCs/>
          <w:sz w:val="18"/>
          <w:szCs w:val="18"/>
        </w:rPr>
        <w:t xml:space="preserve"> Link ID subfield indicates the link of an AP MLD where the Broadcast TWT schedule is moved to.</w:t>
      </w:r>
    </w:p>
    <w:p w14:paraId="188682E0" w14:textId="77777777" w:rsidR="002C012F" w:rsidRDefault="002C012F" w:rsidP="002C012F">
      <w:pPr>
        <w:autoSpaceDE w:val="0"/>
        <w:autoSpaceDN w:val="0"/>
        <w:rPr>
          <w:rFonts w:ascii="Times New Roman" w:hAnsi="Times New Roman" w:cs="Times New Roman"/>
          <w:bCs/>
          <w:sz w:val="18"/>
          <w:szCs w:val="18"/>
        </w:rPr>
      </w:pPr>
    </w:p>
    <w:p w14:paraId="7B5784FE" w14:textId="0E5EFFC8" w:rsidR="002C012F" w:rsidRPr="003F7A21" w:rsidRDefault="00A0363E" w:rsidP="002C012F">
      <w:pPr>
        <w:autoSpaceDE w:val="0"/>
        <w:autoSpaceDN w:val="0"/>
        <w:rPr>
          <w:b/>
          <w:iCs/>
          <w:highlight w:val="yellow"/>
        </w:rPr>
      </w:pPr>
      <w:proofErr w:type="spellStart"/>
      <w:r>
        <w:rPr>
          <w:b/>
          <w:i/>
          <w:iCs/>
          <w:highlight w:val="yellow"/>
        </w:rPr>
        <w:t>TGmf</w:t>
      </w:r>
      <w:proofErr w:type="spellEnd"/>
      <w:r>
        <w:rPr>
          <w:b/>
          <w:i/>
          <w:iCs/>
          <w:highlight w:val="yellow"/>
        </w:rPr>
        <w:t xml:space="preserve"> editor</w:t>
      </w:r>
      <w:r w:rsidR="002C012F" w:rsidRPr="002A37AA">
        <w:rPr>
          <w:b/>
          <w:i/>
          <w:iCs/>
          <w:highlight w:val="yellow"/>
        </w:rPr>
        <w:t xml:space="preserve">: Please </w:t>
      </w:r>
      <w:r w:rsidR="002C012F" w:rsidRPr="003F7A21">
        <w:rPr>
          <w:b/>
          <w:bCs/>
          <w:i/>
          <w:highlight w:val="yellow"/>
        </w:rPr>
        <w:t>insert</w:t>
      </w:r>
      <w:r w:rsidR="002C012F">
        <w:rPr>
          <w:b/>
          <w:bCs/>
          <w:i/>
          <w:highlight w:val="yellow"/>
        </w:rPr>
        <w:t xml:space="preserve"> the following new row to Table 9-128 (Element IDs) </w:t>
      </w:r>
    </w:p>
    <w:p w14:paraId="679603C3" w14:textId="77777777" w:rsidR="002C012F" w:rsidRDefault="002C012F" w:rsidP="002C012F">
      <w:pPr>
        <w:pStyle w:val="BodyText0"/>
        <w:kinsoku w:val="0"/>
        <w:overflowPunct w:val="0"/>
        <w:ind w:left="942" w:right="996"/>
        <w:jc w:val="center"/>
        <w:rPr>
          <w:rFonts w:ascii="Arial" w:hAnsi="Arial" w:cs="Arial"/>
          <w:b/>
          <w:bCs/>
          <w:spacing w:val="-5"/>
        </w:rPr>
      </w:pPr>
      <w:r>
        <w:rPr>
          <w:rFonts w:ascii="Arial" w:hAnsi="Arial" w:cs="Arial"/>
          <w:b/>
          <w:bCs/>
        </w:rPr>
        <w:t>Table</w:t>
      </w:r>
      <w:r>
        <w:rPr>
          <w:rFonts w:ascii="Arial" w:hAnsi="Arial" w:cs="Arial"/>
          <w:b/>
          <w:bCs/>
          <w:spacing w:val="-13"/>
        </w:rPr>
        <w:t xml:space="preserve"> </w:t>
      </w:r>
      <w:r>
        <w:rPr>
          <w:rFonts w:ascii="Arial" w:hAnsi="Arial" w:cs="Arial"/>
          <w:b/>
          <w:bCs/>
        </w:rPr>
        <w:t>9-128—Element</w:t>
      </w:r>
      <w:r>
        <w:rPr>
          <w:rFonts w:ascii="Arial" w:hAnsi="Arial" w:cs="Arial"/>
          <w:b/>
          <w:bCs/>
          <w:spacing w:val="-13"/>
        </w:rPr>
        <w:t xml:space="preserve"> </w:t>
      </w:r>
      <w:r>
        <w:rPr>
          <w:rFonts w:ascii="Arial" w:hAnsi="Arial" w:cs="Arial"/>
          <w:b/>
          <w:bCs/>
          <w:spacing w:val="-5"/>
        </w:rPr>
        <w:t>IDs</w:t>
      </w:r>
    </w:p>
    <w:p w14:paraId="011B3F43" w14:textId="77777777" w:rsidR="002C012F" w:rsidRDefault="002C012F" w:rsidP="002C012F">
      <w:pPr>
        <w:pStyle w:val="BodyText0"/>
        <w:kinsoku w:val="0"/>
        <w:overflowPunct w:val="0"/>
        <w:rPr>
          <w:rFonts w:ascii="Arial" w:hAnsi="Arial" w:cs="Arial"/>
          <w:b/>
          <w:bCs/>
          <w:szCs w:val="22"/>
        </w:rPr>
      </w:pPr>
    </w:p>
    <w:tbl>
      <w:tblPr>
        <w:tblW w:w="0" w:type="auto"/>
        <w:tblInd w:w="1050" w:type="dxa"/>
        <w:tblLayout w:type="fixed"/>
        <w:tblCellMar>
          <w:left w:w="0" w:type="dxa"/>
          <w:right w:w="0" w:type="dxa"/>
        </w:tblCellMar>
        <w:tblLook w:val="0000" w:firstRow="0" w:lastRow="0" w:firstColumn="0" w:lastColumn="0" w:noHBand="0" w:noVBand="0"/>
      </w:tblPr>
      <w:tblGrid>
        <w:gridCol w:w="3299"/>
        <w:gridCol w:w="1318"/>
        <w:gridCol w:w="1317"/>
        <w:gridCol w:w="1318"/>
        <w:gridCol w:w="1320"/>
      </w:tblGrid>
      <w:tr w:rsidR="002C012F" w14:paraId="233488E7" w14:textId="77777777" w:rsidTr="009C0B86">
        <w:trPr>
          <w:trHeight w:val="579"/>
        </w:trPr>
        <w:tc>
          <w:tcPr>
            <w:tcW w:w="3299" w:type="dxa"/>
            <w:tcBorders>
              <w:top w:val="single" w:sz="12" w:space="0" w:color="000000"/>
              <w:left w:val="single" w:sz="12" w:space="0" w:color="000000"/>
              <w:bottom w:val="single" w:sz="12" w:space="0" w:color="000000"/>
              <w:right w:val="single" w:sz="2" w:space="0" w:color="000000"/>
            </w:tcBorders>
          </w:tcPr>
          <w:p w14:paraId="0D56A4A4" w14:textId="77777777" w:rsidR="002C012F" w:rsidRDefault="002C012F" w:rsidP="009C0B86">
            <w:pPr>
              <w:pStyle w:val="TableParagraph"/>
              <w:kinsoku w:val="0"/>
              <w:overflowPunct w:val="0"/>
              <w:spacing w:before="176"/>
              <w:ind w:left="1320" w:right="1294"/>
              <w:jc w:val="center"/>
              <w:rPr>
                <w:b/>
                <w:bCs/>
                <w:spacing w:val="-2"/>
                <w:sz w:val="18"/>
                <w:szCs w:val="18"/>
              </w:rPr>
            </w:pPr>
            <w:r>
              <w:rPr>
                <w:b/>
                <w:bCs/>
                <w:spacing w:val="-2"/>
                <w:sz w:val="18"/>
                <w:szCs w:val="18"/>
              </w:rPr>
              <w:t>Element</w:t>
            </w:r>
          </w:p>
        </w:tc>
        <w:tc>
          <w:tcPr>
            <w:tcW w:w="1318" w:type="dxa"/>
            <w:tcBorders>
              <w:top w:val="single" w:sz="12" w:space="0" w:color="000000"/>
              <w:left w:val="single" w:sz="2" w:space="0" w:color="000000"/>
              <w:bottom w:val="single" w:sz="12" w:space="0" w:color="000000"/>
              <w:right w:val="single" w:sz="2" w:space="0" w:color="000000"/>
            </w:tcBorders>
          </w:tcPr>
          <w:p w14:paraId="4FF6DD01" w14:textId="77777777" w:rsidR="002C012F" w:rsidRDefault="002C012F" w:rsidP="009C0B86">
            <w:pPr>
              <w:pStyle w:val="TableParagraph"/>
              <w:kinsoku w:val="0"/>
              <w:overflowPunct w:val="0"/>
              <w:spacing w:before="176"/>
              <w:ind w:left="168" w:right="141"/>
              <w:jc w:val="center"/>
              <w:rPr>
                <w:b/>
                <w:bCs/>
                <w:spacing w:val="-5"/>
                <w:sz w:val="18"/>
                <w:szCs w:val="18"/>
              </w:rPr>
            </w:pPr>
            <w:r>
              <w:rPr>
                <w:b/>
                <w:bCs/>
                <w:sz w:val="18"/>
                <w:szCs w:val="18"/>
              </w:rPr>
              <w:t>Element</w:t>
            </w:r>
            <w:r>
              <w:rPr>
                <w:b/>
                <w:bCs/>
                <w:spacing w:val="-1"/>
                <w:sz w:val="18"/>
                <w:szCs w:val="18"/>
              </w:rPr>
              <w:t xml:space="preserve"> </w:t>
            </w:r>
            <w:r>
              <w:rPr>
                <w:b/>
                <w:bCs/>
                <w:spacing w:val="-5"/>
                <w:sz w:val="18"/>
                <w:szCs w:val="18"/>
              </w:rPr>
              <w:t>ID</w:t>
            </w:r>
          </w:p>
        </w:tc>
        <w:tc>
          <w:tcPr>
            <w:tcW w:w="1317" w:type="dxa"/>
            <w:tcBorders>
              <w:top w:val="single" w:sz="12" w:space="0" w:color="000000"/>
              <w:left w:val="single" w:sz="2" w:space="0" w:color="000000"/>
              <w:bottom w:val="single" w:sz="12" w:space="0" w:color="000000"/>
              <w:right w:val="single" w:sz="2" w:space="0" w:color="000000"/>
            </w:tcBorders>
          </w:tcPr>
          <w:p w14:paraId="4C8941E5" w14:textId="77777777" w:rsidR="002C012F" w:rsidRDefault="002C012F" w:rsidP="009C0B86">
            <w:pPr>
              <w:pStyle w:val="TableParagraph"/>
              <w:kinsoku w:val="0"/>
              <w:overflowPunct w:val="0"/>
              <w:spacing w:before="80" w:line="232" w:lineRule="auto"/>
              <w:ind w:left="290" w:right="192" w:hanging="63"/>
              <w:rPr>
                <w:b/>
                <w:bCs/>
                <w:spacing w:val="-2"/>
                <w:sz w:val="18"/>
                <w:szCs w:val="18"/>
              </w:rPr>
            </w:pPr>
            <w:r>
              <w:rPr>
                <w:b/>
                <w:bCs/>
                <w:sz w:val="18"/>
                <w:szCs w:val="18"/>
              </w:rPr>
              <w:t>Element</w:t>
            </w:r>
            <w:r>
              <w:rPr>
                <w:b/>
                <w:bCs/>
                <w:spacing w:val="-12"/>
                <w:sz w:val="18"/>
                <w:szCs w:val="18"/>
              </w:rPr>
              <w:t xml:space="preserve"> </w:t>
            </w:r>
            <w:r>
              <w:rPr>
                <w:b/>
                <w:bCs/>
                <w:sz w:val="18"/>
                <w:szCs w:val="18"/>
              </w:rPr>
              <w:t xml:space="preserve">ID </w:t>
            </w:r>
            <w:r>
              <w:rPr>
                <w:b/>
                <w:bCs/>
                <w:spacing w:val="-2"/>
                <w:sz w:val="18"/>
                <w:szCs w:val="18"/>
              </w:rPr>
              <w:t>Extension</w:t>
            </w:r>
          </w:p>
        </w:tc>
        <w:tc>
          <w:tcPr>
            <w:tcW w:w="1318" w:type="dxa"/>
            <w:tcBorders>
              <w:top w:val="single" w:sz="12" w:space="0" w:color="000000"/>
              <w:left w:val="single" w:sz="2" w:space="0" w:color="000000"/>
              <w:bottom w:val="single" w:sz="12" w:space="0" w:color="000000"/>
              <w:right w:val="single" w:sz="2" w:space="0" w:color="000000"/>
            </w:tcBorders>
          </w:tcPr>
          <w:p w14:paraId="48B1DE22" w14:textId="77777777" w:rsidR="002C012F" w:rsidRDefault="002C012F" w:rsidP="009C0B86">
            <w:pPr>
              <w:pStyle w:val="TableParagraph"/>
              <w:kinsoku w:val="0"/>
              <w:overflowPunct w:val="0"/>
              <w:spacing w:before="176"/>
              <w:ind w:left="170" w:right="141"/>
              <w:jc w:val="center"/>
              <w:rPr>
                <w:b/>
                <w:bCs/>
                <w:spacing w:val="-2"/>
                <w:sz w:val="18"/>
                <w:szCs w:val="18"/>
              </w:rPr>
            </w:pPr>
            <w:r>
              <w:rPr>
                <w:b/>
                <w:bCs/>
                <w:spacing w:val="-2"/>
                <w:sz w:val="18"/>
                <w:szCs w:val="18"/>
              </w:rPr>
              <w:t>Extensible</w:t>
            </w:r>
          </w:p>
        </w:tc>
        <w:tc>
          <w:tcPr>
            <w:tcW w:w="1320" w:type="dxa"/>
            <w:tcBorders>
              <w:top w:val="single" w:sz="12" w:space="0" w:color="000000"/>
              <w:left w:val="single" w:sz="2" w:space="0" w:color="000000"/>
              <w:bottom w:val="single" w:sz="12" w:space="0" w:color="000000"/>
              <w:right w:val="single" w:sz="12" w:space="0" w:color="000000"/>
            </w:tcBorders>
          </w:tcPr>
          <w:p w14:paraId="6AA3A66D" w14:textId="77777777" w:rsidR="002C012F" w:rsidRDefault="002C012F" w:rsidP="009C0B86">
            <w:pPr>
              <w:pStyle w:val="TableParagraph"/>
              <w:kinsoku w:val="0"/>
              <w:overflowPunct w:val="0"/>
              <w:spacing w:before="176"/>
              <w:ind w:left="115" w:right="87"/>
              <w:jc w:val="center"/>
              <w:rPr>
                <w:b/>
                <w:bCs/>
                <w:spacing w:val="-2"/>
                <w:sz w:val="18"/>
                <w:szCs w:val="18"/>
              </w:rPr>
            </w:pPr>
            <w:r>
              <w:rPr>
                <w:b/>
                <w:bCs/>
                <w:spacing w:val="-2"/>
                <w:sz w:val="18"/>
                <w:szCs w:val="18"/>
              </w:rPr>
              <w:t>Fragmentable</w:t>
            </w:r>
          </w:p>
        </w:tc>
      </w:tr>
      <w:tr w:rsidR="002C012F" w14:paraId="3C751FD1" w14:textId="77777777" w:rsidTr="009C0B86">
        <w:trPr>
          <w:trHeight w:val="512"/>
        </w:trPr>
        <w:tc>
          <w:tcPr>
            <w:tcW w:w="3299" w:type="dxa"/>
            <w:tcBorders>
              <w:top w:val="single" w:sz="12" w:space="0" w:color="000000"/>
              <w:left w:val="single" w:sz="12" w:space="0" w:color="000000"/>
              <w:bottom w:val="single" w:sz="2" w:space="0" w:color="000000"/>
              <w:right w:val="single" w:sz="2" w:space="0" w:color="000000"/>
            </w:tcBorders>
          </w:tcPr>
          <w:p w14:paraId="3174CF93" w14:textId="77777777" w:rsidR="002C012F" w:rsidRDefault="002C012F" w:rsidP="009C0B86">
            <w:pPr>
              <w:pStyle w:val="TableParagraph"/>
              <w:kinsoku w:val="0"/>
              <w:overflowPunct w:val="0"/>
              <w:spacing w:before="41" w:line="232" w:lineRule="auto"/>
              <w:ind w:left="116"/>
              <w:rPr>
                <w:sz w:val="18"/>
                <w:szCs w:val="18"/>
              </w:rPr>
            </w:pPr>
            <w:r>
              <w:rPr>
                <w:sz w:val="18"/>
                <w:szCs w:val="18"/>
              </w:rPr>
              <w:t xml:space="preserve">Broadcast </w:t>
            </w:r>
            <w:r w:rsidRPr="002D2D29">
              <w:rPr>
                <w:sz w:val="18"/>
                <w:szCs w:val="18"/>
              </w:rPr>
              <w:t xml:space="preserve">TWT Link Replacement </w:t>
            </w:r>
            <w:r>
              <w:rPr>
                <w:sz w:val="18"/>
                <w:szCs w:val="18"/>
              </w:rPr>
              <w:t>(see</w:t>
            </w:r>
            <w:r>
              <w:rPr>
                <w:spacing w:val="-9"/>
                <w:sz w:val="18"/>
                <w:szCs w:val="18"/>
              </w:rPr>
              <w:t xml:space="preserve"> 9.4.2.xxx Broadcast </w:t>
            </w:r>
            <w:r w:rsidRPr="002D2D29">
              <w:rPr>
                <w:spacing w:val="-9"/>
                <w:sz w:val="18"/>
                <w:szCs w:val="18"/>
              </w:rPr>
              <w:t>TWT Link Replacement element</w:t>
            </w:r>
            <w:r>
              <w:rPr>
                <w:sz w:val="18"/>
                <w:szCs w:val="18"/>
              </w:rPr>
              <w:t>)</w:t>
            </w:r>
          </w:p>
        </w:tc>
        <w:tc>
          <w:tcPr>
            <w:tcW w:w="1318" w:type="dxa"/>
            <w:tcBorders>
              <w:top w:val="single" w:sz="12" w:space="0" w:color="000000"/>
              <w:left w:val="single" w:sz="2" w:space="0" w:color="000000"/>
              <w:bottom w:val="single" w:sz="2" w:space="0" w:color="000000"/>
              <w:right w:val="single" w:sz="2" w:space="0" w:color="000000"/>
            </w:tcBorders>
          </w:tcPr>
          <w:p w14:paraId="694C0315" w14:textId="77777777" w:rsidR="002C012F" w:rsidRDefault="002C012F" w:rsidP="009C0B86">
            <w:pPr>
              <w:pStyle w:val="TableParagraph"/>
              <w:kinsoku w:val="0"/>
              <w:overflowPunct w:val="0"/>
              <w:spacing w:before="36"/>
              <w:ind w:left="167" w:right="141"/>
              <w:jc w:val="center"/>
              <w:rPr>
                <w:spacing w:val="-5"/>
                <w:sz w:val="18"/>
                <w:szCs w:val="18"/>
              </w:rPr>
            </w:pPr>
            <w:r>
              <w:rPr>
                <w:spacing w:val="-5"/>
                <w:sz w:val="18"/>
                <w:szCs w:val="18"/>
              </w:rPr>
              <w:t>255</w:t>
            </w:r>
          </w:p>
        </w:tc>
        <w:tc>
          <w:tcPr>
            <w:tcW w:w="1317" w:type="dxa"/>
            <w:tcBorders>
              <w:top w:val="single" w:sz="12" w:space="0" w:color="000000"/>
              <w:left w:val="single" w:sz="2" w:space="0" w:color="000000"/>
              <w:bottom w:val="single" w:sz="2" w:space="0" w:color="000000"/>
              <w:right w:val="single" w:sz="2" w:space="0" w:color="000000"/>
            </w:tcBorders>
          </w:tcPr>
          <w:p w14:paraId="241F1DD0" w14:textId="77777777" w:rsidR="002C012F" w:rsidRDefault="002C012F" w:rsidP="009C0B86">
            <w:pPr>
              <w:pStyle w:val="TableParagraph"/>
              <w:kinsoku w:val="0"/>
              <w:overflowPunct w:val="0"/>
              <w:spacing w:before="36"/>
              <w:ind w:left="358" w:right="330"/>
              <w:jc w:val="center"/>
              <w:rPr>
                <w:spacing w:val="-5"/>
                <w:sz w:val="18"/>
                <w:szCs w:val="18"/>
              </w:rPr>
            </w:pPr>
            <w:r>
              <w:rPr>
                <w:spacing w:val="-5"/>
                <w:sz w:val="18"/>
                <w:szCs w:val="18"/>
              </w:rPr>
              <w:t>&lt;ANA&gt;</w:t>
            </w:r>
          </w:p>
        </w:tc>
        <w:tc>
          <w:tcPr>
            <w:tcW w:w="1318" w:type="dxa"/>
            <w:tcBorders>
              <w:top w:val="single" w:sz="12" w:space="0" w:color="000000"/>
              <w:left w:val="single" w:sz="2" w:space="0" w:color="000000"/>
              <w:bottom w:val="single" w:sz="2" w:space="0" w:color="000000"/>
              <w:right w:val="single" w:sz="2" w:space="0" w:color="000000"/>
            </w:tcBorders>
          </w:tcPr>
          <w:p w14:paraId="58C77E97" w14:textId="77777777" w:rsidR="002C012F" w:rsidRDefault="002C012F" w:rsidP="009C0B86">
            <w:pPr>
              <w:pStyle w:val="TableParagraph"/>
              <w:kinsoku w:val="0"/>
              <w:overflowPunct w:val="0"/>
              <w:spacing w:before="36"/>
              <w:ind w:left="169" w:right="141"/>
              <w:jc w:val="center"/>
              <w:rPr>
                <w:spacing w:val="-5"/>
                <w:sz w:val="18"/>
                <w:szCs w:val="18"/>
              </w:rPr>
            </w:pPr>
            <w:r>
              <w:rPr>
                <w:spacing w:val="-5"/>
                <w:sz w:val="18"/>
                <w:szCs w:val="18"/>
              </w:rPr>
              <w:t>Yes</w:t>
            </w:r>
          </w:p>
        </w:tc>
        <w:tc>
          <w:tcPr>
            <w:tcW w:w="1320" w:type="dxa"/>
            <w:tcBorders>
              <w:top w:val="single" w:sz="12" w:space="0" w:color="000000"/>
              <w:left w:val="single" w:sz="2" w:space="0" w:color="000000"/>
              <w:bottom w:val="single" w:sz="2" w:space="0" w:color="000000"/>
              <w:right w:val="single" w:sz="12" w:space="0" w:color="000000"/>
            </w:tcBorders>
          </w:tcPr>
          <w:p w14:paraId="78505260" w14:textId="77777777" w:rsidR="002C012F" w:rsidRDefault="002C012F" w:rsidP="009C0B86">
            <w:pPr>
              <w:pStyle w:val="TableParagraph"/>
              <w:kinsoku w:val="0"/>
              <w:overflowPunct w:val="0"/>
              <w:spacing w:before="36"/>
              <w:ind w:left="115" w:right="87"/>
              <w:jc w:val="center"/>
              <w:rPr>
                <w:spacing w:val="-5"/>
                <w:sz w:val="18"/>
                <w:szCs w:val="18"/>
              </w:rPr>
            </w:pPr>
            <w:r>
              <w:rPr>
                <w:spacing w:val="-5"/>
                <w:sz w:val="18"/>
                <w:szCs w:val="18"/>
              </w:rPr>
              <w:t>Yes</w:t>
            </w:r>
          </w:p>
        </w:tc>
      </w:tr>
    </w:tbl>
    <w:p w14:paraId="745260FA" w14:textId="77777777" w:rsidR="002C012F" w:rsidRDefault="002C012F" w:rsidP="002C012F">
      <w:pPr>
        <w:autoSpaceDE w:val="0"/>
        <w:autoSpaceDN w:val="0"/>
        <w:rPr>
          <w:b/>
          <w:i/>
          <w:iCs/>
          <w:highlight w:val="yellow"/>
        </w:rPr>
      </w:pPr>
    </w:p>
    <w:p w14:paraId="175F3EAC" w14:textId="6D8761A3" w:rsidR="002C012F" w:rsidRPr="003F7A21" w:rsidRDefault="00A0363E" w:rsidP="002C012F">
      <w:pPr>
        <w:autoSpaceDE w:val="0"/>
        <w:autoSpaceDN w:val="0"/>
        <w:rPr>
          <w:b/>
          <w:iCs/>
          <w:highlight w:val="yellow"/>
        </w:rPr>
      </w:pPr>
      <w:proofErr w:type="spellStart"/>
      <w:r>
        <w:rPr>
          <w:b/>
          <w:i/>
          <w:iCs/>
          <w:highlight w:val="yellow"/>
        </w:rPr>
        <w:t>TGmf</w:t>
      </w:r>
      <w:proofErr w:type="spellEnd"/>
      <w:r>
        <w:rPr>
          <w:b/>
          <w:i/>
          <w:iCs/>
          <w:highlight w:val="yellow"/>
        </w:rPr>
        <w:t xml:space="preserve"> editor</w:t>
      </w:r>
      <w:r w:rsidR="002C012F" w:rsidRPr="002A37AA">
        <w:rPr>
          <w:b/>
          <w:i/>
          <w:iCs/>
          <w:highlight w:val="yellow"/>
        </w:rPr>
        <w:t xml:space="preserve">: Please </w:t>
      </w:r>
      <w:r w:rsidR="002C012F" w:rsidRPr="003F7A21">
        <w:rPr>
          <w:b/>
          <w:bCs/>
          <w:i/>
          <w:highlight w:val="yellow"/>
        </w:rPr>
        <w:t>insert</w:t>
      </w:r>
      <w:r w:rsidR="002C012F">
        <w:rPr>
          <w:b/>
          <w:bCs/>
          <w:i/>
          <w:highlight w:val="yellow"/>
        </w:rPr>
        <w:t xml:space="preserve"> the following new row to Table 9-60 (Beacon frame body)</w:t>
      </w:r>
      <w:r w:rsidR="002C012F" w:rsidRPr="00957D47">
        <w:rPr>
          <w:b/>
          <w:bCs/>
          <w:i/>
          <w:highlight w:val="yellow"/>
        </w:rPr>
        <w:t xml:space="preserve"> </w:t>
      </w:r>
    </w:p>
    <w:p w14:paraId="3BF41D08" w14:textId="77777777" w:rsidR="002C012F" w:rsidRDefault="002C012F" w:rsidP="002C012F">
      <w:pPr>
        <w:pStyle w:val="BodyText0"/>
        <w:kinsoku w:val="0"/>
        <w:overflowPunct w:val="0"/>
        <w:ind w:left="943" w:right="996"/>
        <w:jc w:val="center"/>
        <w:rPr>
          <w:rFonts w:ascii="Arial" w:hAnsi="Arial" w:cs="Arial"/>
          <w:b/>
          <w:bCs/>
          <w:spacing w:val="-4"/>
        </w:rPr>
      </w:pPr>
      <w:r>
        <w:rPr>
          <w:rFonts w:ascii="Arial" w:hAnsi="Arial" w:cs="Arial"/>
          <w:b/>
          <w:bCs/>
        </w:rPr>
        <w:t>Table</w:t>
      </w:r>
      <w:r>
        <w:rPr>
          <w:rFonts w:ascii="Arial" w:hAnsi="Arial" w:cs="Arial"/>
          <w:b/>
          <w:bCs/>
          <w:spacing w:val="-10"/>
        </w:rPr>
        <w:t xml:space="preserve"> </w:t>
      </w:r>
      <w:r>
        <w:rPr>
          <w:rFonts w:ascii="Arial" w:hAnsi="Arial" w:cs="Arial"/>
          <w:b/>
          <w:bCs/>
        </w:rPr>
        <w:t>9-60—Beacon</w:t>
      </w:r>
      <w:r>
        <w:rPr>
          <w:rFonts w:ascii="Arial" w:hAnsi="Arial" w:cs="Arial"/>
          <w:b/>
          <w:bCs/>
          <w:spacing w:val="-9"/>
        </w:rPr>
        <w:t xml:space="preserve"> </w:t>
      </w:r>
      <w:r>
        <w:rPr>
          <w:rFonts w:ascii="Arial" w:hAnsi="Arial" w:cs="Arial"/>
          <w:b/>
          <w:bCs/>
        </w:rPr>
        <w:t>frame</w:t>
      </w:r>
      <w:r>
        <w:rPr>
          <w:rFonts w:ascii="Arial" w:hAnsi="Arial" w:cs="Arial"/>
          <w:b/>
          <w:bCs/>
          <w:spacing w:val="-10"/>
        </w:rPr>
        <w:t xml:space="preserve"> </w:t>
      </w:r>
      <w:r>
        <w:rPr>
          <w:rFonts w:ascii="Arial" w:hAnsi="Arial" w:cs="Arial"/>
          <w:b/>
          <w:bCs/>
          <w:spacing w:val="-4"/>
        </w:rPr>
        <w:t>body</w:t>
      </w:r>
    </w:p>
    <w:p w14:paraId="1F0A9FDD" w14:textId="77777777" w:rsidR="002C012F" w:rsidRDefault="002C012F" w:rsidP="002C012F">
      <w:pPr>
        <w:pStyle w:val="BodyText0"/>
        <w:kinsoku w:val="0"/>
        <w:overflowPunct w:val="0"/>
        <w:spacing w:before="10"/>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2C012F" w14:paraId="3869FB72" w14:textId="77777777" w:rsidTr="009C0B86">
        <w:trPr>
          <w:trHeight w:val="380"/>
        </w:trPr>
        <w:tc>
          <w:tcPr>
            <w:tcW w:w="1119" w:type="dxa"/>
            <w:tcBorders>
              <w:top w:val="single" w:sz="12" w:space="0" w:color="000000"/>
              <w:left w:val="single" w:sz="12" w:space="0" w:color="000000"/>
              <w:bottom w:val="single" w:sz="12" w:space="0" w:color="000000"/>
              <w:right w:val="single" w:sz="2" w:space="0" w:color="000000"/>
            </w:tcBorders>
          </w:tcPr>
          <w:p w14:paraId="75A3A099" w14:textId="77777777" w:rsidR="002C012F" w:rsidRDefault="002C012F" w:rsidP="009C0B86">
            <w:pPr>
              <w:pStyle w:val="TableParagraph"/>
              <w:kinsoku w:val="0"/>
              <w:overflowPunct w:val="0"/>
              <w:spacing w:before="76"/>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2154FA15" w14:textId="77777777" w:rsidR="002C012F" w:rsidRDefault="002C012F" w:rsidP="009C0B86">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540AABB4" w14:textId="77777777" w:rsidR="002C012F" w:rsidRDefault="002C012F" w:rsidP="009C0B86">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2C012F" w14:paraId="4D90AF1E" w14:textId="77777777" w:rsidTr="009C0B86">
        <w:trPr>
          <w:trHeight w:val="711"/>
        </w:trPr>
        <w:tc>
          <w:tcPr>
            <w:tcW w:w="1119" w:type="dxa"/>
            <w:tcBorders>
              <w:top w:val="single" w:sz="12" w:space="0" w:color="000000"/>
              <w:left w:val="single" w:sz="12" w:space="0" w:color="000000"/>
              <w:bottom w:val="single" w:sz="2" w:space="0" w:color="000000"/>
              <w:right w:val="single" w:sz="2" w:space="0" w:color="000000"/>
            </w:tcBorders>
          </w:tcPr>
          <w:p w14:paraId="54E02333" w14:textId="77777777" w:rsidR="002C012F" w:rsidRPr="00794CA2" w:rsidRDefault="002C012F" w:rsidP="009C0B86">
            <w:pPr>
              <w:pStyle w:val="TableParagraph"/>
              <w:kinsoku w:val="0"/>
              <w:overflowPunct w:val="0"/>
              <w:spacing w:before="50" w:line="203" w:lineRule="exact"/>
              <w:ind w:left="117" w:right="92"/>
              <w:jc w:val="center"/>
              <w:rPr>
                <w:color w:val="208A20"/>
                <w:spacing w:val="-2"/>
                <w:sz w:val="18"/>
                <w:szCs w:val="18"/>
              </w:rPr>
            </w:pPr>
            <w:r>
              <w:rPr>
                <w:color w:val="000000"/>
                <w:spacing w:val="-2"/>
                <w:sz w:val="18"/>
                <w:szCs w:val="18"/>
              </w:rPr>
              <w:t>&lt;L</w:t>
            </w:r>
            <w:r>
              <w:rPr>
                <w:spacing w:val="-2"/>
                <w:sz w:val="18"/>
                <w:szCs w:val="18"/>
              </w:rPr>
              <w:t>ast</w:t>
            </w:r>
            <w:r>
              <w:rPr>
                <w:spacing w:val="-15"/>
                <w:sz w:val="18"/>
                <w:szCs w:val="18"/>
              </w:rPr>
              <w:t xml:space="preserve"> </w:t>
            </w:r>
            <w:r>
              <w:rPr>
                <w:spacing w:val="-2"/>
                <w:sz w:val="18"/>
                <w:szCs w:val="18"/>
              </w:rPr>
              <w:t>assigned</w:t>
            </w:r>
          </w:p>
          <w:p w14:paraId="35B32CC0" w14:textId="77777777" w:rsidR="002C012F" w:rsidRDefault="002C012F" w:rsidP="009C0B86">
            <w:pPr>
              <w:pStyle w:val="TableParagraph"/>
              <w:kinsoku w:val="0"/>
              <w:overflowPunct w:val="0"/>
              <w:spacing w:before="36"/>
              <w:ind w:left="117" w:right="92"/>
              <w:jc w:val="center"/>
              <w:rPr>
                <w:spacing w:val="-5"/>
                <w:sz w:val="18"/>
                <w:szCs w:val="18"/>
              </w:rPr>
            </w:pPr>
            <w:r>
              <w:rPr>
                <w:sz w:val="18"/>
                <w:szCs w:val="18"/>
              </w:rPr>
              <w:t>+</w:t>
            </w:r>
            <w:r>
              <w:rPr>
                <w:spacing w:val="-1"/>
                <w:sz w:val="18"/>
                <w:szCs w:val="18"/>
              </w:rPr>
              <w:t xml:space="preserve"> </w:t>
            </w:r>
            <w:r>
              <w:rPr>
                <w:spacing w:val="-5"/>
                <w:sz w:val="18"/>
                <w:szCs w:val="18"/>
              </w:rPr>
              <w:t>1&gt;</w:t>
            </w:r>
          </w:p>
        </w:tc>
        <w:tc>
          <w:tcPr>
            <w:tcW w:w="1757" w:type="dxa"/>
            <w:tcBorders>
              <w:top w:val="single" w:sz="12" w:space="0" w:color="000000"/>
              <w:left w:val="single" w:sz="2" w:space="0" w:color="000000"/>
              <w:bottom w:val="single" w:sz="2" w:space="0" w:color="000000"/>
              <w:right w:val="single" w:sz="2" w:space="0" w:color="000000"/>
            </w:tcBorders>
          </w:tcPr>
          <w:p w14:paraId="35C897B2" w14:textId="77777777" w:rsidR="002C012F" w:rsidRDefault="002C012F" w:rsidP="009C0B86">
            <w:pPr>
              <w:pStyle w:val="TableParagraph"/>
              <w:kinsoku w:val="0"/>
              <w:overflowPunct w:val="0"/>
              <w:spacing w:before="36"/>
              <w:rPr>
                <w:spacing w:val="-2"/>
                <w:sz w:val="18"/>
                <w:szCs w:val="18"/>
              </w:rPr>
            </w:pPr>
            <w:r>
              <w:rPr>
                <w:sz w:val="18"/>
                <w:szCs w:val="18"/>
              </w:rPr>
              <w:t xml:space="preserve">Broadcast </w:t>
            </w:r>
            <w:r w:rsidRPr="002D2D29">
              <w:rPr>
                <w:sz w:val="18"/>
                <w:szCs w:val="18"/>
              </w:rPr>
              <w:t>TWT Link Replacement</w:t>
            </w:r>
          </w:p>
        </w:tc>
        <w:tc>
          <w:tcPr>
            <w:tcW w:w="5001" w:type="dxa"/>
            <w:tcBorders>
              <w:top w:val="single" w:sz="12" w:space="0" w:color="000000"/>
              <w:left w:val="single" w:sz="2" w:space="0" w:color="000000"/>
              <w:bottom w:val="single" w:sz="2" w:space="0" w:color="000000"/>
              <w:right w:val="single" w:sz="12" w:space="0" w:color="000000"/>
            </w:tcBorders>
          </w:tcPr>
          <w:p w14:paraId="6B704840" w14:textId="77777777" w:rsidR="002C012F" w:rsidRDefault="002C012F" w:rsidP="009C0B86">
            <w:pPr>
              <w:pStyle w:val="TableParagraph"/>
              <w:kinsoku w:val="0"/>
              <w:overflowPunct w:val="0"/>
              <w:spacing w:before="41" w:line="232" w:lineRule="auto"/>
              <w:ind w:left="0" w:right="91"/>
              <w:jc w:val="both"/>
              <w:rPr>
                <w:sz w:val="18"/>
                <w:szCs w:val="18"/>
              </w:rPr>
            </w:pPr>
            <w:r w:rsidRPr="002D2D29">
              <w:rPr>
                <w:sz w:val="18"/>
                <w:szCs w:val="18"/>
              </w:rPr>
              <w:t xml:space="preserve">One or more </w:t>
            </w:r>
            <w:r>
              <w:rPr>
                <w:sz w:val="18"/>
                <w:szCs w:val="18"/>
              </w:rPr>
              <w:t xml:space="preserve">Broadcast </w:t>
            </w:r>
            <w:r w:rsidRPr="002D2D29">
              <w:rPr>
                <w:sz w:val="18"/>
                <w:szCs w:val="18"/>
              </w:rPr>
              <w:t>TWT Link Replacement elements are optionally present if dot11MultiLinkActivated</w:t>
            </w:r>
            <w:r>
              <w:rPr>
                <w:sz w:val="18"/>
                <w:szCs w:val="18"/>
              </w:rPr>
              <w:t xml:space="preserve"> and </w:t>
            </w:r>
            <w:r w:rsidRPr="00355DE4">
              <w:rPr>
                <w:sz w:val="18"/>
                <w:szCs w:val="18"/>
              </w:rPr>
              <w:t>dot11TWTOptionActivated</w:t>
            </w:r>
            <w:r>
              <w:rPr>
                <w:sz w:val="18"/>
                <w:szCs w:val="18"/>
              </w:rPr>
              <w:t xml:space="preserve"> are true</w:t>
            </w:r>
            <w:r w:rsidRPr="002D2D29">
              <w:rPr>
                <w:sz w:val="18"/>
                <w:szCs w:val="18"/>
              </w:rPr>
              <w:t>; otherwise, none are present.</w:t>
            </w:r>
          </w:p>
        </w:tc>
      </w:tr>
    </w:tbl>
    <w:p w14:paraId="429AF315" w14:textId="77777777" w:rsidR="002C012F" w:rsidRDefault="002C012F" w:rsidP="002C012F">
      <w:pPr>
        <w:autoSpaceDE w:val="0"/>
        <w:autoSpaceDN w:val="0"/>
        <w:rPr>
          <w:b/>
          <w:i/>
          <w:iCs/>
          <w:highlight w:val="yellow"/>
        </w:rPr>
      </w:pPr>
    </w:p>
    <w:p w14:paraId="4D6C36A8" w14:textId="7DB99D14" w:rsidR="002C012F" w:rsidRPr="003F7A21" w:rsidRDefault="00A0363E" w:rsidP="002C012F">
      <w:pPr>
        <w:autoSpaceDE w:val="0"/>
        <w:autoSpaceDN w:val="0"/>
        <w:rPr>
          <w:b/>
          <w:iCs/>
          <w:highlight w:val="yellow"/>
        </w:rPr>
      </w:pPr>
      <w:proofErr w:type="spellStart"/>
      <w:r>
        <w:rPr>
          <w:b/>
          <w:i/>
          <w:iCs/>
          <w:highlight w:val="yellow"/>
        </w:rPr>
        <w:lastRenderedPageBreak/>
        <w:t>TGmf</w:t>
      </w:r>
      <w:proofErr w:type="spellEnd"/>
      <w:r>
        <w:rPr>
          <w:b/>
          <w:i/>
          <w:iCs/>
          <w:highlight w:val="yellow"/>
        </w:rPr>
        <w:t xml:space="preserve"> editor</w:t>
      </w:r>
      <w:r w:rsidR="002C012F" w:rsidRPr="002A37AA">
        <w:rPr>
          <w:b/>
          <w:i/>
          <w:iCs/>
          <w:highlight w:val="yellow"/>
        </w:rPr>
        <w:t xml:space="preserve">: Please </w:t>
      </w:r>
      <w:r w:rsidR="002C012F" w:rsidRPr="003F7A21">
        <w:rPr>
          <w:b/>
          <w:bCs/>
          <w:i/>
          <w:highlight w:val="yellow"/>
        </w:rPr>
        <w:t>insert</w:t>
      </w:r>
      <w:r w:rsidR="002C012F">
        <w:rPr>
          <w:b/>
          <w:bCs/>
          <w:i/>
          <w:highlight w:val="yellow"/>
        </w:rPr>
        <w:t xml:space="preserve"> the following new row to Table 9-67 (Probe Response frame body)</w:t>
      </w:r>
      <w:r w:rsidR="002C012F" w:rsidRPr="00957D47">
        <w:rPr>
          <w:b/>
          <w:bCs/>
          <w:i/>
          <w:highlight w:val="yellow"/>
        </w:rPr>
        <w:t xml:space="preserve"> </w:t>
      </w:r>
    </w:p>
    <w:p w14:paraId="4B79B68E" w14:textId="77777777" w:rsidR="002C012F" w:rsidRDefault="002C012F" w:rsidP="002C012F">
      <w:pPr>
        <w:pStyle w:val="BodyText0"/>
        <w:kinsoku w:val="0"/>
        <w:overflowPunct w:val="0"/>
        <w:ind w:left="888" w:right="996"/>
        <w:jc w:val="center"/>
        <w:rPr>
          <w:rFonts w:ascii="Arial" w:hAnsi="Arial" w:cs="Arial"/>
          <w:b/>
          <w:bCs/>
          <w:color w:val="208A20"/>
          <w:spacing w:val="-2"/>
        </w:rPr>
      </w:pPr>
      <w:r>
        <w:rPr>
          <w:rFonts w:ascii="Arial" w:hAnsi="Arial" w:cs="Arial"/>
          <w:b/>
          <w:bCs/>
        </w:rPr>
        <w:t>Table</w:t>
      </w:r>
      <w:r>
        <w:rPr>
          <w:rFonts w:ascii="Arial" w:hAnsi="Arial" w:cs="Arial"/>
          <w:b/>
          <w:bCs/>
          <w:spacing w:val="-11"/>
        </w:rPr>
        <w:t xml:space="preserve"> </w:t>
      </w:r>
      <w:r>
        <w:rPr>
          <w:rFonts w:ascii="Arial" w:hAnsi="Arial" w:cs="Arial"/>
          <w:b/>
          <w:bCs/>
        </w:rPr>
        <w:t>9-67—Probe</w:t>
      </w:r>
      <w:r>
        <w:rPr>
          <w:rFonts w:ascii="Arial" w:hAnsi="Arial" w:cs="Arial"/>
          <w:b/>
          <w:bCs/>
          <w:spacing w:val="-11"/>
        </w:rPr>
        <w:t xml:space="preserve"> </w:t>
      </w:r>
      <w:r>
        <w:rPr>
          <w:rFonts w:ascii="Arial" w:hAnsi="Arial" w:cs="Arial"/>
          <w:b/>
          <w:bCs/>
        </w:rPr>
        <w:t>Response</w:t>
      </w:r>
      <w:r>
        <w:rPr>
          <w:rFonts w:ascii="Arial" w:hAnsi="Arial" w:cs="Arial"/>
          <w:b/>
          <w:bCs/>
          <w:spacing w:val="-12"/>
        </w:rPr>
        <w:t xml:space="preserve"> </w:t>
      </w:r>
      <w:r>
        <w:rPr>
          <w:rFonts w:ascii="Arial" w:hAnsi="Arial" w:cs="Arial"/>
          <w:b/>
          <w:bCs/>
        </w:rPr>
        <w:t>frame</w:t>
      </w:r>
      <w:r>
        <w:rPr>
          <w:rFonts w:ascii="Arial" w:hAnsi="Arial" w:cs="Arial"/>
          <w:b/>
          <w:bCs/>
          <w:spacing w:val="-11"/>
        </w:rPr>
        <w:t xml:space="preserve"> </w:t>
      </w:r>
      <w:r>
        <w:rPr>
          <w:rFonts w:ascii="Arial" w:hAnsi="Arial" w:cs="Arial"/>
          <w:b/>
          <w:bCs/>
          <w:spacing w:val="-2"/>
        </w:rPr>
        <w:t>body</w:t>
      </w:r>
    </w:p>
    <w:p w14:paraId="175D322A" w14:textId="77777777" w:rsidR="002C012F" w:rsidRDefault="002C012F" w:rsidP="002C012F">
      <w:pPr>
        <w:pStyle w:val="BodyText0"/>
        <w:kinsoku w:val="0"/>
        <w:overflowPunct w:val="0"/>
        <w:spacing w:before="10" w:after="1"/>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2C012F" w14:paraId="7EE5095F" w14:textId="77777777" w:rsidTr="009C0B86">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D5A4128" w14:textId="77777777" w:rsidR="002C012F" w:rsidRDefault="002C012F" w:rsidP="009C0B86">
            <w:pPr>
              <w:pStyle w:val="TableParagraph"/>
              <w:kinsoku w:val="0"/>
              <w:overflowPunct w:val="0"/>
              <w:spacing w:before="76"/>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3A829BCF" w14:textId="77777777" w:rsidR="002C012F" w:rsidRDefault="002C012F" w:rsidP="009C0B86">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3FA02CD7" w14:textId="77777777" w:rsidR="002C012F" w:rsidRDefault="002C012F" w:rsidP="009C0B86">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2C012F" w14:paraId="3D11F4F4" w14:textId="77777777" w:rsidTr="009C0B86">
        <w:trPr>
          <w:trHeight w:val="1219"/>
        </w:trPr>
        <w:tc>
          <w:tcPr>
            <w:tcW w:w="1119" w:type="dxa"/>
            <w:tcBorders>
              <w:top w:val="single" w:sz="12" w:space="0" w:color="000000"/>
              <w:left w:val="single" w:sz="12" w:space="0" w:color="000000"/>
              <w:bottom w:val="single" w:sz="2" w:space="0" w:color="000000"/>
              <w:right w:val="single" w:sz="2" w:space="0" w:color="000000"/>
            </w:tcBorders>
          </w:tcPr>
          <w:p w14:paraId="33A5767A" w14:textId="77777777" w:rsidR="002C012F" w:rsidRDefault="002C012F" w:rsidP="009C0B86">
            <w:pPr>
              <w:pStyle w:val="TableParagraph"/>
              <w:kinsoku w:val="0"/>
              <w:overflowPunct w:val="0"/>
              <w:spacing w:before="36"/>
              <w:ind w:left="117" w:right="92"/>
              <w:rPr>
                <w:sz w:val="18"/>
                <w:szCs w:val="18"/>
              </w:rPr>
            </w:pPr>
            <w:r>
              <w:rPr>
                <w:sz w:val="18"/>
                <w:szCs w:val="18"/>
              </w:rPr>
              <w:t xml:space="preserve">&lt;Last </w:t>
            </w:r>
          </w:p>
          <w:p w14:paraId="6DBEEEA0" w14:textId="77777777" w:rsidR="002C012F" w:rsidRDefault="002C012F" w:rsidP="009C0B86">
            <w:pPr>
              <w:pStyle w:val="TableParagraph"/>
              <w:kinsoku w:val="0"/>
              <w:overflowPunct w:val="0"/>
              <w:spacing w:before="36"/>
              <w:ind w:left="117" w:right="92"/>
              <w:rPr>
                <w:spacing w:val="-5"/>
                <w:sz w:val="18"/>
                <w:szCs w:val="18"/>
              </w:rPr>
            </w:pPr>
            <w:r>
              <w:rPr>
                <w:sz w:val="18"/>
                <w:szCs w:val="18"/>
              </w:rPr>
              <w:t>assigned</w:t>
            </w:r>
            <w:r>
              <w:rPr>
                <w:spacing w:val="-12"/>
                <w:sz w:val="18"/>
                <w:szCs w:val="18"/>
              </w:rPr>
              <w:t xml:space="preserve"> </w:t>
            </w:r>
            <w:r>
              <w:rPr>
                <w:sz w:val="18"/>
                <w:szCs w:val="18"/>
              </w:rPr>
              <w:t>+</w:t>
            </w:r>
            <w:r>
              <w:rPr>
                <w:spacing w:val="-11"/>
                <w:sz w:val="18"/>
                <w:szCs w:val="18"/>
              </w:rPr>
              <w:t xml:space="preserve"> </w:t>
            </w:r>
            <w:r>
              <w:rPr>
                <w:spacing w:val="-6"/>
                <w:sz w:val="18"/>
                <w:szCs w:val="18"/>
              </w:rPr>
              <w:t>1&gt;</w:t>
            </w:r>
          </w:p>
        </w:tc>
        <w:tc>
          <w:tcPr>
            <w:tcW w:w="1757" w:type="dxa"/>
            <w:tcBorders>
              <w:top w:val="single" w:sz="12" w:space="0" w:color="000000"/>
              <w:left w:val="single" w:sz="2" w:space="0" w:color="000000"/>
              <w:bottom w:val="single" w:sz="2" w:space="0" w:color="000000"/>
              <w:right w:val="single" w:sz="2" w:space="0" w:color="000000"/>
            </w:tcBorders>
          </w:tcPr>
          <w:p w14:paraId="50D554D4" w14:textId="77777777" w:rsidR="002C012F" w:rsidRDefault="002C012F" w:rsidP="009C0B86">
            <w:pPr>
              <w:pStyle w:val="TableParagraph"/>
              <w:kinsoku w:val="0"/>
              <w:overflowPunct w:val="0"/>
              <w:spacing w:before="36"/>
              <w:ind w:left="130"/>
              <w:rPr>
                <w:spacing w:val="-5"/>
                <w:sz w:val="18"/>
                <w:szCs w:val="18"/>
              </w:rPr>
            </w:pPr>
            <w:r>
              <w:rPr>
                <w:sz w:val="18"/>
                <w:szCs w:val="18"/>
              </w:rPr>
              <w:t xml:space="preserve">Broadcast </w:t>
            </w:r>
            <w:r w:rsidRPr="002D2D29">
              <w:rPr>
                <w:sz w:val="18"/>
                <w:szCs w:val="18"/>
              </w:rPr>
              <w:t>TWT Link Replacement</w:t>
            </w:r>
          </w:p>
        </w:tc>
        <w:tc>
          <w:tcPr>
            <w:tcW w:w="5001" w:type="dxa"/>
            <w:tcBorders>
              <w:top w:val="single" w:sz="12" w:space="0" w:color="000000"/>
              <w:left w:val="single" w:sz="2" w:space="0" w:color="000000"/>
              <w:bottom w:val="single" w:sz="2" w:space="0" w:color="000000"/>
              <w:right w:val="single" w:sz="12" w:space="0" w:color="000000"/>
            </w:tcBorders>
          </w:tcPr>
          <w:p w14:paraId="232427A7" w14:textId="77777777" w:rsidR="002C012F" w:rsidRDefault="002C012F" w:rsidP="009C0B86">
            <w:pPr>
              <w:pStyle w:val="TableParagraph"/>
              <w:kinsoku w:val="0"/>
              <w:overflowPunct w:val="0"/>
              <w:spacing w:line="232" w:lineRule="auto"/>
              <w:ind w:left="117" w:right="91"/>
              <w:rPr>
                <w:sz w:val="18"/>
                <w:szCs w:val="18"/>
              </w:rPr>
            </w:pPr>
            <w:r w:rsidRPr="00AA0DA1">
              <w:rPr>
                <w:sz w:val="18"/>
                <w:szCs w:val="18"/>
              </w:rPr>
              <w:t xml:space="preserve">One or more </w:t>
            </w:r>
            <w:r>
              <w:rPr>
                <w:sz w:val="18"/>
                <w:szCs w:val="18"/>
              </w:rPr>
              <w:t xml:space="preserve">Broadcast </w:t>
            </w:r>
            <w:r w:rsidRPr="00AA0DA1">
              <w:rPr>
                <w:sz w:val="18"/>
                <w:szCs w:val="18"/>
              </w:rPr>
              <w:t xml:space="preserve">TWT Link Replacement elements are optionally present if dot11MultiLinkActivated and </w:t>
            </w:r>
            <w:r w:rsidRPr="00355DE4">
              <w:rPr>
                <w:sz w:val="18"/>
                <w:szCs w:val="18"/>
              </w:rPr>
              <w:t>dot11TWTOptionActivated</w:t>
            </w:r>
            <w:r w:rsidRPr="00AA0DA1">
              <w:rPr>
                <w:sz w:val="18"/>
                <w:szCs w:val="18"/>
              </w:rPr>
              <w:t xml:space="preserve"> are true; otherwise, none are present.</w:t>
            </w:r>
          </w:p>
        </w:tc>
      </w:tr>
    </w:tbl>
    <w:p w14:paraId="74EF12D3" w14:textId="77777777" w:rsidR="002C012F" w:rsidRDefault="002C012F" w:rsidP="002C012F">
      <w:pPr>
        <w:autoSpaceDE w:val="0"/>
        <w:autoSpaceDN w:val="0"/>
        <w:rPr>
          <w:b/>
          <w:i/>
          <w:iCs/>
          <w:highlight w:val="yellow"/>
        </w:rPr>
      </w:pPr>
    </w:p>
    <w:p w14:paraId="12B20EDC" w14:textId="54CBF3A3" w:rsidR="002C012F" w:rsidRDefault="00A0363E" w:rsidP="002C012F">
      <w:pPr>
        <w:autoSpaceDE w:val="0"/>
        <w:autoSpaceDN w:val="0"/>
        <w:rPr>
          <w:rFonts w:ascii="Times New Roman" w:hAnsi="Times New Roman" w:cs="Times New Roman"/>
          <w:bCs/>
          <w:sz w:val="18"/>
          <w:szCs w:val="18"/>
        </w:rPr>
      </w:pPr>
      <w:proofErr w:type="spellStart"/>
      <w:r>
        <w:rPr>
          <w:b/>
          <w:i/>
          <w:iCs/>
          <w:highlight w:val="yellow"/>
        </w:rPr>
        <w:t>TGmf</w:t>
      </w:r>
      <w:proofErr w:type="spellEnd"/>
      <w:r>
        <w:rPr>
          <w:b/>
          <w:i/>
          <w:iCs/>
          <w:highlight w:val="yellow"/>
        </w:rPr>
        <w:t xml:space="preserve"> editor</w:t>
      </w:r>
      <w:r w:rsidR="002C012F" w:rsidRPr="002A37AA">
        <w:rPr>
          <w:b/>
          <w:i/>
          <w:iCs/>
          <w:highlight w:val="yellow"/>
        </w:rPr>
        <w:t xml:space="preserve">: Please </w:t>
      </w:r>
      <w:r w:rsidR="002C012F" w:rsidRPr="003F7A21">
        <w:rPr>
          <w:b/>
          <w:bCs/>
          <w:i/>
          <w:highlight w:val="yellow"/>
        </w:rPr>
        <w:t>insert</w:t>
      </w:r>
      <w:r w:rsidR="002C012F">
        <w:rPr>
          <w:b/>
          <w:bCs/>
          <w:i/>
          <w:highlight w:val="yellow"/>
        </w:rPr>
        <w:t xml:space="preserve"> the following new row to Table 9-</w:t>
      </w:r>
      <w:r w:rsidR="002C012F" w:rsidRPr="00ED5688">
        <w:rPr>
          <w:b/>
          <w:bCs/>
          <w:i/>
          <w:highlight w:val="yellow"/>
        </w:rPr>
        <w:t>62</w:t>
      </w:r>
      <w:r w:rsidR="00B66005">
        <w:rPr>
          <w:b/>
          <w:bCs/>
          <w:i/>
          <w:highlight w:val="yellow"/>
        </w:rPr>
        <w:t>8</w:t>
      </w:r>
      <w:r w:rsidR="002C012F" w:rsidRPr="00ED5688">
        <w:rPr>
          <w:b/>
          <w:bCs/>
          <w:i/>
          <w:highlight w:val="yellow"/>
        </w:rPr>
        <w:t xml:space="preserve">c (Protected EHT Action field values) </w:t>
      </w:r>
    </w:p>
    <w:p w14:paraId="7A0A7768" w14:textId="2F4E994B" w:rsidR="00B66005" w:rsidRPr="00B66005" w:rsidRDefault="00B66005" w:rsidP="00B66005">
      <w:pPr>
        <w:ind w:left="971" w:right="1022"/>
        <w:jc w:val="center"/>
        <w:rPr>
          <w:rFonts w:ascii="Arial" w:hAnsi="Arial"/>
          <w:b/>
          <w:sz w:val="20"/>
        </w:rPr>
      </w:pPr>
      <w:r>
        <w:rPr>
          <w:rFonts w:ascii="Arial" w:hAnsi="Arial"/>
          <w:b/>
          <w:sz w:val="20"/>
        </w:rPr>
        <w:t>Table</w:t>
      </w:r>
      <w:r>
        <w:rPr>
          <w:rFonts w:ascii="Arial" w:hAnsi="Arial"/>
          <w:b/>
          <w:spacing w:val="-11"/>
          <w:sz w:val="20"/>
        </w:rPr>
        <w:t xml:space="preserve"> </w:t>
      </w:r>
      <w:r>
        <w:rPr>
          <w:rFonts w:ascii="Arial" w:hAnsi="Arial"/>
          <w:b/>
          <w:sz w:val="20"/>
        </w:rPr>
        <w:t>9-628c—Protected</w:t>
      </w:r>
      <w:r>
        <w:rPr>
          <w:rFonts w:ascii="Arial" w:hAnsi="Arial"/>
          <w:b/>
          <w:spacing w:val="-9"/>
          <w:sz w:val="20"/>
        </w:rPr>
        <w:t xml:space="preserve"> </w:t>
      </w:r>
      <w:r>
        <w:rPr>
          <w:rFonts w:ascii="Arial" w:hAnsi="Arial"/>
          <w:b/>
          <w:sz w:val="20"/>
        </w:rPr>
        <w:t>EHT</w:t>
      </w:r>
      <w:r>
        <w:rPr>
          <w:rFonts w:ascii="Arial" w:hAnsi="Arial"/>
          <w:b/>
          <w:spacing w:val="-9"/>
          <w:sz w:val="20"/>
        </w:rPr>
        <w:t xml:space="preserve"> </w:t>
      </w:r>
      <w:r>
        <w:rPr>
          <w:rFonts w:ascii="Arial" w:hAnsi="Arial"/>
          <w:b/>
          <w:sz w:val="20"/>
        </w:rPr>
        <w:t>Action</w:t>
      </w:r>
      <w:r>
        <w:rPr>
          <w:rFonts w:ascii="Arial" w:hAnsi="Arial"/>
          <w:b/>
          <w:spacing w:val="-9"/>
          <w:sz w:val="20"/>
        </w:rPr>
        <w:t xml:space="preserve"> </w:t>
      </w:r>
      <w:r>
        <w:rPr>
          <w:rFonts w:ascii="Arial" w:hAnsi="Arial"/>
          <w:b/>
          <w:sz w:val="20"/>
        </w:rPr>
        <w:t>field</w:t>
      </w:r>
      <w:r>
        <w:rPr>
          <w:rFonts w:ascii="Arial" w:hAnsi="Arial"/>
          <w:b/>
          <w:spacing w:val="-7"/>
          <w:sz w:val="20"/>
        </w:rPr>
        <w:t xml:space="preserve"> </w:t>
      </w:r>
      <w:r>
        <w:rPr>
          <w:rFonts w:ascii="Arial" w:hAnsi="Arial"/>
          <w:b/>
          <w:spacing w:val="-2"/>
          <w:sz w:val="20"/>
        </w:rPr>
        <w:t>values</w:t>
      </w:r>
    </w:p>
    <w:tbl>
      <w:tblPr>
        <w:tblW w:w="0" w:type="auto"/>
        <w:tblInd w:w="19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B66005" w14:paraId="62E6319C" w14:textId="77777777" w:rsidTr="009C0B86">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7E93BBA1" w14:textId="77777777" w:rsidR="00B66005" w:rsidRDefault="00B66005" w:rsidP="009C0B86">
            <w:pPr>
              <w:pStyle w:val="TableParagraph"/>
              <w:spacing w:before="76" w:line="256" w:lineRule="auto"/>
              <w:ind w:left="189" w:right="178"/>
              <w:jc w:val="center"/>
              <w:rPr>
                <w:b/>
                <w:sz w:val="18"/>
              </w:rPr>
            </w:pPr>
            <w:r>
              <w:rPr>
                <w:b/>
                <w:spacing w:val="-2"/>
                <w:sz w:val="18"/>
              </w:rPr>
              <w:t>Value</w:t>
            </w:r>
          </w:p>
        </w:tc>
        <w:tc>
          <w:tcPr>
            <w:tcW w:w="3600" w:type="dxa"/>
            <w:tcBorders>
              <w:top w:val="single" w:sz="12" w:space="0" w:color="000000"/>
              <w:left w:val="single" w:sz="2" w:space="0" w:color="000000"/>
              <w:bottom w:val="single" w:sz="12" w:space="0" w:color="000000"/>
              <w:right w:val="single" w:sz="2" w:space="0" w:color="000000"/>
            </w:tcBorders>
            <w:hideMark/>
          </w:tcPr>
          <w:p w14:paraId="0491F877" w14:textId="77777777" w:rsidR="00B66005" w:rsidRDefault="00B66005" w:rsidP="009C0B86">
            <w:pPr>
              <w:pStyle w:val="TableParagraph"/>
              <w:spacing w:before="76" w:line="256" w:lineRule="auto"/>
              <w:ind w:left="1414" w:right="1389"/>
              <w:jc w:val="center"/>
              <w:rPr>
                <w:b/>
                <w:sz w:val="18"/>
              </w:rPr>
            </w:pPr>
            <w:r>
              <w:rPr>
                <w:b/>
                <w:spacing w:val="-2"/>
                <w:sz w:val="18"/>
              </w:rPr>
              <w:t>Meaning</w:t>
            </w:r>
          </w:p>
        </w:tc>
        <w:tc>
          <w:tcPr>
            <w:tcW w:w="1600" w:type="dxa"/>
            <w:tcBorders>
              <w:top w:val="single" w:sz="12" w:space="0" w:color="000000"/>
              <w:left w:val="single" w:sz="2" w:space="0" w:color="000000"/>
              <w:bottom w:val="single" w:sz="12" w:space="0" w:color="000000"/>
              <w:right w:val="single" w:sz="12" w:space="0" w:color="000000"/>
            </w:tcBorders>
            <w:hideMark/>
          </w:tcPr>
          <w:p w14:paraId="6EF5B323" w14:textId="77777777" w:rsidR="00B66005" w:rsidRDefault="00B66005" w:rsidP="009C0B86">
            <w:pPr>
              <w:pStyle w:val="TableParagraph"/>
              <w:spacing w:before="76" w:line="256" w:lineRule="auto"/>
              <w:ind w:left="277" w:right="240"/>
              <w:jc w:val="center"/>
              <w:rPr>
                <w:b/>
                <w:sz w:val="18"/>
              </w:rPr>
            </w:pPr>
            <w:r>
              <w:rPr>
                <w:b/>
                <w:sz w:val="18"/>
              </w:rPr>
              <w:t>Time</w:t>
            </w:r>
            <w:r>
              <w:rPr>
                <w:b/>
                <w:spacing w:val="-4"/>
                <w:sz w:val="18"/>
              </w:rPr>
              <w:t xml:space="preserve"> </w:t>
            </w:r>
            <w:r>
              <w:rPr>
                <w:b/>
                <w:spacing w:val="-2"/>
                <w:sz w:val="18"/>
              </w:rPr>
              <w:t>priority</w:t>
            </w:r>
          </w:p>
        </w:tc>
      </w:tr>
      <w:tr w:rsidR="00B66005" w14:paraId="3B10F38F" w14:textId="77777777" w:rsidTr="009C0B86">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340A1D17" w14:textId="77777777" w:rsidR="00B66005" w:rsidRDefault="00B66005" w:rsidP="009C0B86">
            <w:pPr>
              <w:pStyle w:val="TableParagraph"/>
              <w:spacing w:before="36" w:line="256" w:lineRule="auto"/>
              <w:ind w:left="12"/>
              <w:jc w:val="center"/>
              <w:rPr>
                <w:sz w:val="18"/>
                <w:u w:val="none"/>
              </w:rPr>
            </w:pPr>
            <w:r>
              <w:rPr>
                <w:sz w:val="18"/>
                <w:u w:val="none"/>
              </w:rPr>
              <w:t>0</w:t>
            </w:r>
          </w:p>
        </w:tc>
        <w:tc>
          <w:tcPr>
            <w:tcW w:w="3600" w:type="dxa"/>
            <w:tcBorders>
              <w:top w:val="single" w:sz="12" w:space="0" w:color="000000"/>
              <w:left w:val="single" w:sz="2" w:space="0" w:color="000000"/>
              <w:bottom w:val="single" w:sz="4" w:space="0" w:color="000000"/>
              <w:right w:val="single" w:sz="4" w:space="0" w:color="000000"/>
            </w:tcBorders>
            <w:hideMark/>
          </w:tcPr>
          <w:p w14:paraId="030AD905" w14:textId="77777777" w:rsidR="00B66005" w:rsidRDefault="00B66005" w:rsidP="009C0B86">
            <w:pPr>
              <w:pStyle w:val="TableParagraph"/>
              <w:spacing w:before="36" w:line="256" w:lineRule="auto"/>
              <w:ind w:left="130"/>
              <w:rPr>
                <w:sz w:val="18"/>
                <w:u w:val="none"/>
              </w:rPr>
            </w:pPr>
            <w:r>
              <w:rPr>
                <w:spacing w:val="-2"/>
                <w:sz w:val="18"/>
                <w:u w:val="none"/>
              </w:rPr>
              <w:t>TID-To-Link</w:t>
            </w:r>
            <w:r>
              <w:rPr>
                <w:spacing w:val="4"/>
                <w:sz w:val="18"/>
                <w:u w:val="none"/>
              </w:rPr>
              <w:t xml:space="preserve"> </w:t>
            </w:r>
            <w:r>
              <w:rPr>
                <w:spacing w:val="-2"/>
                <w:sz w:val="18"/>
                <w:u w:val="none"/>
              </w:rPr>
              <w:t>Mapping</w:t>
            </w:r>
            <w:r>
              <w:rPr>
                <w:spacing w:val="4"/>
                <w:sz w:val="18"/>
                <w:u w:val="none"/>
              </w:rPr>
              <w:t xml:space="preserve"> </w:t>
            </w:r>
            <w:r>
              <w:rPr>
                <w:spacing w:val="-2"/>
                <w:sz w:val="18"/>
                <w:u w:val="none"/>
              </w:rPr>
              <w:t>Request</w:t>
            </w:r>
          </w:p>
        </w:tc>
        <w:tc>
          <w:tcPr>
            <w:tcW w:w="1600" w:type="dxa"/>
            <w:tcBorders>
              <w:top w:val="single" w:sz="12" w:space="0" w:color="000000"/>
              <w:left w:val="single" w:sz="4" w:space="0" w:color="000000"/>
              <w:bottom w:val="single" w:sz="4" w:space="0" w:color="000000"/>
              <w:right w:val="single" w:sz="12" w:space="0" w:color="000000"/>
            </w:tcBorders>
            <w:hideMark/>
          </w:tcPr>
          <w:p w14:paraId="52344A3D" w14:textId="77777777" w:rsidR="00B66005" w:rsidRDefault="00B66005" w:rsidP="009C0B86">
            <w:pPr>
              <w:pStyle w:val="TableParagraph"/>
              <w:spacing w:before="36" w:line="256" w:lineRule="auto"/>
              <w:ind w:left="682" w:right="648"/>
              <w:jc w:val="center"/>
              <w:rPr>
                <w:sz w:val="18"/>
                <w:u w:val="none"/>
              </w:rPr>
            </w:pPr>
            <w:r>
              <w:rPr>
                <w:spacing w:val="-5"/>
                <w:sz w:val="18"/>
                <w:u w:val="none"/>
              </w:rPr>
              <w:t>No</w:t>
            </w:r>
          </w:p>
        </w:tc>
      </w:tr>
      <w:tr w:rsidR="00B66005" w14:paraId="59BAF041"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145C86EC" w14:textId="77777777" w:rsidR="00B66005" w:rsidRDefault="00B66005" w:rsidP="009C0B86">
            <w:pPr>
              <w:pStyle w:val="TableParagraph"/>
              <w:spacing w:before="46" w:line="256" w:lineRule="auto"/>
              <w:ind w:left="12"/>
              <w:jc w:val="center"/>
              <w:rPr>
                <w:sz w:val="18"/>
                <w:u w:val="none"/>
              </w:rPr>
            </w:pPr>
            <w:r>
              <w:rPr>
                <w:sz w:val="18"/>
                <w:u w:val="none"/>
              </w:rPr>
              <w:t>1</w:t>
            </w:r>
          </w:p>
        </w:tc>
        <w:tc>
          <w:tcPr>
            <w:tcW w:w="3600" w:type="dxa"/>
            <w:tcBorders>
              <w:top w:val="single" w:sz="4" w:space="0" w:color="000000"/>
              <w:left w:val="single" w:sz="2" w:space="0" w:color="000000"/>
              <w:bottom w:val="single" w:sz="4" w:space="0" w:color="000000"/>
              <w:right w:val="single" w:sz="4" w:space="0" w:color="000000"/>
            </w:tcBorders>
            <w:hideMark/>
          </w:tcPr>
          <w:p w14:paraId="3CB0DAA2" w14:textId="77777777" w:rsidR="00B66005" w:rsidRDefault="00B66005" w:rsidP="009C0B86">
            <w:pPr>
              <w:pStyle w:val="TableParagraph"/>
              <w:spacing w:before="46" w:line="256" w:lineRule="auto"/>
              <w:ind w:left="130"/>
              <w:rPr>
                <w:sz w:val="18"/>
                <w:u w:val="none"/>
              </w:rPr>
            </w:pPr>
            <w:r>
              <w:rPr>
                <w:sz w:val="18"/>
                <w:u w:val="none"/>
              </w:rPr>
              <w:t>TID-To-Link</w:t>
            </w:r>
            <w:r>
              <w:rPr>
                <w:spacing w:val="-10"/>
                <w:sz w:val="18"/>
                <w:u w:val="none"/>
              </w:rPr>
              <w:t xml:space="preserve"> </w:t>
            </w:r>
            <w:r>
              <w:rPr>
                <w:sz w:val="18"/>
                <w:u w:val="none"/>
              </w:rPr>
              <w:t>Mapping</w:t>
            </w:r>
            <w:r>
              <w:rPr>
                <w:spacing w:val="-10"/>
                <w:sz w:val="18"/>
                <w:u w:val="none"/>
              </w:rPr>
              <w:t xml:space="preserve"> </w:t>
            </w:r>
            <w:r>
              <w:rPr>
                <w:spacing w:val="-2"/>
                <w:sz w:val="18"/>
                <w:u w:val="none"/>
              </w:rPr>
              <w:t>Response</w:t>
            </w:r>
          </w:p>
        </w:tc>
        <w:tc>
          <w:tcPr>
            <w:tcW w:w="1600" w:type="dxa"/>
            <w:tcBorders>
              <w:top w:val="single" w:sz="4" w:space="0" w:color="000000"/>
              <w:left w:val="single" w:sz="4" w:space="0" w:color="000000"/>
              <w:bottom w:val="single" w:sz="4" w:space="0" w:color="000000"/>
              <w:right w:val="single" w:sz="12" w:space="0" w:color="000000"/>
            </w:tcBorders>
            <w:hideMark/>
          </w:tcPr>
          <w:p w14:paraId="67C05CF4"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0B2D2CED"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739FD1DD" w14:textId="77777777" w:rsidR="00B66005" w:rsidRDefault="00B66005" w:rsidP="009C0B86">
            <w:pPr>
              <w:pStyle w:val="TableParagraph"/>
              <w:spacing w:before="46" w:line="256" w:lineRule="auto"/>
              <w:ind w:left="12"/>
              <w:jc w:val="center"/>
              <w:rPr>
                <w:sz w:val="18"/>
                <w:u w:val="none"/>
              </w:rPr>
            </w:pPr>
            <w:r>
              <w:rPr>
                <w:sz w:val="18"/>
                <w:u w:val="none"/>
              </w:rPr>
              <w:t>2</w:t>
            </w:r>
          </w:p>
        </w:tc>
        <w:tc>
          <w:tcPr>
            <w:tcW w:w="3600" w:type="dxa"/>
            <w:tcBorders>
              <w:top w:val="single" w:sz="4" w:space="0" w:color="000000"/>
              <w:left w:val="single" w:sz="2" w:space="0" w:color="000000"/>
              <w:bottom w:val="single" w:sz="4" w:space="0" w:color="000000"/>
              <w:right w:val="single" w:sz="4" w:space="0" w:color="000000"/>
            </w:tcBorders>
            <w:hideMark/>
          </w:tcPr>
          <w:p w14:paraId="55430CD6" w14:textId="77777777" w:rsidR="00B66005" w:rsidRDefault="00B66005" w:rsidP="009C0B86">
            <w:pPr>
              <w:pStyle w:val="TableParagraph"/>
              <w:spacing w:before="46" w:line="256" w:lineRule="auto"/>
              <w:ind w:left="130"/>
              <w:rPr>
                <w:sz w:val="18"/>
                <w:u w:val="none"/>
              </w:rPr>
            </w:pPr>
            <w:r>
              <w:rPr>
                <w:spacing w:val="-2"/>
                <w:sz w:val="18"/>
                <w:u w:val="none"/>
              </w:rPr>
              <w:t>TID-To-Link</w:t>
            </w:r>
            <w:r>
              <w:rPr>
                <w:spacing w:val="4"/>
                <w:sz w:val="18"/>
                <w:u w:val="none"/>
              </w:rPr>
              <w:t xml:space="preserve"> </w:t>
            </w:r>
            <w:r>
              <w:rPr>
                <w:spacing w:val="-2"/>
                <w:sz w:val="18"/>
                <w:u w:val="none"/>
              </w:rPr>
              <w:t>Mapping</w:t>
            </w:r>
            <w:r>
              <w:rPr>
                <w:spacing w:val="3"/>
                <w:sz w:val="18"/>
                <w:u w:val="none"/>
              </w:rPr>
              <w:t xml:space="preserve"> </w:t>
            </w:r>
            <w:r>
              <w:rPr>
                <w:spacing w:val="-2"/>
                <w:sz w:val="18"/>
                <w:u w:val="none"/>
              </w:rPr>
              <w:t>Teardown</w:t>
            </w:r>
          </w:p>
        </w:tc>
        <w:tc>
          <w:tcPr>
            <w:tcW w:w="1600" w:type="dxa"/>
            <w:tcBorders>
              <w:top w:val="single" w:sz="4" w:space="0" w:color="000000"/>
              <w:left w:val="single" w:sz="4" w:space="0" w:color="000000"/>
              <w:bottom w:val="single" w:sz="4" w:space="0" w:color="000000"/>
              <w:right w:val="single" w:sz="12" w:space="0" w:color="000000"/>
            </w:tcBorders>
            <w:hideMark/>
          </w:tcPr>
          <w:p w14:paraId="085049D5"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7C817D23" w14:textId="77777777" w:rsidTr="009C0B86">
        <w:trPr>
          <w:trHeight w:val="319"/>
        </w:trPr>
        <w:tc>
          <w:tcPr>
            <w:tcW w:w="1599" w:type="dxa"/>
            <w:tcBorders>
              <w:top w:val="single" w:sz="4" w:space="0" w:color="000000"/>
              <w:left w:val="single" w:sz="12" w:space="0" w:color="000000"/>
              <w:bottom w:val="single" w:sz="4" w:space="0" w:color="000000"/>
              <w:right w:val="single" w:sz="2" w:space="0" w:color="000000"/>
            </w:tcBorders>
            <w:hideMark/>
          </w:tcPr>
          <w:p w14:paraId="5F212A95" w14:textId="77777777" w:rsidR="00B66005" w:rsidRDefault="00B66005" w:rsidP="009C0B86">
            <w:pPr>
              <w:pStyle w:val="TableParagraph"/>
              <w:spacing w:before="46" w:line="256" w:lineRule="auto"/>
              <w:ind w:left="12"/>
              <w:jc w:val="center"/>
              <w:rPr>
                <w:sz w:val="18"/>
                <w:u w:val="none"/>
              </w:rPr>
            </w:pPr>
            <w:r>
              <w:rPr>
                <w:sz w:val="18"/>
                <w:u w:val="none"/>
              </w:rPr>
              <w:t>3</w:t>
            </w:r>
          </w:p>
        </w:tc>
        <w:tc>
          <w:tcPr>
            <w:tcW w:w="3600" w:type="dxa"/>
            <w:tcBorders>
              <w:top w:val="single" w:sz="4" w:space="0" w:color="000000"/>
              <w:left w:val="single" w:sz="2" w:space="0" w:color="000000"/>
              <w:bottom w:val="single" w:sz="4" w:space="0" w:color="000000"/>
              <w:right w:val="single" w:sz="4" w:space="0" w:color="000000"/>
            </w:tcBorders>
            <w:hideMark/>
          </w:tcPr>
          <w:p w14:paraId="166B6F99" w14:textId="77777777" w:rsidR="00B66005" w:rsidRDefault="00B66005" w:rsidP="009C0B86">
            <w:pPr>
              <w:pStyle w:val="TableParagraph"/>
              <w:spacing w:before="46" w:line="256" w:lineRule="auto"/>
              <w:ind w:left="130"/>
              <w:rPr>
                <w:sz w:val="18"/>
                <w:u w:val="none"/>
              </w:rPr>
            </w:pPr>
            <w:r>
              <w:rPr>
                <w:sz w:val="18"/>
                <w:u w:val="none"/>
              </w:rPr>
              <w:t>EPCS</w:t>
            </w:r>
            <w:r>
              <w:rPr>
                <w:spacing w:val="-4"/>
                <w:sz w:val="18"/>
                <w:u w:val="none"/>
              </w:rPr>
              <w:t xml:space="preserve"> </w:t>
            </w:r>
            <w:r>
              <w:rPr>
                <w:sz w:val="18"/>
                <w:u w:val="none"/>
              </w:rPr>
              <w:t>Priority</w:t>
            </w:r>
            <w:r>
              <w:rPr>
                <w:spacing w:val="-3"/>
                <w:sz w:val="18"/>
                <w:u w:val="none"/>
              </w:rPr>
              <w:t xml:space="preserve"> </w:t>
            </w:r>
            <w:r>
              <w:rPr>
                <w:sz w:val="18"/>
                <w:u w:val="none"/>
              </w:rPr>
              <w:t>Access</w:t>
            </w:r>
            <w:r>
              <w:rPr>
                <w:spacing w:val="-5"/>
                <w:sz w:val="18"/>
                <w:u w:val="none"/>
              </w:rPr>
              <w:t xml:space="preserve"> </w:t>
            </w:r>
            <w:r>
              <w:rPr>
                <w:sz w:val="18"/>
                <w:u w:val="none"/>
              </w:rPr>
              <w:t>Enable</w:t>
            </w:r>
            <w:r>
              <w:rPr>
                <w:spacing w:val="-3"/>
                <w:sz w:val="18"/>
                <w:u w:val="none"/>
              </w:rPr>
              <w:t xml:space="preserve"> </w:t>
            </w:r>
            <w:r>
              <w:rPr>
                <w:spacing w:val="-2"/>
                <w:sz w:val="18"/>
                <w:u w:val="none"/>
              </w:rPr>
              <w:t>Request</w:t>
            </w:r>
          </w:p>
        </w:tc>
        <w:tc>
          <w:tcPr>
            <w:tcW w:w="1600" w:type="dxa"/>
            <w:tcBorders>
              <w:top w:val="single" w:sz="4" w:space="0" w:color="000000"/>
              <w:left w:val="single" w:sz="4" w:space="0" w:color="000000"/>
              <w:bottom w:val="single" w:sz="4" w:space="0" w:color="000000"/>
              <w:right w:val="single" w:sz="12" w:space="0" w:color="000000"/>
            </w:tcBorders>
            <w:hideMark/>
          </w:tcPr>
          <w:p w14:paraId="32A4EF6A"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7A012094"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0EAA9A6F" w14:textId="77777777" w:rsidR="00B66005" w:rsidRDefault="00B66005" w:rsidP="009C0B86">
            <w:pPr>
              <w:pStyle w:val="TableParagraph"/>
              <w:spacing w:before="46" w:line="256" w:lineRule="auto"/>
              <w:ind w:left="12"/>
              <w:jc w:val="center"/>
              <w:rPr>
                <w:sz w:val="18"/>
                <w:u w:val="none"/>
              </w:rPr>
            </w:pPr>
            <w:r>
              <w:rPr>
                <w:sz w:val="18"/>
                <w:u w:val="none"/>
              </w:rPr>
              <w:t>4</w:t>
            </w:r>
          </w:p>
        </w:tc>
        <w:tc>
          <w:tcPr>
            <w:tcW w:w="3600" w:type="dxa"/>
            <w:tcBorders>
              <w:top w:val="single" w:sz="4" w:space="0" w:color="000000"/>
              <w:left w:val="single" w:sz="2" w:space="0" w:color="000000"/>
              <w:bottom w:val="single" w:sz="4" w:space="0" w:color="000000"/>
              <w:right w:val="single" w:sz="4" w:space="0" w:color="000000"/>
            </w:tcBorders>
            <w:hideMark/>
          </w:tcPr>
          <w:p w14:paraId="41F34B66" w14:textId="77777777" w:rsidR="00B66005" w:rsidRDefault="00B66005" w:rsidP="009C0B86">
            <w:pPr>
              <w:pStyle w:val="TableParagraph"/>
              <w:spacing w:before="46" w:line="256" w:lineRule="auto"/>
              <w:ind w:left="130"/>
              <w:rPr>
                <w:sz w:val="18"/>
                <w:u w:val="none"/>
              </w:rPr>
            </w:pPr>
            <w:r>
              <w:rPr>
                <w:sz w:val="18"/>
                <w:u w:val="none"/>
              </w:rPr>
              <w:t>EPCS</w:t>
            </w:r>
            <w:r>
              <w:rPr>
                <w:spacing w:val="-6"/>
                <w:sz w:val="18"/>
                <w:u w:val="none"/>
              </w:rPr>
              <w:t xml:space="preserve"> </w:t>
            </w:r>
            <w:r>
              <w:rPr>
                <w:sz w:val="18"/>
                <w:u w:val="none"/>
              </w:rPr>
              <w:t>Priority</w:t>
            </w:r>
            <w:r>
              <w:rPr>
                <w:spacing w:val="-5"/>
                <w:sz w:val="18"/>
                <w:u w:val="none"/>
              </w:rPr>
              <w:t xml:space="preserve"> </w:t>
            </w:r>
            <w:r>
              <w:rPr>
                <w:sz w:val="18"/>
                <w:u w:val="none"/>
              </w:rPr>
              <w:t>Access</w:t>
            </w:r>
            <w:r>
              <w:rPr>
                <w:spacing w:val="-6"/>
                <w:sz w:val="18"/>
                <w:u w:val="none"/>
              </w:rPr>
              <w:t xml:space="preserve"> </w:t>
            </w:r>
            <w:r>
              <w:rPr>
                <w:sz w:val="18"/>
                <w:u w:val="none"/>
              </w:rPr>
              <w:t>Enable</w:t>
            </w:r>
            <w:r>
              <w:rPr>
                <w:spacing w:val="-5"/>
                <w:sz w:val="18"/>
                <w:u w:val="none"/>
              </w:rPr>
              <w:t xml:space="preserve"> </w:t>
            </w:r>
            <w:r>
              <w:rPr>
                <w:spacing w:val="-2"/>
                <w:sz w:val="18"/>
                <w:u w:val="none"/>
              </w:rPr>
              <w:t>Response</w:t>
            </w:r>
          </w:p>
        </w:tc>
        <w:tc>
          <w:tcPr>
            <w:tcW w:w="1600" w:type="dxa"/>
            <w:tcBorders>
              <w:top w:val="single" w:sz="4" w:space="0" w:color="000000"/>
              <w:left w:val="single" w:sz="4" w:space="0" w:color="000000"/>
              <w:bottom w:val="single" w:sz="2" w:space="0" w:color="000000"/>
              <w:right w:val="single" w:sz="12" w:space="0" w:color="000000"/>
            </w:tcBorders>
            <w:hideMark/>
          </w:tcPr>
          <w:p w14:paraId="2DA04EF0"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0450A2AF"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184BD457" w14:textId="77777777" w:rsidR="00B66005" w:rsidRDefault="00B66005" w:rsidP="009C0B86">
            <w:pPr>
              <w:pStyle w:val="TableParagraph"/>
              <w:spacing w:before="46" w:line="256" w:lineRule="auto"/>
              <w:ind w:left="12"/>
              <w:jc w:val="center"/>
              <w:rPr>
                <w:sz w:val="18"/>
                <w:u w:val="none"/>
              </w:rPr>
            </w:pPr>
            <w:r>
              <w:rPr>
                <w:sz w:val="18"/>
                <w:u w:val="none"/>
              </w:rPr>
              <w:t>5</w:t>
            </w:r>
          </w:p>
        </w:tc>
        <w:tc>
          <w:tcPr>
            <w:tcW w:w="3600" w:type="dxa"/>
            <w:tcBorders>
              <w:top w:val="single" w:sz="4" w:space="0" w:color="000000"/>
              <w:left w:val="single" w:sz="2" w:space="0" w:color="000000"/>
              <w:bottom w:val="single" w:sz="4" w:space="0" w:color="000000"/>
              <w:right w:val="single" w:sz="4" w:space="0" w:color="000000"/>
            </w:tcBorders>
            <w:hideMark/>
          </w:tcPr>
          <w:p w14:paraId="301DC9C6" w14:textId="77777777" w:rsidR="00B66005" w:rsidRDefault="00B66005" w:rsidP="009C0B86">
            <w:pPr>
              <w:pStyle w:val="TableParagraph"/>
              <w:spacing w:before="46" w:line="256" w:lineRule="auto"/>
              <w:ind w:left="130"/>
              <w:rPr>
                <w:sz w:val="18"/>
                <w:u w:val="none"/>
              </w:rPr>
            </w:pPr>
            <w:r>
              <w:rPr>
                <w:sz w:val="18"/>
                <w:u w:val="none"/>
              </w:rPr>
              <w:t>EPCS</w:t>
            </w:r>
            <w:r>
              <w:rPr>
                <w:spacing w:val="-4"/>
                <w:sz w:val="18"/>
                <w:u w:val="none"/>
              </w:rPr>
              <w:t xml:space="preserve"> </w:t>
            </w:r>
            <w:r>
              <w:rPr>
                <w:sz w:val="18"/>
                <w:u w:val="none"/>
              </w:rPr>
              <w:t>Priority</w:t>
            </w:r>
            <w:r>
              <w:rPr>
                <w:spacing w:val="-4"/>
                <w:sz w:val="18"/>
                <w:u w:val="none"/>
              </w:rPr>
              <w:t xml:space="preserve"> </w:t>
            </w:r>
            <w:r>
              <w:rPr>
                <w:sz w:val="18"/>
                <w:u w:val="none"/>
              </w:rPr>
              <w:t>Access</w:t>
            </w:r>
            <w:r>
              <w:rPr>
                <w:spacing w:val="-4"/>
                <w:sz w:val="18"/>
                <w:u w:val="none"/>
              </w:rPr>
              <w:t xml:space="preserve"> </w:t>
            </w:r>
            <w:r>
              <w:rPr>
                <w:spacing w:val="-2"/>
                <w:sz w:val="18"/>
                <w:u w:val="none"/>
              </w:rPr>
              <w:t>Teardown</w:t>
            </w:r>
          </w:p>
        </w:tc>
        <w:tc>
          <w:tcPr>
            <w:tcW w:w="1600" w:type="dxa"/>
            <w:tcBorders>
              <w:top w:val="single" w:sz="2" w:space="0" w:color="000000"/>
              <w:left w:val="single" w:sz="4" w:space="0" w:color="000000"/>
              <w:bottom w:val="single" w:sz="4" w:space="0" w:color="000000"/>
              <w:right w:val="single" w:sz="12" w:space="0" w:color="000000"/>
            </w:tcBorders>
            <w:hideMark/>
          </w:tcPr>
          <w:p w14:paraId="01D2854E"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0D949066"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247DC089" w14:textId="77777777" w:rsidR="00B66005" w:rsidRDefault="00B66005" w:rsidP="009C0B86">
            <w:pPr>
              <w:pStyle w:val="TableParagraph"/>
              <w:spacing w:before="46" w:line="256" w:lineRule="auto"/>
              <w:ind w:left="12"/>
              <w:jc w:val="center"/>
              <w:rPr>
                <w:sz w:val="18"/>
                <w:u w:val="none"/>
              </w:rPr>
            </w:pPr>
            <w:r>
              <w:rPr>
                <w:sz w:val="18"/>
                <w:u w:val="none"/>
              </w:rPr>
              <w:t>6</w:t>
            </w:r>
          </w:p>
        </w:tc>
        <w:tc>
          <w:tcPr>
            <w:tcW w:w="3600" w:type="dxa"/>
            <w:tcBorders>
              <w:top w:val="single" w:sz="4" w:space="0" w:color="000000"/>
              <w:left w:val="single" w:sz="2" w:space="0" w:color="000000"/>
              <w:bottom w:val="single" w:sz="4" w:space="0" w:color="000000"/>
              <w:right w:val="single" w:sz="4" w:space="0" w:color="000000"/>
            </w:tcBorders>
            <w:hideMark/>
          </w:tcPr>
          <w:p w14:paraId="075011A5" w14:textId="77777777" w:rsidR="00B66005" w:rsidRDefault="00B66005" w:rsidP="009C0B86">
            <w:pPr>
              <w:pStyle w:val="TableParagraph"/>
              <w:spacing w:before="46" w:line="256" w:lineRule="auto"/>
              <w:ind w:left="130"/>
              <w:rPr>
                <w:sz w:val="18"/>
                <w:u w:val="none"/>
              </w:rPr>
            </w:pPr>
            <w:r>
              <w:rPr>
                <w:sz w:val="18"/>
                <w:u w:val="none"/>
              </w:rPr>
              <w:t>EML</w:t>
            </w:r>
            <w:r>
              <w:rPr>
                <w:spacing w:val="-4"/>
                <w:sz w:val="18"/>
                <w:u w:val="none"/>
              </w:rPr>
              <w:t xml:space="preserve"> </w:t>
            </w:r>
            <w:r>
              <w:rPr>
                <w:sz w:val="18"/>
                <w:u w:val="none"/>
              </w:rPr>
              <w:t>Operating</w:t>
            </w:r>
            <w:r>
              <w:rPr>
                <w:spacing w:val="-4"/>
                <w:sz w:val="18"/>
                <w:u w:val="none"/>
              </w:rPr>
              <w:t xml:space="preserve"> </w:t>
            </w:r>
            <w:r>
              <w:rPr>
                <w:sz w:val="18"/>
                <w:u w:val="none"/>
              </w:rPr>
              <w:t>Mode</w:t>
            </w:r>
            <w:r>
              <w:rPr>
                <w:spacing w:val="-3"/>
                <w:sz w:val="18"/>
                <w:u w:val="none"/>
              </w:rPr>
              <w:t xml:space="preserve"> </w:t>
            </w:r>
            <w:r>
              <w:rPr>
                <w:spacing w:val="-2"/>
                <w:sz w:val="18"/>
                <w:u w:val="none"/>
              </w:rPr>
              <w:t>Notification</w:t>
            </w:r>
          </w:p>
        </w:tc>
        <w:tc>
          <w:tcPr>
            <w:tcW w:w="1600" w:type="dxa"/>
            <w:tcBorders>
              <w:top w:val="single" w:sz="4" w:space="0" w:color="000000"/>
              <w:left w:val="single" w:sz="4" w:space="0" w:color="000000"/>
              <w:bottom w:val="single" w:sz="4" w:space="0" w:color="000000"/>
              <w:right w:val="single" w:sz="12" w:space="0" w:color="000000"/>
            </w:tcBorders>
            <w:hideMark/>
          </w:tcPr>
          <w:p w14:paraId="25C18EEB"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35675FE3"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17744BAC" w14:textId="77777777" w:rsidR="00B66005" w:rsidRDefault="00B66005" w:rsidP="009C0B86">
            <w:pPr>
              <w:pStyle w:val="TableParagraph"/>
              <w:spacing w:before="46" w:line="256" w:lineRule="auto"/>
              <w:ind w:left="12"/>
              <w:jc w:val="center"/>
              <w:rPr>
                <w:sz w:val="18"/>
                <w:u w:val="none"/>
              </w:rPr>
            </w:pPr>
            <w:r>
              <w:rPr>
                <w:sz w:val="18"/>
                <w:u w:val="none"/>
              </w:rPr>
              <w:t>7</w:t>
            </w:r>
          </w:p>
        </w:tc>
        <w:tc>
          <w:tcPr>
            <w:tcW w:w="3600" w:type="dxa"/>
            <w:tcBorders>
              <w:top w:val="single" w:sz="4" w:space="0" w:color="000000"/>
              <w:left w:val="single" w:sz="2" w:space="0" w:color="000000"/>
              <w:bottom w:val="single" w:sz="4" w:space="0" w:color="000000"/>
              <w:right w:val="single" w:sz="4" w:space="0" w:color="000000"/>
            </w:tcBorders>
            <w:hideMark/>
          </w:tcPr>
          <w:p w14:paraId="6387C090" w14:textId="77777777" w:rsidR="00B66005" w:rsidRDefault="00B66005" w:rsidP="009C0B86">
            <w:pPr>
              <w:pStyle w:val="TableParagraph"/>
              <w:spacing w:before="46" w:line="256" w:lineRule="auto"/>
              <w:ind w:left="130"/>
              <w:rPr>
                <w:sz w:val="18"/>
                <w:u w:val="none"/>
              </w:rPr>
            </w:pPr>
            <w:r>
              <w:rPr>
                <w:sz w:val="18"/>
                <w:u w:val="none"/>
              </w:rPr>
              <w:t>Link</w:t>
            </w:r>
            <w:r>
              <w:rPr>
                <w:spacing w:val="-4"/>
                <w:sz w:val="18"/>
                <w:u w:val="none"/>
              </w:rPr>
              <w:t xml:space="preserve"> </w:t>
            </w:r>
            <w:r>
              <w:rPr>
                <w:spacing w:val="-2"/>
                <w:sz w:val="18"/>
                <w:u w:val="none"/>
              </w:rPr>
              <w:t>Recommendation</w:t>
            </w:r>
          </w:p>
        </w:tc>
        <w:tc>
          <w:tcPr>
            <w:tcW w:w="1600" w:type="dxa"/>
            <w:tcBorders>
              <w:top w:val="single" w:sz="4" w:space="0" w:color="000000"/>
              <w:left w:val="single" w:sz="4" w:space="0" w:color="000000"/>
              <w:bottom w:val="single" w:sz="4" w:space="0" w:color="000000"/>
              <w:right w:val="single" w:sz="12" w:space="0" w:color="000000"/>
            </w:tcBorders>
            <w:hideMark/>
          </w:tcPr>
          <w:p w14:paraId="69F349E9"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1393BC44"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59D6650D" w14:textId="77777777" w:rsidR="00B66005" w:rsidRDefault="00B66005" w:rsidP="009C0B86">
            <w:pPr>
              <w:pStyle w:val="TableParagraph"/>
              <w:spacing w:before="46" w:line="256" w:lineRule="auto"/>
              <w:ind w:left="12"/>
              <w:jc w:val="center"/>
              <w:rPr>
                <w:sz w:val="18"/>
                <w:u w:val="none"/>
              </w:rPr>
            </w:pPr>
            <w:r>
              <w:rPr>
                <w:sz w:val="18"/>
                <w:u w:val="none"/>
              </w:rPr>
              <w:t>8</w:t>
            </w:r>
          </w:p>
        </w:tc>
        <w:tc>
          <w:tcPr>
            <w:tcW w:w="3600" w:type="dxa"/>
            <w:tcBorders>
              <w:top w:val="single" w:sz="4" w:space="0" w:color="000000"/>
              <w:left w:val="single" w:sz="2" w:space="0" w:color="000000"/>
              <w:bottom w:val="single" w:sz="4" w:space="0" w:color="000000"/>
              <w:right w:val="single" w:sz="4" w:space="0" w:color="000000"/>
            </w:tcBorders>
            <w:hideMark/>
          </w:tcPr>
          <w:p w14:paraId="10EF788B" w14:textId="77777777" w:rsidR="00B66005" w:rsidRDefault="00B66005" w:rsidP="009C0B86">
            <w:pPr>
              <w:pStyle w:val="TableParagraph"/>
              <w:spacing w:before="46" w:line="256" w:lineRule="auto"/>
              <w:ind w:left="130"/>
              <w:rPr>
                <w:sz w:val="18"/>
                <w:u w:val="none"/>
              </w:rPr>
            </w:pPr>
            <w:r>
              <w:rPr>
                <w:sz w:val="18"/>
                <w:u w:val="none"/>
              </w:rPr>
              <w:t>Multi-Link</w:t>
            </w:r>
            <w:r>
              <w:rPr>
                <w:spacing w:val="-5"/>
                <w:sz w:val="18"/>
                <w:u w:val="none"/>
              </w:rPr>
              <w:t xml:space="preserve"> </w:t>
            </w:r>
            <w:r>
              <w:rPr>
                <w:sz w:val="18"/>
                <w:u w:val="none"/>
              </w:rPr>
              <w:t>Operation</w:t>
            </w:r>
            <w:r>
              <w:rPr>
                <w:spacing w:val="-3"/>
                <w:sz w:val="18"/>
                <w:u w:val="none"/>
              </w:rPr>
              <w:t xml:space="preserve"> </w:t>
            </w:r>
            <w:r>
              <w:rPr>
                <w:sz w:val="18"/>
                <w:u w:val="none"/>
              </w:rPr>
              <w:t>Update</w:t>
            </w:r>
            <w:r>
              <w:rPr>
                <w:spacing w:val="-3"/>
                <w:sz w:val="18"/>
                <w:u w:val="none"/>
              </w:rPr>
              <w:t xml:space="preserve"> </w:t>
            </w:r>
            <w:r>
              <w:rPr>
                <w:spacing w:val="-2"/>
                <w:sz w:val="18"/>
                <w:u w:val="none"/>
              </w:rPr>
              <w:t>Request</w:t>
            </w:r>
          </w:p>
        </w:tc>
        <w:tc>
          <w:tcPr>
            <w:tcW w:w="1600" w:type="dxa"/>
            <w:tcBorders>
              <w:top w:val="single" w:sz="4" w:space="0" w:color="000000"/>
              <w:left w:val="single" w:sz="4" w:space="0" w:color="000000"/>
              <w:bottom w:val="single" w:sz="4" w:space="0" w:color="000000"/>
              <w:right w:val="single" w:sz="12" w:space="0" w:color="000000"/>
            </w:tcBorders>
            <w:hideMark/>
          </w:tcPr>
          <w:p w14:paraId="4DF037A6"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2E9D00F6"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25AA31D4" w14:textId="77777777" w:rsidR="00B66005" w:rsidRDefault="00B66005" w:rsidP="009C0B86">
            <w:pPr>
              <w:pStyle w:val="TableParagraph"/>
              <w:spacing w:before="46" w:line="256" w:lineRule="auto"/>
              <w:ind w:left="12"/>
              <w:jc w:val="center"/>
              <w:rPr>
                <w:sz w:val="18"/>
                <w:u w:val="none"/>
              </w:rPr>
            </w:pPr>
            <w:r>
              <w:rPr>
                <w:sz w:val="18"/>
                <w:u w:val="none"/>
              </w:rPr>
              <w:t>9</w:t>
            </w:r>
          </w:p>
        </w:tc>
        <w:tc>
          <w:tcPr>
            <w:tcW w:w="3600" w:type="dxa"/>
            <w:tcBorders>
              <w:top w:val="single" w:sz="4" w:space="0" w:color="000000"/>
              <w:left w:val="single" w:sz="2" w:space="0" w:color="000000"/>
              <w:bottom w:val="single" w:sz="4" w:space="0" w:color="000000"/>
              <w:right w:val="single" w:sz="4" w:space="0" w:color="000000"/>
            </w:tcBorders>
            <w:hideMark/>
          </w:tcPr>
          <w:p w14:paraId="0D46638B" w14:textId="77777777" w:rsidR="00B66005" w:rsidRDefault="00B66005" w:rsidP="009C0B86">
            <w:pPr>
              <w:pStyle w:val="TableParagraph"/>
              <w:spacing w:before="46" w:line="256" w:lineRule="auto"/>
              <w:ind w:left="130"/>
              <w:rPr>
                <w:sz w:val="18"/>
                <w:u w:val="none"/>
              </w:rPr>
            </w:pPr>
            <w:r>
              <w:rPr>
                <w:sz w:val="18"/>
                <w:u w:val="none"/>
              </w:rPr>
              <w:t>Multi-Link</w:t>
            </w:r>
            <w:r>
              <w:rPr>
                <w:spacing w:val="-8"/>
                <w:sz w:val="18"/>
                <w:u w:val="none"/>
              </w:rPr>
              <w:t xml:space="preserve"> </w:t>
            </w:r>
            <w:r>
              <w:rPr>
                <w:sz w:val="18"/>
                <w:u w:val="none"/>
              </w:rPr>
              <w:t>Operation</w:t>
            </w:r>
            <w:r>
              <w:rPr>
                <w:spacing w:val="-7"/>
                <w:sz w:val="18"/>
                <w:u w:val="none"/>
              </w:rPr>
              <w:t xml:space="preserve"> </w:t>
            </w:r>
            <w:r>
              <w:rPr>
                <w:sz w:val="18"/>
                <w:u w:val="none"/>
              </w:rPr>
              <w:t>Update</w:t>
            </w:r>
            <w:r>
              <w:rPr>
                <w:spacing w:val="-7"/>
                <w:sz w:val="18"/>
                <w:u w:val="none"/>
              </w:rPr>
              <w:t xml:space="preserve"> </w:t>
            </w:r>
            <w:r>
              <w:rPr>
                <w:spacing w:val="-2"/>
                <w:sz w:val="18"/>
                <w:u w:val="none"/>
              </w:rPr>
              <w:t>Response</w:t>
            </w:r>
          </w:p>
        </w:tc>
        <w:tc>
          <w:tcPr>
            <w:tcW w:w="1600" w:type="dxa"/>
            <w:tcBorders>
              <w:top w:val="single" w:sz="4" w:space="0" w:color="000000"/>
              <w:left w:val="single" w:sz="4" w:space="0" w:color="000000"/>
              <w:bottom w:val="single" w:sz="4" w:space="0" w:color="000000"/>
              <w:right w:val="single" w:sz="12" w:space="0" w:color="000000"/>
            </w:tcBorders>
            <w:hideMark/>
          </w:tcPr>
          <w:p w14:paraId="60657095"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5E1D2F7C"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583AA85F" w14:textId="77777777" w:rsidR="00B66005" w:rsidRDefault="00B66005" w:rsidP="009C0B86">
            <w:pPr>
              <w:pStyle w:val="TableParagraph"/>
              <w:spacing w:before="46" w:line="256" w:lineRule="auto"/>
              <w:ind w:left="190" w:right="178"/>
              <w:jc w:val="center"/>
              <w:rPr>
                <w:sz w:val="18"/>
                <w:u w:val="none"/>
              </w:rPr>
            </w:pPr>
            <w:r>
              <w:rPr>
                <w:spacing w:val="-2"/>
                <w:sz w:val="18"/>
                <w:u w:val="none"/>
              </w:rPr>
              <w:t>10</w:t>
            </w:r>
          </w:p>
        </w:tc>
        <w:tc>
          <w:tcPr>
            <w:tcW w:w="3600" w:type="dxa"/>
            <w:tcBorders>
              <w:top w:val="single" w:sz="4" w:space="0" w:color="000000"/>
              <w:left w:val="single" w:sz="2" w:space="0" w:color="000000"/>
              <w:bottom w:val="single" w:sz="4" w:space="0" w:color="000000"/>
              <w:right w:val="single" w:sz="4" w:space="0" w:color="000000"/>
            </w:tcBorders>
            <w:hideMark/>
          </w:tcPr>
          <w:p w14:paraId="5D5A1788" w14:textId="77777777" w:rsidR="00B66005" w:rsidRDefault="00B66005" w:rsidP="009C0B86">
            <w:pPr>
              <w:pStyle w:val="TableParagraph"/>
              <w:spacing w:before="46" w:line="256" w:lineRule="auto"/>
              <w:ind w:left="130"/>
              <w:rPr>
                <w:sz w:val="18"/>
                <w:u w:val="none"/>
              </w:rPr>
            </w:pPr>
            <w:r>
              <w:rPr>
                <w:sz w:val="18"/>
                <w:u w:val="none"/>
              </w:rPr>
              <w:t>Link</w:t>
            </w:r>
            <w:r>
              <w:rPr>
                <w:spacing w:val="-4"/>
                <w:sz w:val="18"/>
                <w:u w:val="none"/>
              </w:rPr>
              <w:t xml:space="preserve"> </w:t>
            </w:r>
            <w:r>
              <w:rPr>
                <w:sz w:val="18"/>
                <w:u w:val="none"/>
              </w:rPr>
              <w:t>Reconfiguration</w:t>
            </w:r>
            <w:r>
              <w:rPr>
                <w:spacing w:val="-2"/>
                <w:sz w:val="18"/>
                <w:u w:val="none"/>
              </w:rPr>
              <w:t xml:space="preserve"> Notify</w:t>
            </w:r>
          </w:p>
        </w:tc>
        <w:tc>
          <w:tcPr>
            <w:tcW w:w="1600" w:type="dxa"/>
            <w:tcBorders>
              <w:top w:val="single" w:sz="4" w:space="0" w:color="000000"/>
              <w:left w:val="single" w:sz="4" w:space="0" w:color="000000"/>
              <w:bottom w:val="single" w:sz="4" w:space="0" w:color="000000"/>
              <w:right w:val="single" w:sz="12" w:space="0" w:color="000000"/>
            </w:tcBorders>
            <w:hideMark/>
          </w:tcPr>
          <w:p w14:paraId="6445A022"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3EAAD0FB"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20B3A0E9" w14:textId="77777777" w:rsidR="00B66005" w:rsidRDefault="00B66005" w:rsidP="009C0B86">
            <w:pPr>
              <w:pStyle w:val="TableParagraph"/>
              <w:spacing w:before="46" w:line="256" w:lineRule="auto"/>
              <w:ind w:left="182" w:right="178"/>
              <w:jc w:val="center"/>
              <w:rPr>
                <w:sz w:val="18"/>
                <w:u w:val="none"/>
              </w:rPr>
            </w:pPr>
            <w:r>
              <w:rPr>
                <w:spacing w:val="-2"/>
                <w:sz w:val="18"/>
                <w:u w:val="none"/>
              </w:rPr>
              <w:t>11</w:t>
            </w:r>
          </w:p>
        </w:tc>
        <w:tc>
          <w:tcPr>
            <w:tcW w:w="3600" w:type="dxa"/>
            <w:tcBorders>
              <w:top w:val="single" w:sz="4" w:space="0" w:color="000000"/>
              <w:left w:val="single" w:sz="2" w:space="0" w:color="000000"/>
              <w:bottom w:val="single" w:sz="4" w:space="0" w:color="000000"/>
              <w:right w:val="single" w:sz="4" w:space="0" w:color="000000"/>
            </w:tcBorders>
            <w:hideMark/>
          </w:tcPr>
          <w:p w14:paraId="2630BD99" w14:textId="77777777" w:rsidR="00B66005" w:rsidRDefault="00B66005" w:rsidP="009C0B86">
            <w:pPr>
              <w:pStyle w:val="TableParagraph"/>
              <w:spacing w:before="46" w:line="256" w:lineRule="auto"/>
              <w:ind w:left="130"/>
              <w:rPr>
                <w:sz w:val="18"/>
                <w:u w:val="none"/>
              </w:rPr>
            </w:pPr>
            <w:r>
              <w:rPr>
                <w:sz w:val="18"/>
                <w:u w:val="none"/>
              </w:rPr>
              <w:t>Link</w:t>
            </w:r>
            <w:r>
              <w:rPr>
                <w:spacing w:val="-9"/>
                <w:sz w:val="18"/>
                <w:u w:val="none"/>
              </w:rPr>
              <w:t xml:space="preserve"> </w:t>
            </w:r>
            <w:r>
              <w:rPr>
                <w:sz w:val="18"/>
                <w:u w:val="none"/>
              </w:rPr>
              <w:t>Reconfiguration</w:t>
            </w:r>
            <w:r>
              <w:rPr>
                <w:spacing w:val="-8"/>
                <w:sz w:val="18"/>
                <w:u w:val="none"/>
              </w:rPr>
              <w:t xml:space="preserve"> </w:t>
            </w:r>
            <w:r>
              <w:rPr>
                <w:spacing w:val="-2"/>
                <w:sz w:val="18"/>
                <w:u w:val="none"/>
              </w:rPr>
              <w:t>Request</w:t>
            </w:r>
          </w:p>
        </w:tc>
        <w:tc>
          <w:tcPr>
            <w:tcW w:w="1600" w:type="dxa"/>
            <w:tcBorders>
              <w:top w:val="single" w:sz="4" w:space="0" w:color="000000"/>
              <w:left w:val="single" w:sz="4" w:space="0" w:color="000000"/>
              <w:bottom w:val="single" w:sz="4" w:space="0" w:color="000000"/>
              <w:right w:val="single" w:sz="12" w:space="0" w:color="000000"/>
            </w:tcBorders>
            <w:hideMark/>
          </w:tcPr>
          <w:p w14:paraId="36E65DD7"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1D988845"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3A1FF8C9" w14:textId="77777777" w:rsidR="00B66005" w:rsidRDefault="00B66005" w:rsidP="009C0B86">
            <w:pPr>
              <w:pStyle w:val="TableParagraph"/>
              <w:spacing w:before="46" w:line="256" w:lineRule="auto"/>
              <w:ind w:left="190" w:right="178"/>
              <w:jc w:val="center"/>
              <w:rPr>
                <w:sz w:val="18"/>
                <w:u w:val="none"/>
              </w:rPr>
            </w:pPr>
            <w:r>
              <w:rPr>
                <w:spacing w:val="-2"/>
                <w:sz w:val="18"/>
                <w:u w:val="none"/>
              </w:rPr>
              <w:t>12</w:t>
            </w:r>
          </w:p>
        </w:tc>
        <w:tc>
          <w:tcPr>
            <w:tcW w:w="3600" w:type="dxa"/>
            <w:tcBorders>
              <w:top w:val="single" w:sz="4" w:space="0" w:color="000000"/>
              <w:left w:val="single" w:sz="2" w:space="0" w:color="000000"/>
              <w:bottom w:val="single" w:sz="4" w:space="0" w:color="000000"/>
              <w:right w:val="single" w:sz="4" w:space="0" w:color="000000"/>
            </w:tcBorders>
            <w:hideMark/>
          </w:tcPr>
          <w:p w14:paraId="77981B6C" w14:textId="77777777" w:rsidR="00B66005" w:rsidRDefault="00B66005" w:rsidP="009C0B86">
            <w:pPr>
              <w:pStyle w:val="TableParagraph"/>
              <w:spacing w:before="46" w:line="256" w:lineRule="auto"/>
              <w:ind w:left="130"/>
              <w:rPr>
                <w:sz w:val="18"/>
                <w:u w:val="none"/>
              </w:rPr>
            </w:pPr>
            <w:r>
              <w:rPr>
                <w:sz w:val="18"/>
                <w:u w:val="none"/>
              </w:rPr>
              <w:t>Link</w:t>
            </w:r>
            <w:r>
              <w:rPr>
                <w:spacing w:val="-4"/>
                <w:sz w:val="18"/>
                <w:u w:val="none"/>
              </w:rPr>
              <w:t xml:space="preserve"> </w:t>
            </w:r>
            <w:r>
              <w:rPr>
                <w:sz w:val="18"/>
                <w:u w:val="none"/>
              </w:rPr>
              <w:t>Reconfiguration</w:t>
            </w:r>
            <w:r>
              <w:rPr>
                <w:spacing w:val="-2"/>
                <w:sz w:val="18"/>
                <w:u w:val="none"/>
              </w:rPr>
              <w:t xml:space="preserve"> Response</w:t>
            </w:r>
          </w:p>
        </w:tc>
        <w:tc>
          <w:tcPr>
            <w:tcW w:w="1600" w:type="dxa"/>
            <w:tcBorders>
              <w:top w:val="single" w:sz="4" w:space="0" w:color="000000"/>
              <w:left w:val="single" w:sz="4" w:space="0" w:color="000000"/>
              <w:bottom w:val="single" w:sz="4" w:space="0" w:color="000000"/>
              <w:right w:val="single" w:sz="12" w:space="0" w:color="000000"/>
            </w:tcBorders>
            <w:hideMark/>
          </w:tcPr>
          <w:p w14:paraId="2160E75C"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4ABCFABF"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7FB07C5B" w14:textId="77777777" w:rsidR="00B66005" w:rsidRDefault="00B66005" w:rsidP="009C0B86">
            <w:pPr>
              <w:pStyle w:val="TableParagraph"/>
              <w:spacing w:before="46" w:line="256" w:lineRule="auto"/>
              <w:ind w:left="190" w:right="178"/>
              <w:jc w:val="center"/>
              <w:rPr>
                <w:color w:val="208A20"/>
                <w:spacing w:val="-2"/>
                <w:sz w:val="18"/>
              </w:rPr>
            </w:pPr>
            <w:r>
              <w:rPr>
                <w:spacing w:val="-2"/>
                <w:sz w:val="18"/>
              </w:rPr>
              <w:t>13</w:t>
            </w:r>
          </w:p>
        </w:tc>
        <w:tc>
          <w:tcPr>
            <w:tcW w:w="3600" w:type="dxa"/>
            <w:tcBorders>
              <w:top w:val="single" w:sz="4" w:space="0" w:color="000000"/>
              <w:left w:val="single" w:sz="2" w:space="0" w:color="000000"/>
              <w:bottom w:val="single" w:sz="4" w:space="0" w:color="000000"/>
              <w:right w:val="single" w:sz="4" w:space="0" w:color="000000"/>
            </w:tcBorders>
            <w:hideMark/>
          </w:tcPr>
          <w:p w14:paraId="309F9F3A" w14:textId="36EDF7B1" w:rsidR="00B66005" w:rsidRDefault="00B66005" w:rsidP="009C0B86">
            <w:pPr>
              <w:pStyle w:val="TableParagraph"/>
              <w:spacing w:before="46" w:line="256" w:lineRule="auto"/>
              <w:ind w:left="130"/>
              <w:rPr>
                <w:sz w:val="18"/>
              </w:rPr>
            </w:pPr>
            <w:r w:rsidRPr="00A567A1">
              <w:rPr>
                <w:sz w:val="18"/>
                <w:szCs w:val="18"/>
              </w:rPr>
              <w:t>Link Replacement Acknowledgement</w:t>
            </w:r>
          </w:p>
        </w:tc>
        <w:tc>
          <w:tcPr>
            <w:tcW w:w="1600" w:type="dxa"/>
            <w:tcBorders>
              <w:top w:val="single" w:sz="4" w:space="0" w:color="000000"/>
              <w:left w:val="single" w:sz="4" w:space="0" w:color="000000"/>
              <w:bottom w:val="single" w:sz="4" w:space="0" w:color="000000"/>
              <w:right w:val="single" w:sz="12" w:space="0" w:color="000000"/>
            </w:tcBorders>
            <w:hideMark/>
          </w:tcPr>
          <w:p w14:paraId="76AC4AC2" w14:textId="77777777" w:rsidR="00B66005" w:rsidRDefault="00B66005" w:rsidP="009C0B86">
            <w:pPr>
              <w:pStyle w:val="TableParagraph"/>
              <w:spacing w:before="46" w:line="256" w:lineRule="auto"/>
              <w:ind w:left="682" w:right="648"/>
              <w:jc w:val="center"/>
              <w:rPr>
                <w:spacing w:val="-5"/>
                <w:sz w:val="18"/>
              </w:rPr>
            </w:pPr>
            <w:r>
              <w:rPr>
                <w:spacing w:val="-5"/>
                <w:sz w:val="18"/>
              </w:rPr>
              <w:t>No</w:t>
            </w:r>
          </w:p>
        </w:tc>
      </w:tr>
      <w:tr w:rsidR="00B66005" w14:paraId="00AE37A5" w14:textId="77777777" w:rsidTr="009C0B86">
        <w:trPr>
          <w:trHeight w:val="310"/>
        </w:trPr>
        <w:tc>
          <w:tcPr>
            <w:tcW w:w="1599" w:type="dxa"/>
            <w:tcBorders>
              <w:top w:val="single" w:sz="4" w:space="0" w:color="000000"/>
              <w:left w:val="single" w:sz="12" w:space="0" w:color="000000"/>
              <w:bottom w:val="single" w:sz="12" w:space="0" w:color="000000"/>
              <w:right w:val="single" w:sz="2" w:space="0" w:color="000000"/>
            </w:tcBorders>
            <w:hideMark/>
          </w:tcPr>
          <w:p w14:paraId="4EEC5E68" w14:textId="77777777" w:rsidR="00B66005" w:rsidRDefault="00B66005" w:rsidP="009C0B86">
            <w:pPr>
              <w:pStyle w:val="TableParagraph"/>
              <w:spacing w:before="46" w:line="256" w:lineRule="auto"/>
              <w:ind w:left="190" w:right="178"/>
              <w:jc w:val="center"/>
              <w:rPr>
                <w:sz w:val="18"/>
              </w:rPr>
            </w:pPr>
            <w:r>
              <w:rPr>
                <w:spacing w:val="-2"/>
                <w:sz w:val="18"/>
              </w:rPr>
              <w:t>14–255</w:t>
            </w:r>
          </w:p>
        </w:tc>
        <w:tc>
          <w:tcPr>
            <w:tcW w:w="3600" w:type="dxa"/>
            <w:tcBorders>
              <w:top w:val="single" w:sz="4" w:space="0" w:color="000000"/>
              <w:left w:val="single" w:sz="2" w:space="0" w:color="000000"/>
              <w:bottom w:val="single" w:sz="12" w:space="0" w:color="000000"/>
              <w:right w:val="single" w:sz="4" w:space="0" w:color="000000"/>
            </w:tcBorders>
            <w:hideMark/>
          </w:tcPr>
          <w:p w14:paraId="5CEEA0A2" w14:textId="77777777" w:rsidR="00B66005" w:rsidRDefault="00B66005" w:rsidP="009C0B86">
            <w:pPr>
              <w:pStyle w:val="TableParagraph"/>
              <w:spacing w:line="256" w:lineRule="auto"/>
              <w:rPr>
                <w:sz w:val="18"/>
              </w:rPr>
            </w:pPr>
            <w:r>
              <w:rPr>
                <w:sz w:val="18"/>
              </w:rPr>
              <w:t>Reserved</w:t>
            </w:r>
          </w:p>
        </w:tc>
        <w:tc>
          <w:tcPr>
            <w:tcW w:w="1600" w:type="dxa"/>
            <w:tcBorders>
              <w:top w:val="single" w:sz="4" w:space="0" w:color="000000"/>
              <w:left w:val="single" w:sz="4" w:space="0" w:color="000000"/>
              <w:bottom w:val="single" w:sz="12" w:space="0" w:color="000000"/>
              <w:right w:val="single" w:sz="12" w:space="0" w:color="000000"/>
            </w:tcBorders>
          </w:tcPr>
          <w:p w14:paraId="4995536C" w14:textId="77777777" w:rsidR="00B66005" w:rsidRDefault="00B66005" w:rsidP="009C0B86">
            <w:pPr>
              <w:pStyle w:val="TableParagraph"/>
              <w:spacing w:line="256" w:lineRule="auto"/>
              <w:rPr>
                <w:sz w:val="18"/>
              </w:rPr>
            </w:pPr>
          </w:p>
        </w:tc>
      </w:tr>
    </w:tbl>
    <w:p w14:paraId="79BA6ED7" w14:textId="77777777" w:rsidR="00B66005" w:rsidRDefault="00B66005" w:rsidP="002C012F">
      <w:pPr>
        <w:pStyle w:val="BodyText0"/>
        <w:kinsoku w:val="0"/>
        <w:overflowPunct w:val="0"/>
        <w:ind w:left="945" w:right="996"/>
        <w:jc w:val="center"/>
        <w:rPr>
          <w:rFonts w:ascii="Arial" w:hAnsi="Arial" w:cs="Arial"/>
          <w:b/>
          <w:bCs/>
        </w:rPr>
      </w:pPr>
    </w:p>
    <w:p w14:paraId="170EF7BD" w14:textId="755BAD5B" w:rsidR="002C012F" w:rsidRDefault="00A0363E" w:rsidP="002C012F">
      <w:pPr>
        <w:autoSpaceDE w:val="0"/>
        <w:autoSpaceDN w:val="0"/>
        <w:rPr>
          <w:rFonts w:ascii="Times New Roman" w:hAnsi="Times New Roman" w:cs="Times New Roman"/>
          <w:bCs/>
          <w:sz w:val="18"/>
          <w:szCs w:val="18"/>
        </w:rPr>
      </w:pPr>
      <w:proofErr w:type="spellStart"/>
      <w:r>
        <w:rPr>
          <w:b/>
          <w:i/>
          <w:iCs/>
          <w:highlight w:val="yellow"/>
        </w:rPr>
        <w:t>TGmf</w:t>
      </w:r>
      <w:proofErr w:type="spellEnd"/>
      <w:r>
        <w:rPr>
          <w:b/>
          <w:i/>
          <w:iCs/>
          <w:highlight w:val="yellow"/>
        </w:rPr>
        <w:t xml:space="preserve"> editor</w:t>
      </w:r>
      <w:r w:rsidR="002C012F" w:rsidRPr="002A37AA">
        <w:rPr>
          <w:b/>
          <w:i/>
          <w:iCs/>
          <w:highlight w:val="yellow"/>
        </w:rPr>
        <w:t xml:space="preserve">: Please </w:t>
      </w:r>
      <w:r w:rsidR="002C012F" w:rsidRPr="003F7A21">
        <w:rPr>
          <w:b/>
          <w:bCs/>
          <w:i/>
          <w:highlight w:val="yellow"/>
        </w:rPr>
        <w:t>insert</w:t>
      </w:r>
      <w:r w:rsidR="002C012F">
        <w:rPr>
          <w:b/>
          <w:bCs/>
          <w:i/>
          <w:highlight w:val="yellow"/>
        </w:rPr>
        <w:t xml:space="preserve"> the following table</w:t>
      </w:r>
      <w:r w:rsidR="002C012F" w:rsidRPr="00ED5688">
        <w:rPr>
          <w:b/>
          <w:bCs/>
          <w:i/>
          <w:highlight w:val="yellow"/>
        </w:rPr>
        <w:t xml:space="preserve"> (</w:t>
      </w:r>
      <w:r w:rsidR="002C012F">
        <w:rPr>
          <w:b/>
          <w:bCs/>
          <w:i/>
          <w:highlight w:val="yellow"/>
        </w:rPr>
        <w:t>Table 9-623yyy--</w:t>
      </w:r>
      <w:r w:rsidR="002C012F" w:rsidRPr="00ED5688">
        <w:rPr>
          <w:b/>
          <w:bCs/>
          <w:i/>
          <w:highlight w:val="yellow"/>
        </w:rPr>
        <w:t>Protected EHT Action field values)</w:t>
      </w:r>
      <w:r w:rsidR="002C012F">
        <w:rPr>
          <w:b/>
          <w:bCs/>
          <w:i/>
          <w:highlight w:val="yellow"/>
        </w:rPr>
        <w:t xml:space="preserve"> under clause 9</w:t>
      </w:r>
      <w:r w:rsidR="002C012F" w:rsidRPr="00ED5688">
        <w:rPr>
          <w:b/>
          <w:bCs/>
          <w:i/>
          <w:highlight w:val="yellow"/>
        </w:rPr>
        <w:t xml:space="preserve"> </w:t>
      </w:r>
    </w:p>
    <w:p w14:paraId="3442CACD" w14:textId="77777777" w:rsidR="002C012F" w:rsidRDefault="002C012F" w:rsidP="002C012F">
      <w:pPr>
        <w:autoSpaceDE w:val="0"/>
        <w:autoSpaceDN w:val="0"/>
        <w:rPr>
          <w:rFonts w:ascii="Times New Roman" w:hAnsi="Times New Roman" w:cs="Times New Roman"/>
          <w:bCs/>
          <w:sz w:val="18"/>
          <w:szCs w:val="18"/>
        </w:rPr>
      </w:pPr>
    </w:p>
    <w:p w14:paraId="016AFCB5" w14:textId="77777777" w:rsidR="002C012F" w:rsidRDefault="002C012F" w:rsidP="002C012F">
      <w:pPr>
        <w:pStyle w:val="BodyText0"/>
        <w:kinsoku w:val="0"/>
        <w:overflowPunct w:val="0"/>
        <w:ind w:left="945" w:right="996"/>
        <w:jc w:val="center"/>
        <w:rPr>
          <w:rFonts w:ascii="Arial" w:hAnsi="Arial" w:cs="Arial"/>
          <w:b/>
          <w:bCs/>
          <w:spacing w:val="-2"/>
        </w:rPr>
      </w:pPr>
      <w:r>
        <w:rPr>
          <w:rFonts w:ascii="Arial" w:hAnsi="Arial" w:cs="Arial"/>
          <w:b/>
          <w:bCs/>
        </w:rPr>
        <w:t>Table</w:t>
      </w:r>
      <w:r>
        <w:rPr>
          <w:rFonts w:ascii="Arial" w:hAnsi="Arial" w:cs="Arial"/>
          <w:b/>
          <w:bCs/>
          <w:spacing w:val="-9"/>
        </w:rPr>
        <w:t xml:space="preserve"> </w:t>
      </w:r>
      <w:r>
        <w:rPr>
          <w:rFonts w:ascii="Arial" w:hAnsi="Arial" w:cs="Arial"/>
          <w:b/>
          <w:bCs/>
        </w:rPr>
        <w:t>9-623yyy—Protected Link Replacement Acknowledgement</w:t>
      </w:r>
      <w:r>
        <w:rPr>
          <w:rFonts w:ascii="Arial" w:hAnsi="Arial" w:cs="Arial"/>
          <w:b/>
          <w:bCs/>
          <w:spacing w:val="-9"/>
        </w:rPr>
        <w:t xml:space="preserve"> </w:t>
      </w:r>
      <w:proofErr w:type="gramStart"/>
      <w:r>
        <w:rPr>
          <w:rFonts w:ascii="Arial" w:hAnsi="Arial" w:cs="Arial"/>
          <w:b/>
          <w:bCs/>
        </w:rPr>
        <w:t>frame</w:t>
      </w:r>
      <w:proofErr w:type="gramEnd"/>
      <w:r>
        <w:rPr>
          <w:rFonts w:ascii="Arial" w:hAnsi="Arial" w:cs="Arial"/>
          <w:b/>
          <w:bCs/>
          <w:spacing w:val="-9"/>
        </w:rPr>
        <w:t xml:space="preserve"> </w:t>
      </w:r>
      <w:r>
        <w:rPr>
          <w:rFonts w:ascii="Arial" w:hAnsi="Arial" w:cs="Arial"/>
          <w:b/>
          <w:bCs/>
        </w:rPr>
        <w:t>Action</w:t>
      </w:r>
      <w:r>
        <w:rPr>
          <w:rFonts w:ascii="Arial" w:hAnsi="Arial" w:cs="Arial"/>
          <w:b/>
          <w:bCs/>
          <w:spacing w:val="-9"/>
        </w:rPr>
        <w:t xml:space="preserve"> </w:t>
      </w:r>
      <w:r>
        <w:rPr>
          <w:rFonts w:ascii="Arial" w:hAnsi="Arial" w:cs="Arial"/>
          <w:b/>
          <w:bCs/>
        </w:rPr>
        <w:t>field</w:t>
      </w:r>
      <w:r>
        <w:rPr>
          <w:rFonts w:ascii="Arial" w:hAnsi="Arial" w:cs="Arial"/>
          <w:b/>
          <w:bCs/>
          <w:spacing w:val="-9"/>
        </w:rPr>
        <w:t xml:space="preserve"> </w:t>
      </w:r>
      <w:r>
        <w:rPr>
          <w:rFonts w:ascii="Arial" w:hAnsi="Arial" w:cs="Arial"/>
          <w:b/>
          <w:bCs/>
          <w:spacing w:val="-2"/>
        </w:rPr>
        <w:t>format</w:t>
      </w:r>
    </w:p>
    <w:p w14:paraId="006D6441" w14:textId="77777777" w:rsidR="002C012F" w:rsidRDefault="002C012F" w:rsidP="002C012F">
      <w:pPr>
        <w:pStyle w:val="BodyText0"/>
        <w:kinsoku w:val="0"/>
        <w:overflowPunct w:val="0"/>
        <w:rPr>
          <w:rFonts w:ascii="Arial" w:hAnsi="Arial" w:cs="Arial"/>
          <w:b/>
          <w:bCs/>
          <w:szCs w:val="22"/>
        </w:rPr>
      </w:pPr>
    </w:p>
    <w:tbl>
      <w:tblPr>
        <w:tblW w:w="0" w:type="auto"/>
        <w:tblInd w:w="2538" w:type="dxa"/>
        <w:tblLayout w:type="fixed"/>
        <w:tblCellMar>
          <w:left w:w="0" w:type="dxa"/>
          <w:right w:w="0" w:type="dxa"/>
        </w:tblCellMar>
        <w:tblLook w:val="0000" w:firstRow="0" w:lastRow="0" w:firstColumn="0" w:lastColumn="0" w:noHBand="0" w:noVBand="0"/>
      </w:tblPr>
      <w:tblGrid>
        <w:gridCol w:w="1599"/>
        <w:gridCol w:w="4000"/>
      </w:tblGrid>
      <w:tr w:rsidR="002C012F" w14:paraId="6B095298" w14:textId="77777777" w:rsidTr="009C0B86">
        <w:trPr>
          <w:trHeight w:val="380"/>
        </w:trPr>
        <w:tc>
          <w:tcPr>
            <w:tcW w:w="1599" w:type="dxa"/>
            <w:tcBorders>
              <w:top w:val="single" w:sz="12" w:space="0" w:color="000000"/>
              <w:left w:val="single" w:sz="12" w:space="0" w:color="000000"/>
              <w:bottom w:val="single" w:sz="12" w:space="0" w:color="000000"/>
              <w:right w:val="single" w:sz="2" w:space="0" w:color="000000"/>
            </w:tcBorders>
          </w:tcPr>
          <w:p w14:paraId="7FABC370" w14:textId="77777777" w:rsidR="002C012F" w:rsidRDefault="002C012F" w:rsidP="009C0B86">
            <w:pPr>
              <w:pStyle w:val="TableParagraph"/>
              <w:kinsoku w:val="0"/>
              <w:overflowPunct w:val="0"/>
              <w:spacing w:before="76"/>
              <w:ind w:left="416" w:right="393"/>
              <w:jc w:val="center"/>
              <w:rPr>
                <w:b/>
                <w:bCs/>
                <w:spacing w:val="-2"/>
                <w:sz w:val="18"/>
                <w:szCs w:val="18"/>
              </w:rPr>
            </w:pPr>
            <w:r>
              <w:rPr>
                <w:b/>
                <w:bCs/>
                <w:spacing w:val="-2"/>
                <w:sz w:val="18"/>
                <w:szCs w:val="18"/>
              </w:rPr>
              <w:t>Order</w:t>
            </w:r>
          </w:p>
        </w:tc>
        <w:tc>
          <w:tcPr>
            <w:tcW w:w="4000" w:type="dxa"/>
            <w:tcBorders>
              <w:top w:val="single" w:sz="12" w:space="0" w:color="000000"/>
              <w:left w:val="single" w:sz="2" w:space="0" w:color="000000"/>
              <w:bottom w:val="single" w:sz="12" w:space="0" w:color="000000"/>
              <w:right w:val="single" w:sz="12" w:space="0" w:color="000000"/>
            </w:tcBorders>
          </w:tcPr>
          <w:p w14:paraId="7B75A35E" w14:textId="77777777" w:rsidR="002C012F" w:rsidRDefault="002C012F" w:rsidP="009C0B86">
            <w:pPr>
              <w:pStyle w:val="TableParagraph"/>
              <w:kinsoku w:val="0"/>
              <w:overflowPunct w:val="0"/>
              <w:spacing w:before="76"/>
              <w:ind w:left="1524" w:right="1499"/>
              <w:jc w:val="center"/>
              <w:rPr>
                <w:b/>
                <w:bCs/>
                <w:spacing w:val="-2"/>
                <w:sz w:val="18"/>
                <w:szCs w:val="18"/>
              </w:rPr>
            </w:pPr>
            <w:r>
              <w:rPr>
                <w:b/>
                <w:bCs/>
                <w:spacing w:val="-2"/>
                <w:sz w:val="18"/>
                <w:szCs w:val="18"/>
              </w:rPr>
              <w:t>Information</w:t>
            </w:r>
          </w:p>
        </w:tc>
      </w:tr>
      <w:tr w:rsidR="002C012F" w14:paraId="001F4651" w14:textId="77777777" w:rsidTr="009C0B86">
        <w:trPr>
          <w:trHeight w:val="309"/>
        </w:trPr>
        <w:tc>
          <w:tcPr>
            <w:tcW w:w="1599" w:type="dxa"/>
            <w:tcBorders>
              <w:top w:val="single" w:sz="12" w:space="0" w:color="000000"/>
              <w:left w:val="single" w:sz="12" w:space="0" w:color="000000"/>
              <w:bottom w:val="single" w:sz="4" w:space="0" w:color="000000"/>
              <w:right w:val="single" w:sz="2" w:space="0" w:color="000000"/>
            </w:tcBorders>
          </w:tcPr>
          <w:p w14:paraId="5FB27E63" w14:textId="77777777" w:rsidR="002C012F" w:rsidRDefault="002C012F" w:rsidP="009C0B86">
            <w:pPr>
              <w:pStyle w:val="TableParagraph"/>
              <w:kinsoku w:val="0"/>
              <w:overflowPunct w:val="0"/>
              <w:spacing w:before="36"/>
              <w:ind w:left="24"/>
              <w:jc w:val="center"/>
              <w:rPr>
                <w:sz w:val="18"/>
                <w:szCs w:val="18"/>
              </w:rPr>
            </w:pPr>
            <w:r>
              <w:rPr>
                <w:sz w:val="18"/>
                <w:szCs w:val="18"/>
              </w:rPr>
              <w:t>1</w:t>
            </w:r>
          </w:p>
        </w:tc>
        <w:tc>
          <w:tcPr>
            <w:tcW w:w="4000" w:type="dxa"/>
            <w:tcBorders>
              <w:top w:val="single" w:sz="12" w:space="0" w:color="000000"/>
              <w:left w:val="single" w:sz="2" w:space="0" w:color="000000"/>
              <w:bottom w:val="single" w:sz="4" w:space="0" w:color="000000"/>
              <w:right w:val="single" w:sz="12" w:space="0" w:color="000000"/>
            </w:tcBorders>
          </w:tcPr>
          <w:p w14:paraId="5DA78ED4" w14:textId="77777777" w:rsidR="002C012F" w:rsidRDefault="002C012F" w:rsidP="009C0B86">
            <w:pPr>
              <w:pStyle w:val="TableParagraph"/>
              <w:kinsoku w:val="0"/>
              <w:overflowPunct w:val="0"/>
              <w:spacing w:before="36"/>
              <w:ind w:left="117"/>
              <w:rPr>
                <w:spacing w:val="-2"/>
                <w:sz w:val="18"/>
                <w:szCs w:val="18"/>
              </w:rPr>
            </w:pPr>
            <w:r>
              <w:rPr>
                <w:spacing w:val="-2"/>
                <w:sz w:val="18"/>
                <w:szCs w:val="18"/>
              </w:rPr>
              <w:t>Category</w:t>
            </w:r>
          </w:p>
        </w:tc>
      </w:tr>
      <w:tr w:rsidR="002C012F" w14:paraId="0D0A6983"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tcPr>
          <w:p w14:paraId="4AD94919" w14:textId="77777777" w:rsidR="002C012F" w:rsidRDefault="002C012F" w:rsidP="009C0B86">
            <w:pPr>
              <w:pStyle w:val="TableParagraph"/>
              <w:kinsoku w:val="0"/>
              <w:overflowPunct w:val="0"/>
              <w:spacing w:before="46"/>
              <w:ind w:left="24"/>
              <w:jc w:val="center"/>
              <w:rPr>
                <w:sz w:val="18"/>
                <w:szCs w:val="18"/>
              </w:rPr>
            </w:pPr>
            <w:r>
              <w:rPr>
                <w:sz w:val="18"/>
                <w:szCs w:val="18"/>
              </w:rPr>
              <w:t>2</w:t>
            </w:r>
          </w:p>
        </w:tc>
        <w:tc>
          <w:tcPr>
            <w:tcW w:w="4000" w:type="dxa"/>
            <w:tcBorders>
              <w:top w:val="single" w:sz="4" w:space="0" w:color="000000"/>
              <w:left w:val="single" w:sz="2" w:space="0" w:color="000000"/>
              <w:bottom w:val="single" w:sz="4" w:space="0" w:color="000000"/>
              <w:right w:val="single" w:sz="12" w:space="0" w:color="000000"/>
            </w:tcBorders>
          </w:tcPr>
          <w:p w14:paraId="0CD61C5A" w14:textId="77777777" w:rsidR="002C012F" w:rsidRDefault="002C012F" w:rsidP="009C0B86">
            <w:pPr>
              <w:pStyle w:val="TableParagraph"/>
              <w:kinsoku w:val="0"/>
              <w:overflowPunct w:val="0"/>
              <w:spacing w:before="46"/>
              <w:ind w:left="117"/>
              <w:rPr>
                <w:spacing w:val="-2"/>
                <w:sz w:val="18"/>
                <w:szCs w:val="18"/>
              </w:rPr>
            </w:pPr>
            <w:r>
              <w:rPr>
                <w:sz w:val="18"/>
                <w:szCs w:val="18"/>
              </w:rPr>
              <w:t>Protected</w:t>
            </w:r>
            <w:r>
              <w:rPr>
                <w:spacing w:val="-6"/>
                <w:sz w:val="18"/>
                <w:szCs w:val="18"/>
              </w:rPr>
              <w:t xml:space="preserve"> </w:t>
            </w:r>
            <w:r>
              <w:rPr>
                <w:sz w:val="18"/>
                <w:szCs w:val="18"/>
              </w:rPr>
              <w:t>EHT</w:t>
            </w:r>
            <w:r>
              <w:rPr>
                <w:spacing w:val="-5"/>
                <w:sz w:val="18"/>
                <w:szCs w:val="18"/>
              </w:rPr>
              <w:t xml:space="preserve"> </w:t>
            </w:r>
            <w:r>
              <w:rPr>
                <w:spacing w:val="-2"/>
                <w:sz w:val="18"/>
                <w:szCs w:val="18"/>
              </w:rPr>
              <w:t>Action</w:t>
            </w:r>
          </w:p>
        </w:tc>
      </w:tr>
      <w:tr w:rsidR="002C012F" w14:paraId="02B72C8E"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tcPr>
          <w:p w14:paraId="637E7EA2" w14:textId="77777777" w:rsidR="002C012F" w:rsidRDefault="002C012F" w:rsidP="009C0B86">
            <w:pPr>
              <w:pStyle w:val="TableParagraph"/>
              <w:kinsoku w:val="0"/>
              <w:overflowPunct w:val="0"/>
              <w:spacing w:before="46"/>
              <w:ind w:left="24"/>
              <w:jc w:val="center"/>
              <w:rPr>
                <w:sz w:val="18"/>
                <w:szCs w:val="18"/>
              </w:rPr>
            </w:pPr>
            <w:r>
              <w:rPr>
                <w:sz w:val="18"/>
                <w:szCs w:val="18"/>
              </w:rPr>
              <w:lastRenderedPageBreak/>
              <w:t>3</w:t>
            </w:r>
          </w:p>
        </w:tc>
        <w:tc>
          <w:tcPr>
            <w:tcW w:w="4000" w:type="dxa"/>
            <w:tcBorders>
              <w:top w:val="single" w:sz="4" w:space="0" w:color="000000"/>
              <w:left w:val="single" w:sz="2" w:space="0" w:color="000000"/>
              <w:bottom w:val="single" w:sz="4" w:space="0" w:color="000000"/>
              <w:right w:val="single" w:sz="12" w:space="0" w:color="000000"/>
            </w:tcBorders>
          </w:tcPr>
          <w:p w14:paraId="06CD07F6" w14:textId="77777777" w:rsidR="002C012F" w:rsidRDefault="002C012F" w:rsidP="009C0B86">
            <w:pPr>
              <w:pStyle w:val="TableParagraph"/>
              <w:kinsoku w:val="0"/>
              <w:overflowPunct w:val="0"/>
              <w:spacing w:before="46"/>
              <w:ind w:left="117"/>
              <w:rPr>
                <w:spacing w:val="-2"/>
                <w:sz w:val="18"/>
                <w:szCs w:val="18"/>
              </w:rPr>
            </w:pPr>
            <w:r>
              <w:rPr>
                <w:sz w:val="18"/>
                <w:szCs w:val="18"/>
              </w:rPr>
              <w:t>Dialog</w:t>
            </w:r>
            <w:r>
              <w:rPr>
                <w:spacing w:val="-6"/>
                <w:sz w:val="18"/>
                <w:szCs w:val="18"/>
              </w:rPr>
              <w:t xml:space="preserve"> </w:t>
            </w:r>
            <w:r>
              <w:rPr>
                <w:spacing w:val="-2"/>
                <w:sz w:val="18"/>
                <w:szCs w:val="18"/>
              </w:rPr>
              <w:t>Token</w:t>
            </w:r>
          </w:p>
        </w:tc>
      </w:tr>
      <w:tr w:rsidR="002C012F" w14:paraId="64037B09" w14:textId="77777777" w:rsidTr="009C0B86">
        <w:trPr>
          <w:trHeight w:val="310"/>
        </w:trPr>
        <w:tc>
          <w:tcPr>
            <w:tcW w:w="1599" w:type="dxa"/>
            <w:tcBorders>
              <w:top w:val="single" w:sz="4" w:space="0" w:color="000000"/>
              <w:left w:val="single" w:sz="12" w:space="0" w:color="000000"/>
              <w:bottom w:val="single" w:sz="12" w:space="0" w:color="000000"/>
              <w:right w:val="single" w:sz="2" w:space="0" w:color="000000"/>
            </w:tcBorders>
          </w:tcPr>
          <w:p w14:paraId="4835024D" w14:textId="77777777" w:rsidR="002C012F" w:rsidRDefault="002C012F" w:rsidP="009C0B86">
            <w:pPr>
              <w:pStyle w:val="TableParagraph"/>
              <w:kinsoku w:val="0"/>
              <w:overflowPunct w:val="0"/>
              <w:spacing w:before="46"/>
              <w:ind w:left="24"/>
              <w:jc w:val="center"/>
              <w:rPr>
                <w:sz w:val="18"/>
                <w:szCs w:val="18"/>
              </w:rPr>
            </w:pPr>
            <w:r>
              <w:rPr>
                <w:sz w:val="18"/>
                <w:szCs w:val="18"/>
              </w:rPr>
              <w:t>4</w:t>
            </w:r>
          </w:p>
        </w:tc>
        <w:tc>
          <w:tcPr>
            <w:tcW w:w="4000" w:type="dxa"/>
            <w:tcBorders>
              <w:top w:val="single" w:sz="4" w:space="0" w:color="000000"/>
              <w:left w:val="single" w:sz="2" w:space="0" w:color="000000"/>
              <w:bottom w:val="single" w:sz="12" w:space="0" w:color="000000"/>
              <w:right w:val="single" w:sz="12" w:space="0" w:color="000000"/>
            </w:tcBorders>
          </w:tcPr>
          <w:p w14:paraId="34A61F17" w14:textId="77777777" w:rsidR="002C012F" w:rsidRDefault="002C012F" w:rsidP="009C0B86">
            <w:pPr>
              <w:pStyle w:val="TableParagraph"/>
              <w:kinsoku w:val="0"/>
              <w:overflowPunct w:val="0"/>
              <w:spacing w:before="46"/>
              <w:ind w:left="117"/>
              <w:rPr>
                <w:spacing w:val="-2"/>
                <w:sz w:val="18"/>
                <w:szCs w:val="18"/>
              </w:rPr>
            </w:pPr>
            <w:r>
              <w:rPr>
                <w:sz w:val="18"/>
                <w:szCs w:val="18"/>
              </w:rPr>
              <w:t>Broadcast TWT Link Replacement (</w:t>
            </w:r>
            <w:r w:rsidRPr="00C1173C">
              <w:rPr>
                <w:sz w:val="18"/>
                <w:szCs w:val="18"/>
              </w:rPr>
              <w:t xml:space="preserve">9.4.2.xxx </w:t>
            </w:r>
            <w:r>
              <w:rPr>
                <w:sz w:val="18"/>
                <w:szCs w:val="18"/>
              </w:rPr>
              <w:t xml:space="preserve">Broadcast </w:t>
            </w:r>
            <w:r w:rsidRPr="00C1173C">
              <w:rPr>
                <w:sz w:val="18"/>
                <w:szCs w:val="18"/>
              </w:rPr>
              <w:t>TWT Link Replacement element</w:t>
            </w:r>
            <w:r>
              <w:rPr>
                <w:sz w:val="18"/>
                <w:szCs w:val="18"/>
              </w:rPr>
              <w:t>)</w:t>
            </w:r>
          </w:p>
        </w:tc>
      </w:tr>
    </w:tbl>
    <w:p w14:paraId="7494059F" w14:textId="77777777" w:rsidR="002C012F" w:rsidRDefault="002C012F" w:rsidP="002C012F">
      <w:pPr>
        <w:autoSpaceDE w:val="0"/>
        <w:autoSpaceDN w:val="0"/>
        <w:rPr>
          <w:rFonts w:ascii="Times New Roman" w:hAnsi="Times New Roman" w:cs="Times New Roman"/>
          <w:bCs/>
          <w:sz w:val="18"/>
          <w:szCs w:val="18"/>
        </w:rPr>
      </w:pPr>
    </w:p>
    <w:p w14:paraId="6DA8A08A" w14:textId="77777777" w:rsidR="002C012F" w:rsidRDefault="002C012F" w:rsidP="002C012F">
      <w:pPr>
        <w:autoSpaceDE w:val="0"/>
        <w:autoSpaceDN w:val="0"/>
        <w:rPr>
          <w:rFonts w:ascii="Times New Roman" w:hAnsi="Times New Roman" w:cs="Times New Roman"/>
          <w:bCs/>
          <w:sz w:val="18"/>
          <w:szCs w:val="18"/>
        </w:rPr>
      </w:pPr>
    </w:p>
    <w:p w14:paraId="7923D108" w14:textId="4DF1F05D" w:rsidR="002C012F" w:rsidRDefault="00A0363E" w:rsidP="002C012F">
      <w:pPr>
        <w:autoSpaceDE w:val="0"/>
        <w:autoSpaceDN w:val="0"/>
        <w:rPr>
          <w:rFonts w:ascii="Arial" w:hAnsi="Arial" w:cs="Arial"/>
          <w:b/>
          <w:bCs/>
        </w:rPr>
      </w:pPr>
      <w:proofErr w:type="spellStart"/>
      <w:r>
        <w:rPr>
          <w:b/>
          <w:i/>
          <w:iCs/>
          <w:highlight w:val="yellow"/>
        </w:rPr>
        <w:t>TGmf</w:t>
      </w:r>
      <w:proofErr w:type="spellEnd"/>
      <w:r>
        <w:rPr>
          <w:b/>
          <w:i/>
          <w:iCs/>
          <w:highlight w:val="yellow"/>
        </w:rPr>
        <w:t xml:space="preserve"> editor</w:t>
      </w:r>
      <w:r w:rsidR="002C012F" w:rsidRPr="00821B4D">
        <w:rPr>
          <w:b/>
          <w:i/>
          <w:iCs/>
          <w:highlight w:val="yellow"/>
        </w:rPr>
        <w:t xml:space="preserve">: Please add the following </w:t>
      </w:r>
      <w:r w:rsidR="002C012F">
        <w:rPr>
          <w:b/>
          <w:i/>
          <w:iCs/>
          <w:highlight w:val="yellow"/>
        </w:rPr>
        <w:t xml:space="preserve">subsection 35.3.24.3.zzz </w:t>
      </w:r>
      <w:r w:rsidR="002C012F" w:rsidRPr="002E3599">
        <w:rPr>
          <w:b/>
          <w:i/>
          <w:iCs/>
          <w:highlight w:val="yellow"/>
        </w:rPr>
        <w:t>(</w:t>
      </w:r>
      <w:r w:rsidR="002C012F">
        <w:rPr>
          <w:b/>
          <w:i/>
          <w:iCs/>
          <w:highlight w:val="yellow"/>
        </w:rPr>
        <w:t xml:space="preserve">Broadcast </w:t>
      </w:r>
      <w:r w:rsidR="002C012F" w:rsidRPr="001C2725">
        <w:rPr>
          <w:b/>
          <w:i/>
          <w:iCs/>
          <w:highlight w:val="yellow"/>
        </w:rPr>
        <w:t>TWT link replacement</w:t>
      </w:r>
      <w:r w:rsidR="002C012F">
        <w:rPr>
          <w:b/>
          <w:i/>
          <w:iCs/>
          <w:highlight w:val="yellow"/>
        </w:rPr>
        <w:t>) under clause 35.3.24.3 (Broadcast TWT Operation</w:t>
      </w:r>
    </w:p>
    <w:p w14:paraId="6E170655" w14:textId="77777777" w:rsidR="002C012F" w:rsidRDefault="002C012F" w:rsidP="002C012F">
      <w:pPr>
        <w:autoSpaceDE w:val="0"/>
        <w:autoSpaceDN w:val="0"/>
        <w:rPr>
          <w:rFonts w:ascii="Arial" w:hAnsi="Arial" w:cs="Arial"/>
          <w:b/>
          <w:bCs/>
        </w:rPr>
      </w:pPr>
      <w:r>
        <w:rPr>
          <w:rFonts w:ascii="Arial" w:hAnsi="Arial" w:cs="Arial"/>
          <w:b/>
          <w:bCs/>
        </w:rPr>
        <w:t>35.3.24.3 Broadcast TWT operation</w:t>
      </w:r>
    </w:p>
    <w:p w14:paraId="045AD069" w14:textId="05CDEA95" w:rsidR="002C012F" w:rsidRDefault="002C012F" w:rsidP="002C012F">
      <w:pPr>
        <w:autoSpaceDE w:val="0"/>
        <w:autoSpaceDN w:val="0"/>
        <w:rPr>
          <w:rFonts w:ascii="Times New Roman" w:hAnsi="Times New Roman" w:cs="Times New Roman"/>
          <w:bCs/>
          <w:sz w:val="18"/>
          <w:szCs w:val="18"/>
        </w:rPr>
      </w:pPr>
      <w:r>
        <w:rPr>
          <w:rFonts w:ascii="Arial" w:hAnsi="Arial" w:cs="Arial"/>
          <w:b/>
          <w:bCs/>
        </w:rPr>
        <w:t xml:space="preserve">35.3.24.3.zzz Broadcast TWT link replacement </w:t>
      </w:r>
    </w:p>
    <w:p w14:paraId="2AFA046B" w14:textId="77777777" w:rsidR="002C012F" w:rsidRDefault="002C012F" w:rsidP="002C012F">
      <w:pPr>
        <w:rPr>
          <w:rFonts w:ascii="Times New Roman" w:hAnsi="Times New Roman" w:cs="Times New Roman"/>
          <w:bCs/>
          <w:sz w:val="18"/>
          <w:szCs w:val="18"/>
        </w:rPr>
      </w:pPr>
      <w:r>
        <w:rPr>
          <w:rFonts w:ascii="Times New Roman" w:hAnsi="Times New Roman" w:cs="Times New Roman"/>
          <w:bCs/>
          <w:sz w:val="18"/>
          <w:szCs w:val="18"/>
        </w:rPr>
        <w:t>W</w:t>
      </w:r>
      <w:r w:rsidRPr="00CE4C01">
        <w:rPr>
          <w:rFonts w:ascii="Times New Roman" w:hAnsi="Times New Roman" w:cs="Times New Roman"/>
          <w:bCs/>
          <w:sz w:val="18"/>
          <w:szCs w:val="18"/>
        </w:rPr>
        <w:t xml:space="preserve">hen a first </w:t>
      </w:r>
      <w:r>
        <w:rPr>
          <w:rFonts w:ascii="Times New Roman" w:hAnsi="Times New Roman" w:cs="Times New Roman"/>
          <w:bCs/>
          <w:sz w:val="18"/>
          <w:szCs w:val="18"/>
        </w:rPr>
        <w:t xml:space="preserve">broadcast </w:t>
      </w:r>
      <w:r w:rsidRPr="00CE4C01">
        <w:rPr>
          <w:rFonts w:ascii="Times New Roman" w:hAnsi="Times New Roman" w:cs="Times New Roman"/>
          <w:bCs/>
          <w:sz w:val="18"/>
          <w:szCs w:val="18"/>
        </w:rPr>
        <w:t xml:space="preserve">TWT schedule is established on a first link between an AP MLD and one or more non-AP MLDs, </w:t>
      </w:r>
      <w:r>
        <w:rPr>
          <w:rFonts w:ascii="Times New Roman" w:hAnsi="Times New Roman" w:cs="Times New Roman"/>
          <w:bCs/>
          <w:sz w:val="18"/>
          <w:szCs w:val="18"/>
        </w:rPr>
        <w:t xml:space="preserve">and if the link is impending to be unavailable, then </w:t>
      </w:r>
      <w:r w:rsidRPr="00CE4C01">
        <w:rPr>
          <w:rFonts w:ascii="Times New Roman" w:hAnsi="Times New Roman" w:cs="Times New Roman"/>
          <w:bCs/>
          <w:sz w:val="18"/>
          <w:szCs w:val="18"/>
        </w:rPr>
        <w:t xml:space="preserve">the AP MLD can announce, by including </w:t>
      </w:r>
      <w:r>
        <w:rPr>
          <w:rFonts w:ascii="Times New Roman" w:hAnsi="Times New Roman" w:cs="Times New Roman"/>
          <w:bCs/>
          <w:sz w:val="18"/>
          <w:szCs w:val="18"/>
        </w:rPr>
        <w:t xml:space="preserve">a Broadcast </w:t>
      </w:r>
      <w:r w:rsidRPr="00CE4C01">
        <w:rPr>
          <w:rFonts w:ascii="Times New Roman" w:hAnsi="Times New Roman" w:cs="Times New Roman"/>
          <w:bCs/>
          <w:sz w:val="18"/>
          <w:szCs w:val="18"/>
        </w:rPr>
        <w:t xml:space="preserve">TWT Link Replacement element in the Beacon and </w:t>
      </w:r>
      <w:r w:rsidRPr="00E7089D">
        <w:rPr>
          <w:rFonts w:ascii="Times New Roman" w:hAnsi="Times New Roman" w:cs="Times New Roman"/>
          <w:bCs/>
          <w:sz w:val="18"/>
          <w:szCs w:val="18"/>
        </w:rPr>
        <w:t>Probe Response frames</w:t>
      </w:r>
      <w:r w:rsidRPr="00CE4C01">
        <w:rPr>
          <w:rFonts w:ascii="Times New Roman" w:hAnsi="Times New Roman" w:cs="Times New Roman"/>
          <w:bCs/>
          <w:sz w:val="18"/>
          <w:szCs w:val="18"/>
        </w:rPr>
        <w:t xml:space="preserve"> it transmits</w:t>
      </w:r>
      <w:r>
        <w:rPr>
          <w:rFonts w:ascii="Times New Roman" w:hAnsi="Times New Roman" w:cs="Times New Roman"/>
          <w:bCs/>
          <w:sz w:val="18"/>
          <w:szCs w:val="18"/>
        </w:rPr>
        <w:t xml:space="preserve"> on any of the links</w:t>
      </w:r>
      <w:r w:rsidRPr="00CE4C01">
        <w:rPr>
          <w:rFonts w:ascii="Times New Roman" w:hAnsi="Times New Roman" w:cs="Times New Roman"/>
          <w:bCs/>
          <w:sz w:val="18"/>
          <w:szCs w:val="18"/>
        </w:rPr>
        <w:t xml:space="preserve">, that the first </w:t>
      </w:r>
      <w:r>
        <w:rPr>
          <w:rFonts w:ascii="Times New Roman" w:hAnsi="Times New Roman" w:cs="Times New Roman"/>
          <w:bCs/>
          <w:sz w:val="18"/>
          <w:szCs w:val="18"/>
        </w:rPr>
        <w:t xml:space="preserve">broadcast </w:t>
      </w:r>
      <w:r w:rsidRPr="00CE4C01">
        <w:rPr>
          <w:rFonts w:ascii="Times New Roman" w:hAnsi="Times New Roman" w:cs="Times New Roman"/>
          <w:bCs/>
          <w:sz w:val="18"/>
          <w:szCs w:val="18"/>
        </w:rPr>
        <w:t xml:space="preserve">TWT schedule on the first link becomes unavailable and, as a replacement, a second </w:t>
      </w:r>
      <w:r>
        <w:rPr>
          <w:rFonts w:ascii="Times New Roman" w:hAnsi="Times New Roman" w:cs="Times New Roman"/>
          <w:bCs/>
          <w:sz w:val="18"/>
          <w:szCs w:val="18"/>
        </w:rPr>
        <w:t xml:space="preserve">broadcast </w:t>
      </w:r>
      <w:r w:rsidRPr="00CE4C01">
        <w:rPr>
          <w:rFonts w:ascii="Times New Roman" w:hAnsi="Times New Roman" w:cs="Times New Roman"/>
          <w:bCs/>
          <w:sz w:val="18"/>
          <w:szCs w:val="18"/>
        </w:rPr>
        <w:t xml:space="preserve">TWT schedule is </w:t>
      </w:r>
      <w:r w:rsidRPr="00DC135C">
        <w:rPr>
          <w:rFonts w:ascii="Times New Roman" w:hAnsi="Times New Roman" w:cs="Times New Roman"/>
          <w:bCs/>
          <w:sz w:val="18"/>
          <w:szCs w:val="18"/>
        </w:rPr>
        <w:t>available for membership</w:t>
      </w:r>
      <w:r>
        <w:rPr>
          <w:rFonts w:ascii="Times New Roman" w:hAnsi="Times New Roman" w:cs="Times New Roman"/>
          <w:bCs/>
          <w:sz w:val="18"/>
          <w:szCs w:val="18"/>
        </w:rPr>
        <w:t xml:space="preserve"> on</w:t>
      </w:r>
      <w:r w:rsidRPr="00CE4C01">
        <w:rPr>
          <w:rFonts w:ascii="Times New Roman" w:hAnsi="Times New Roman" w:cs="Times New Roman"/>
          <w:bCs/>
          <w:sz w:val="18"/>
          <w:szCs w:val="18"/>
        </w:rPr>
        <w:t xml:space="preserve"> a second link on which the AP MLD is operating starting from the time indicated in the Link Replacement Time subfield of the </w:t>
      </w:r>
      <w:r>
        <w:rPr>
          <w:rFonts w:ascii="Times New Roman" w:hAnsi="Times New Roman" w:cs="Times New Roman"/>
          <w:bCs/>
          <w:sz w:val="18"/>
          <w:szCs w:val="18"/>
        </w:rPr>
        <w:t xml:space="preserve">Broadcast </w:t>
      </w:r>
      <w:r w:rsidRPr="00CE4C01">
        <w:rPr>
          <w:rFonts w:ascii="Times New Roman" w:hAnsi="Times New Roman" w:cs="Times New Roman"/>
          <w:bCs/>
          <w:sz w:val="18"/>
          <w:szCs w:val="18"/>
        </w:rPr>
        <w:t>TWT Link Replacement element.</w:t>
      </w:r>
      <w:r>
        <w:rPr>
          <w:rFonts w:ascii="Times New Roman" w:hAnsi="Times New Roman" w:cs="Times New Roman"/>
          <w:bCs/>
          <w:sz w:val="18"/>
          <w:szCs w:val="18"/>
        </w:rPr>
        <w:t xml:space="preserve"> </w:t>
      </w:r>
      <w:r w:rsidRPr="00DC135C">
        <w:rPr>
          <w:rFonts w:ascii="Times New Roman" w:hAnsi="Times New Roman" w:cs="Times New Roman"/>
          <w:bCs/>
          <w:sz w:val="18"/>
          <w:szCs w:val="18"/>
        </w:rPr>
        <w:t>The second broadcast TWT schedule can either be an existing schedule on the second link or a schedule newly created by the AP on the second link.</w:t>
      </w:r>
    </w:p>
    <w:p w14:paraId="54884028" w14:textId="77777777" w:rsidR="002C012F" w:rsidRDefault="002C012F" w:rsidP="002C012F">
      <w:pPr>
        <w:rPr>
          <w:rFonts w:ascii="Times New Roman" w:hAnsi="Times New Roman" w:cs="Times New Roman"/>
          <w:sz w:val="18"/>
          <w:szCs w:val="18"/>
        </w:rPr>
      </w:pPr>
      <w:r>
        <w:rPr>
          <w:rFonts w:ascii="Times New Roman" w:hAnsi="Times New Roman" w:cs="Times New Roman"/>
          <w:sz w:val="18"/>
          <w:szCs w:val="18"/>
        </w:rPr>
        <w:t xml:space="preserve">When a first STA affiliated with a non-AP MLD associated with an AP MLD has obtained membership of a first broadcast TWT schedule on a first link between the AP MLD and the non-AP MLD, if the non-AP MLD receives a Broadcast TWT Link Replacement element included in the Beacon or Probe Response frame it receives indicating that the first broadcast TWT schedule on the first link is scheduled to be unavailable and, as a replacement, a second broadcast TWT schedule is </w:t>
      </w:r>
      <w:r w:rsidRPr="00DC135C">
        <w:rPr>
          <w:rFonts w:ascii="Times New Roman" w:hAnsi="Times New Roman" w:cs="Times New Roman"/>
          <w:sz w:val="18"/>
          <w:szCs w:val="18"/>
        </w:rPr>
        <w:t>available on</w:t>
      </w:r>
      <w:r>
        <w:rPr>
          <w:rFonts w:ascii="Times New Roman" w:hAnsi="Times New Roman" w:cs="Times New Roman"/>
          <w:sz w:val="18"/>
          <w:szCs w:val="18"/>
        </w:rPr>
        <w:t xml:space="preserve"> a second link on which the AP MLD is operating, then the non-AP MLD over any enabled link between the AP MLD and the non-AP MLD shall transmit a Link Replacement Acknowledgement frame to the AP MLD </w:t>
      </w:r>
      <w:r w:rsidRPr="004F07B1">
        <w:rPr>
          <w:rFonts w:ascii="Times New Roman" w:hAnsi="Times New Roman" w:cs="Times New Roman"/>
          <w:sz w:val="18"/>
          <w:szCs w:val="18"/>
          <w:highlight w:val="yellow"/>
        </w:rPr>
        <w:t>if the non-AP MLD is also operating on the second link.</w:t>
      </w:r>
      <w:r>
        <w:rPr>
          <w:rFonts w:ascii="Times New Roman" w:hAnsi="Times New Roman" w:cs="Times New Roman"/>
          <w:sz w:val="18"/>
          <w:szCs w:val="18"/>
        </w:rPr>
        <w:t xml:space="preserve"> The </w:t>
      </w:r>
      <w:r w:rsidRPr="00A4213A">
        <w:rPr>
          <w:rFonts w:ascii="Times New Roman" w:hAnsi="Times New Roman" w:cs="Times New Roman"/>
          <w:sz w:val="18"/>
          <w:szCs w:val="18"/>
          <w:highlight w:val="yellow"/>
        </w:rPr>
        <w:t>Link Replacement Acknowledgement frame</w:t>
      </w:r>
      <w:r>
        <w:rPr>
          <w:rFonts w:ascii="Times New Roman" w:hAnsi="Times New Roman" w:cs="Times New Roman"/>
          <w:sz w:val="18"/>
          <w:szCs w:val="18"/>
        </w:rPr>
        <w:t xml:space="preserve"> shall contain a Broadcast TWT Link Replacement element with the same parameters as the Broadcast TWT Link Replacement element received from the AP MLD. Upon successfully transmitting the Link Replacement Acknowledgement frame by the non-AP MLD, the first broadcast TWT schedule on the first link is deleted for the first STA affiliated with the non-AP MLD at the time indicated in the Link Replacement Time subfield of the Broadcast TWT Link Replacement element and the second STA affiliated with the non-AP MLD and operating on the second link becomes a member of the second broadcast TWT schedule on the second link starting from the time indicated in the Link Replacement Time subfield of the Broadcast TWT Link Replacement element. </w:t>
      </w:r>
      <w:r w:rsidRPr="00A4213A">
        <w:rPr>
          <w:rFonts w:ascii="Times New Roman" w:hAnsi="Times New Roman" w:cs="Times New Roman"/>
          <w:sz w:val="18"/>
          <w:szCs w:val="18"/>
          <w:highlight w:val="yellow"/>
        </w:rPr>
        <w:t>The first link and the second link are identified by the From Link ID subfield and the To Link ID subfield of the Broadcast TWT Link Replacement element, respectively.</w:t>
      </w:r>
      <w:r>
        <w:rPr>
          <w:rFonts w:ascii="Times New Roman" w:hAnsi="Times New Roman" w:cs="Times New Roman"/>
          <w:sz w:val="18"/>
          <w:szCs w:val="18"/>
        </w:rPr>
        <w:t xml:space="preserve"> The Broadcast TWT ID subfields corresponding to the broadcast TWT schedule on the first link and the second link are identified by the </w:t>
      </w:r>
      <w:r w:rsidRPr="00A4213A">
        <w:rPr>
          <w:rFonts w:ascii="Times New Roman" w:hAnsi="Times New Roman" w:cs="Times New Roman"/>
          <w:sz w:val="18"/>
          <w:szCs w:val="18"/>
          <w:highlight w:val="yellow"/>
        </w:rPr>
        <w:t>From Broadcast TWT ID subfield and the To Broadcast TWT ID</w:t>
      </w:r>
      <w:r>
        <w:rPr>
          <w:rFonts w:ascii="Times New Roman" w:hAnsi="Times New Roman" w:cs="Times New Roman"/>
          <w:sz w:val="18"/>
          <w:szCs w:val="18"/>
        </w:rPr>
        <w:t xml:space="preserve"> subfield of the Broadcast TWT Link Replacement element, respectively. The minimum wake duration of the second broadcast TWT schedule on the second link is indicated by the Minimum TWT Wake Duration subfield of the Broadcast TWT Link Replacement element. </w:t>
      </w:r>
    </w:p>
    <w:p w14:paraId="0A121CB8" w14:textId="77777777" w:rsidR="002C012F" w:rsidRPr="007B38C1" w:rsidRDefault="002C012F" w:rsidP="002C012F">
      <w:pPr>
        <w:rPr>
          <w:rFonts w:ascii="Times New Roman" w:eastAsia="Malgun Gothic" w:hAnsi="Times New Roman" w:cs="Times New Roman"/>
          <w:sz w:val="18"/>
          <w:szCs w:val="20"/>
          <w:lang w:val="en-GB"/>
        </w:rPr>
      </w:pPr>
      <w:r w:rsidRPr="00DC135C">
        <w:rPr>
          <w:rFonts w:ascii="Times New Roman" w:hAnsi="Times New Roman" w:cs="Times New Roman"/>
          <w:sz w:val="18"/>
          <w:szCs w:val="18"/>
        </w:rPr>
        <w:t>If a first R-TWT schedule established on a first link between an AP MLD and a non-AP MLD is replaced by a second R-TWT schedule available on a second link between the same AP MLD and the non-AP MLD using the Broadcast TWT Link Replacement element, then the R-TWT TID(s) for uplink and downlink corresponding to the second R-TWT schedule on the second link are derived by taking the intersection of two sets, set-1 and set-2, where set-1 denotes the R-TWT TID(s) corresponding to the first R-TWT schedule on the first link and set-2 denotes the TID(s) that are mapped on the second link using TID-to-Link mapping for uplink and downlink, respectively (see 35.3.7.1.7 (Advertised TID-to-link mapping in Beacon and Probe Response frames), 35.3.7.4 (Affiliated AP link disablement and enablement)). Other TWT parameters of the second R-TWT schedule on the second link remain the same as the TWT parameters of the first R-TWT schedule on the first link.</w:t>
      </w:r>
      <w:r>
        <w:rPr>
          <w:rFonts w:ascii="Times New Roman" w:hAnsi="Times New Roman" w:cs="Times New Roman"/>
          <w:sz w:val="18"/>
          <w:szCs w:val="18"/>
        </w:rPr>
        <w:t xml:space="preserve">  </w:t>
      </w:r>
    </w:p>
    <w:p w14:paraId="1C0DE6EA" w14:textId="77777777" w:rsidR="002C012F" w:rsidRPr="000227B5" w:rsidRDefault="002C012F" w:rsidP="002C012F">
      <w:pPr>
        <w:pBdr>
          <w:top w:val="nil"/>
          <w:left w:val="nil"/>
          <w:bottom w:val="nil"/>
          <w:right w:val="nil"/>
          <w:between w:val="nil"/>
        </w:pBdr>
        <w:spacing w:after="0" w:line="240" w:lineRule="auto"/>
        <w:contextualSpacing/>
        <w:rPr>
          <w:rFonts w:ascii="Times New Roman" w:eastAsia="Malgun Gothic" w:hAnsi="Times New Roman" w:cs="Times New Roman"/>
          <w:bCs/>
          <w:sz w:val="18"/>
          <w:szCs w:val="18"/>
          <w:lang w:val="en-GB" w:eastAsia="ko-KR"/>
        </w:rPr>
      </w:pPr>
    </w:p>
    <w:sectPr w:rsidR="002C012F" w:rsidRPr="000227B5" w:rsidSect="002B6555">
      <w:headerReference w:type="even" r:id="rId17"/>
      <w:headerReference w:type="default" r:id="rId18"/>
      <w:footerReference w:type="even" r:id="rId19"/>
      <w:footerReference w:type="default" r:id="rId20"/>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CFCDA" w14:textId="77777777" w:rsidR="00FF44C7" w:rsidRDefault="00FF44C7">
      <w:pPr>
        <w:spacing w:after="0" w:line="240" w:lineRule="auto"/>
      </w:pPr>
      <w:r>
        <w:separator/>
      </w:r>
    </w:p>
  </w:endnote>
  <w:endnote w:type="continuationSeparator" w:id="0">
    <w:p w14:paraId="20D35E18" w14:textId="77777777" w:rsidR="00FF44C7" w:rsidRDefault="00FF44C7">
      <w:pPr>
        <w:spacing w:after="0" w:line="240" w:lineRule="auto"/>
      </w:pPr>
      <w:r>
        <w:continuationSeparator/>
      </w:r>
    </w:p>
  </w:endnote>
  <w:endnote w:type="continuationNotice" w:id="1">
    <w:p w14:paraId="53882CF5" w14:textId="77777777" w:rsidR="00FF44C7" w:rsidRDefault="00FF44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1B2B49">
      <w:rPr>
        <w:rFonts w:ascii="Times New Roman" w:eastAsia="Malgun Gothic" w:hAnsi="Times New Roman" w:cs="Times New Roman"/>
        <w:noProof/>
        <w:sz w:val="20"/>
        <w:szCs w:val="16"/>
        <w:lang w:val="en-GB"/>
      </w:rPr>
      <w:t>11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CF381" w14:textId="77777777" w:rsidR="00FF44C7" w:rsidRDefault="00FF44C7">
      <w:pPr>
        <w:spacing w:after="0" w:line="240" w:lineRule="auto"/>
      </w:pPr>
      <w:r>
        <w:separator/>
      </w:r>
    </w:p>
  </w:footnote>
  <w:footnote w:type="continuationSeparator" w:id="0">
    <w:p w14:paraId="65C0F605" w14:textId="77777777" w:rsidR="00FF44C7" w:rsidRDefault="00FF44C7">
      <w:pPr>
        <w:spacing w:after="0" w:line="240" w:lineRule="auto"/>
      </w:pPr>
      <w:r>
        <w:continuationSeparator/>
      </w:r>
    </w:p>
  </w:footnote>
  <w:footnote w:type="continuationNotice" w:id="1">
    <w:p w14:paraId="596A0880" w14:textId="77777777" w:rsidR="00FF44C7" w:rsidRDefault="00FF44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615C79C6" w:rsidR="009D79CE" w:rsidRPr="00DE6B44" w:rsidRDefault="00A0363E"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w:t>
    </w:r>
    <w:r w:rsidR="009D79CE">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5</w:t>
    </w:r>
    <w:r w:rsidR="009D79CE">
      <w:rPr>
        <w:rFonts w:ascii="Times New Roman" w:eastAsia="Malgun Gothic" w:hAnsi="Times New Roman" w:cs="Times New Roman"/>
        <w:b/>
        <w:sz w:val="28"/>
        <w:szCs w:val="20"/>
        <w:lang w:val="en-GB"/>
      </w:rPr>
      <w:tab/>
      <w:t xml:space="preserve">                                </w:t>
    </w:r>
    <w:r w:rsidR="009D79CE" w:rsidRPr="00B31A3B">
      <w:rPr>
        <w:rFonts w:ascii="Times New Roman" w:eastAsia="Malgun Gothic" w:hAnsi="Times New Roman" w:cs="Times New Roman"/>
        <w:b/>
        <w:sz w:val="28"/>
        <w:szCs w:val="20"/>
        <w:lang w:val="en-GB"/>
      </w:rPr>
      <w:t>doc.: IEEE 802.11</w:t>
    </w:r>
    <w:r w:rsidR="009D79CE">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5</w:t>
    </w:r>
    <w:r w:rsidR="009D79CE" w:rsidRPr="00B31A3B">
      <w:rPr>
        <w:rFonts w:ascii="Times New Roman" w:eastAsia="Malgun Gothic" w:hAnsi="Times New Roman" w:cs="Times New Roman"/>
        <w:b/>
        <w:sz w:val="28"/>
        <w:szCs w:val="20"/>
        <w:lang w:val="en-GB"/>
      </w:rPr>
      <w:t>/</w:t>
    </w:r>
    <w:r w:rsidR="00F07AB4">
      <w:rPr>
        <w:rFonts w:ascii="Times New Roman" w:eastAsia="Malgun Gothic" w:hAnsi="Times New Roman" w:cs="Times New Roman"/>
        <w:b/>
        <w:sz w:val="28"/>
        <w:szCs w:val="20"/>
        <w:lang w:val="en-GB"/>
      </w:rPr>
      <w:t>332r</w:t>
    </w:r>
    <w:r w:rsidR="005A6A8F">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85F4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 w:numId="42">
    <w:abstractNumId w:val="0"/>
    <w:lvlOverride w:ilvl="0">
      <w:lvl w:ilvl="0">
        <w:numFmt w:val="bullet"/>
        <w:lvlText w:val="Table 9-4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Table 9-5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7B5"/>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5B8"/>
    <w:rsid w:val="0002695B"/>
    <w:rsid w:val="00026A93"/>
    <w:rsid w:val="00026BA8"/>
    <w:rsid w:val="00027040"/>
    <w:rsid w:val="00027658"/>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94B"/>
    <w:rsid w:val="00041A26"/>
    <w:rsid w:val="00041AAB"/>
    <w:rsid w:val="00041B4C"/>
    <w:rsid w:val="00041B74"/>
    <w:rsid w:val="00042B02"/>
    <w:rsid w:val="00042F67"/>
    <w:rsid w:val="00043360"/>
    <w:rsid w:val="0004378A"/>
    <w:rsid w:val="0004445E"/>
    <w:rsid w:val="00044505"/>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0C3C"/>
    <w:rsid w:val="00060F17"/>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04B"/>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7D2"/>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CF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934"/>
    <w:rsid w:val="000A4A75"/>
    <w:rsid w:val="000A4B30"/>
    <w:rsid w:val="000A55DE"/>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0E36"/>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17"/>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D21"/>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07D3C"/>
    <w:rsid w:val="001105AD"/>
    <w:rsid w:val="001105D0"/>
    <w:rsid w:val="00111191"/>
    <w:rsid w:val="001113EF"/>
    <w:rsid w:val="001119AA"/>
    <w:rsid w:val="00111B43"/>
    <w:rsid w:val="0011211D"/>
    <w:rsid w:val="00112E24"/>
    <w:rsid w:val="00113E8B"/>
    <w:rsid w:val="00114D06"/>
    <w:rsid w:val="00114E7F"/>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B45"/>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77C"/>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BF4"/>
    <w:rsid w:val="00182F4A"/>
    <w:rsid w:val="00182F9F"/>
    <w:rsid w:val="001836C6"/>
    <w:rsid w:val="0018438C"/>
    <w:rsid w:val="001857F8"/>
    <w:rsid w:val="0018612C"/>
    <w:rsid w:val="001862E0"/>
    <w:rsid w:val="0018762F"/>
    <w:rsid w:val="00187D57"/>
    <w:rsid w:val="001901F0"/>
    <w:rsid w:val="001902FA"/>
    <w:rsid w:val="00191019"/>
    <w:rsid w:val="0019104C"/>
    <w:rsid w:val="00191482"/>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8C"/>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B49"/>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0BF"/>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6F37"/>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D73"/>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3F5E"/>
    <w:rsid w:val="00214778"/>
    <w:rsid w:val="00214CAB"/>
    <w:rsid w:val="00214F53"/>
    <w:rsid w:val="00215256"/>
    <w:rsid w:val="002153D6"/>
    <w:rsid w:val="00215DF8"/>
    <w:rsid w:val="00215E1F"/>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57A"/>
    <w:rsid w:val="00233623"/>
    <w:rsid w:val="00233974"/>
    <w:rsid w:val="00234A1D"/>
    <w:rsid w:val="00234DDA"/>
    <w:rsid w:val="002352AB"/>
    <w:rsid w:val="002353E6"/>
    <w:rsid w:val="002353F1"/>
    <w:rsid w:val="002358DB"/>
    <w:rsid w:val="00236212"/>
    <w:rsid w:val="00236650"/>
    <w:rsid w:val="00236B8D"/>
    <w:rsid w:val="00236E89"/>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3D72"/>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849"/>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5DDB"/>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1B07"/>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7B"/>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12F"/>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3FDD"/>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9F9"/>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30A"/>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25B"/>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931"/>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34B6"/>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0F6B"/>
    <w:rsid w:val="00351052"/>
    <w:rsid w:val="0035116C"/>
    <w:rsid w:val="003512EF"/>
    <w:rsid w:val="00351A74"/>
    <w:rsid w:val="00351E0F"/>
    <w:rsid w:val="003524CE"/>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4F8B"/>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A58"/>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AF9"/>
    <w:rsid w:val="003C6E6D"/>
    <w:rsid w:val="003C7B7B"/>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1C1"/>
    <w:rsid w:val="003F264B"/>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4F"/>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04AF"/>
    <w:rsid w:val="0041138D"/>
    <w:rsid w:val="00411765"/>
    <w:rsid w:val="00411992"/>
    <w:rsid w:val="00412057"/>
    <w:rsid w:val="00412361"/>
    <w:rsid w:val="00412AE3"/>
    <w:rsid w:val="00412B22"/>
    <w:rsid w:val="004133B2"/>
    <w:rsid w:val="004142A8"/>
    <w:rsid w:val="00414904"/>
    <w:rsid w:val="00414938"/>
    <w:rsid w:val="00414DB7"/>
    <w:rsid w:val="00414F13"/>
    <w:rsid w:val="00415282"/>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A7C"/>
    <w:rsid w:val="00430B5D"/>
    <w:rsid w:val="00430D46"/>
    <w:rsid w:val="00431298"/>
    <w:rsid w:val="004312BC"/>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55"/>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6B"/>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C82"/>
    <w:rsid w:val="00464DF8"/>
    <w:rsid w:val="00465233"/>
    <w:rsid w:val="0046528F"/>
    <w:rsid w:val="0046560E"/>
    <w:rsid w:val="00465ED3"/>
    <w:rsid w:val="00466382"/>
    <w:rsid w:val="004666E5"/>
    <w:rsid w:val="00466DB1"/>
    <w:rsid w:val="0046768C"/>
    <w:rsid w:val="0046770F"/>
    <w:rsid w:val="0046773E"/>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1FD7"/>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B1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2896"/>
    <w:rsid w:val="004A31A6"/>
    <w:rsid w:val="004A31C7"/>
    <w:rsid w:val="004A3A0F"/>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876"/>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5EFD"/>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1"/>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9"/>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198"/>
    <w:rsid w:val="004E0CA3"/>
    <w:rsid w:val="004E0ECE"/>
    <w:rsid w:val="004E1279"/>
    <w:rsid w:val="004E14A9"/>
    <w:rsid w:val="004E1680"/>
    <w:rsid w:val="004E1B6D"/>
    <w:rsid w:val="004E22C4"/>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7CF"/>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7B1"/>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7E5"/>
    <w:rsid w:val="00504A47"/>
    <w:rsid w:val="00504B70"/>
    <w:rsid w:val="00505007"/>
    <w:rsid w:val="0050517C"/>
    <w:rsid w:val="00505879"/>
    <w:rsid w:val="00505BD8"/>
    <w:rsid w:val="00505BE6"/>
    <w:rsid w:val="005060D3"/>
    <w:rsid w:val="005062DA"/>
    <w:rsid w:val="00506849"/>
    <w:rsid w:val="005068BD"/>
    <w:rsid w:val="00506C4D"/>
    <w:rsid w:val="00507204"/>
    <w:rsid w:val="005074BC"/>
    <w:rsid w:val="005075D9"/>
    <w:rsid w:val="005076C6"/>
    <w:rsid w:val="00510029"/>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016"/>
    <w:rsid w:val="005213C9"/>
    <w:rsid w:val="005216F9"/>
    <w:rsid w:val="00521A23"/>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191E"/>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9B"/>
    <w:rsid w:val="005404F0"/>
    <w:rsid w:val="0054054A"/>
    <w:rsid w:val="00540B70"/>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87"/>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1C"/>
    <w:rsid w:val="00560BCC"/>
    <w:rsid w:val="00561323"/>
    <w:rsid w:val="005613BF"/>
    <w:rsid w:val="005613E6"/>
    <w:rsid w:val="00561623"/>
    <w:rsid w:val="0056162A"/>
    <w:rsid w:val="005618CD"/>
    <w:rsid w:val="005626E8"/>
    <w:rsid w:val="005627D8"/>
    <w:rsid w:val="00562E81"/>
    <w:rsid w:val="00563082"/>
    <w:rsid w:val="00563390"/>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D92"/>
    <w:rsid w:val="005A5E31"/>
    <w:rsid w:val="005A5E55"/>
    <w:rsid w:val="005A5F59"/>
    <w:rsid w:val="005A6133"/>
    <w:rsid w:val="005A649C"/>
    <w:rsid w:val="005A68DA"/>
    <w:rsid w:val="005A6A8F"/>
    <w:rsid w:val="005A6F2F"/>
    <w:rsid w:val="005A6F5B"/>
    <w:rsid w:val="005A71F4"/>
    <w:rsid w:val="005A7762"/>
    <w:rsid w:val="005A7ABF"/>
    <w:rsid w:val="005B0156"/>
    <w:rsid w:val="005B02F3"/>
    <w:rsid w:val="005B0446"/>
    <w:rsid w:val="005B0DE2"/>
    <w:rsid w:val="005B1604"/>
    <w:rsid w:val="005B1726"/>
    <w:rsid w:val="005B2498"/>
    <w:rsid w:val="005B30FC"/>
    <w:rsid w:val="005B3229"/>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504"/>
    <w:rsid w:val="005C49FC"/>
    <w:rsid w:val="005C5193"/>
    <w:rsid w:val="005C5AC4"/>
    <w:rsid w:val="005C5DBB"/>
    <w:rsid w:val="005C5F0B"/>
    <w:rsid w:val="005C5F21"/>
    <w:rsid w:val="005C60E1"/>
    <w:rsid w:val="005C6264"/>
    <w:rsid w:val="005C6631"/>
    <w:rsid w:val="005C67C9"/>
    <w:rsid w:val="005C6FC3"/>
    <w:rsid w:val="005C702B"/>
    <w:rsid w:val="005C75A6"/>
    <w:rsid w:val="005C767A"/>
    <w:rsid w:val="005C79FD"/>
    <w:rsid w:val="005D0010"/>
    <w:rsid w:val="005D0268"/>
    <w:rsid w:val="005D0418"/>
    <w:rsid w:val="005D0621"/>
    <w:rsid w:val="005D09DA"/>
    <w:rsid w:val="005D0CA9"/>
    <w:rsid w:val="005D1591"/>
    <w:rsid w:val="005D1A02"/>
    <w:rsid w:val="005D1BF8"/>
    <w:rsid w:val="005D2363"/>
    <w:rsid w:val="005D28D6"/>
    <w:rsid w:val="005D2BDA"/>
    <w:rsid w:val="005D3A29"/>
    <w:rsid w:val="005D3DF4"/>
    <w:rsid w:val="005D44C6"/>
    <w:rsid w:val="005D46CB"/>
    <w:rsid w:val="005D4D74"/>
    <w:rsid w:val="005D53BC"/>
    <w:rsid w:val="005D55C5"/>
    <w:rsid w:val="005D561C"/>
    <w:rsid w:val="005D57D9"/>
    <w:rsid w:val="005D5CBD"/>
    <w:rsid w:val="005D6BA3"/>
    <w:rsid w:val="005D6CB0"/>
    <w:rsid w:val="005D6F8A"/>
    <w:rsid w:val="005D737B"/>
    <w:rsid w:val="005D737E"/>
    <w:rsid w:val="005D756E"/>
    <w:rsid w:val="005D7CB3"/>
    <w:rsid w:val="005D7FC2"/>
    <w:rsid w:val="005E047C"/>
    <w:rsid w:val="005E0726"/>
    <w:rsid w:val="005E0AF2"/>
    <w:rsid w:val="005E0E88"/>
    <w:rsid w:val="005E1207"/>
    <w:rsid w:val="005E125C"/>
    <w:rsid w:val="005E167B"/>
    <w:rsid w:val="005E1A4B"/>
    <w:rsid w:val="005E1BC5"/>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8B3"/>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D75"/>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46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BA5"/>
    <w:rsid w:val="00627D27"/>
    <w:rsid w:val="00627EB3"/>
    <w:rsid w:val="00627FE1"/>
    <w:rsid w:val="006300D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1B67"/>
    <w:rsid w:val="00642A13"/>
    <w:rsid w:val="00642EC2"/>
    <w:rsid w:val="006438C6"/>
    <w:rsid w:val="006439F5"/>
    <w:rsid w:val="00643F9D"/>
    <w:rsid w:val="00644B31"/>
    <w:rsid w:val="00644BCD"/>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17"/>
    <w:rsid w:val="0065433D"/>
    <w:rsid w:val="006543F4"/>
    <w:rsid w:val="00654698"/>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937"/>
    <w:rsid w:val="00682A4A"/>
    <w:rsid w:val="0068313F"/>
    <w:rsid w:val="006832B2"/>
    <w:rsid w:val="006834D0"/>
    <w:rsid w:val="006835DC"/>
    <w:rsid w:val="00683982"/>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C1C"/>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5AD6"/>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BB7"/>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89"/>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43F"/>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3CD"/>
    <w:rsid w:val="006F54EC"/>
    <w:rsid w:val="006F576A"/>
    <w:rsid w:val="006F5983"/>
    <w:rsid w:val="006F60E9"/>
    <w:rsid w:val="006F6547"/>
    <w:rsid w:val="006F6997"/>
    <w:rsid w:val="006F6A0E"/>
    <w:rsid w:val="006F6FC4"/>
    <w:rsid w:val="006F70F3"/>
    <w:rsid w:val="006F7135"/>
    <w:rsid w:val="006F7152"/>
    <w:rsid w:val="006F761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79B"/>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2B46"/>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955"/>
    <w:rsid w:val="00723992"/>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70130"/>
    <w:rsid w:val="00770561"/>
    <w:rsid w:val="0077069E"/>
    <w:rsid w:val="00770AB1"/>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77F"/>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6A"/>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2C2D"/>
    <w:rsid w:val="007A3012"/>
    <w:rsid w:val="007A3312"/>
    <w:rsid w:val="007A3391"/>
    <w:rsid w:val="007A3417"/>
    <w:rsid w:val="007A3C2D"/>
    <w:rsid w:val="007A3EA6"/>
    <w:rsid w:val="007A3F78"/>
    <w:rsid w:val="007A4B38"/>
    <w:rsid w:val="007A4F3E"/>
    <w:rsid w:val="007A51C8"/>
    <w:rsid w:val="007A59B4"/>
    <w:rsid w:val="007A5BAE"/>
    <w:rsid w:val="007A5F2B"/>
    <w:rsid w:val="007A5FC1"/>
    <w:rsid w:val="007A60F2"/>
    <w:rsid w:val="007A613B"/>
    <w:rsid w:val="007A67E9"/>
    <w:rsid w:val="007A69AC"/>
    <w:rsid w:val="007A6A46"/>
    <w:rsid w:val="007A6BBD"/>
    <w:rsid w:val="007A6FAF"/>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14C"/>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65C2"/>
    <w:rsid w:val="007F70FA"/>
    <w:rsid w:val="007F742B"/>
    <w:rsid w:val="007F7992"/>
    <w:rsid w:val="007F7B5B"/>
    <w:rsid w:val="00800436"/>
    <w:rsid w:val="008004B1"/>
    <w:rsid w:val="0080119F"/>
    <w:rsid w:val="008013F8"/>
    <w:rsid w:val="0080180C"/>
    <w:rsid w:val="00802104"/>
    <w:rsid w:val="0080211B"/>
    <w:rsid w:val="0080223E"/>
    <w:rsid w:val="008023F5"/>
    <w:rsid w:val="00802CB5"/>
    <w:rsid w:val="00803123"/>
    <w:rsid w:val="00803742"/>
    <w:rsid w:val="00803C87"/>
    <w:rsid w:val="008040CD"/>
    <w:rsid w:val="0080464A"/>
    <w:rsid w:val="008048B1"/>
    <w:rsid w:val="00804959"/>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107"/>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D5F"/>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57D"/>
    <w:rsid w:val="00840667"/>
    <w:rsid w:val="00840807"/>
    <w:rsid w:val="008408D3"/>
    <w:rsid w:val="00840930"/>
    <w:rsid w:val="00840C9B"/>
    <w:rsid w:val="00842D7D"/>
    <w:rsid w:val="00842E54"/>
    <w:rsid w:val="0084313B"/>
    <w:rsid w:val="0084317C"/>
    <w:rsid w:val="008432B1"/>
    <w:rsid w:val="0084341E"/>
    <w:rsid w:val="0084359C"/>
    <w:rsid w:val="00843A01"/>
    <w:rsid w:val="00843AC7"/>
    <w:rsid w:val="0084405A"/>
    <w:rsid w:val="00844290"/>
    <w:rsid w:val="00844391"/>
    <w:rsid w:val="00844AB5"/>
    <w:rsid w:val="00844D00"/>
    <w:rsid w:val="00844F41"/>
    <w:rsid w:val="0084571B"/>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0D8"/>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75A"/>
    <w:rsid w:val="00877A44"/>
    <w:rsid w:val="008800D3"/>
    <w:rsid w:val="008806CE"/>
    <w:rsid w:val="008808EF"/>
    <w:rsid w:val="00880A21"/>
    <w:rsid w:val="00880AC5"/>
    <w:rsid w:val="00880FDC"/>
    <w:rsid w:val="00881586"/>
    <w:rsid w:val="00881795"/>
    <w:rsid w:val="00881AA1"/>
    <w:rsid w:val="00882142"/>
    <w:rsid w:val="0088242D"/>
    <w:rsid w:val="00882468"/>
    <w:rsid w:val="00882B64"/>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99C"/>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4BAF"/>
    <w:rsid w:val="008B510F"/>
    <w:rsid w:val="008B52AA"/>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1E4"/>
    <w:rsid w:val="008E5929"/>
    <w:rsid w:val="008E5DBC"/>
    <w:rsid w:val="008E5EDD"/>
    <w:rsid w:val="008E681B"/>
    <w:rsid w:val="008E68CC"/>
    <w:rsid w:val="008E6D5F"/>
    <w:rsid w:val="008E72EB"/>
    <w:rsid w:val="008E73E7"/>
    <w:rsid w:val="008E75CE"/>
    <w:rsid w:val="008E77E9"/>
    <w:rsid w:val="008E78AE"/>
    <w:rsid w:val="008E7D13"/>
    <w:rsid w:val="008F0009"/>
    <w:rsid w:val="008F0631"/>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254"/>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562"/>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351"/>
    <w:rsid w:val="00923667"/>
    <w:rsid w:val="009239C9"/>
    <w:rsid w:val="00923A00"/>
    <w:rsid w:val="00923B80"/>
    <w:rsid w:val="00923C0A"/>
    <w:rsid w:val="00923F5C"/>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27E32"/>
    <w:rsid w:val="00930358"/>
    <w:rsid w:val="00930429"/>
    <w:rsid w:val="00930860"/>
    <w:rsid w:val="00930EA4"/>
    <w:rsid w:val="0093149A"/>
    <w:rsid w:val="009314D0"/>
    <w:rsid w:val="0093153C"/>
    <w:rsid w:val="009318B3"/>
    <w:rsid w:val="00931C11"/>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32"/>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38B"/>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5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721"/>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9CB"/>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63E"/>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088"/>
    <w:rsid w:val="00A245B6"/>
    <w:rsid w:val="00A245F2"/>
    <w:rsid w:val="00A24646"/>
    <w:rsid w:val="00A24C0D"/>
    <w:rsid w:val="00A24DA4"/>
    <w:rsid w:val="00A25362"/>
    <w:rsid w:val="00A25776"/>
    <w:rsid w:val="00A25B79"/>
    <w:rsid w:val="00A263C3"/>
    <w:rsid w:val="00A263CA"/>
    <w:rsid w:val="00A2678F"/>
    <w:rsid w:val="00A2680A"/>
    <w:rsid w:val="00A26B68"/>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C2C"/>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13A"/>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63"/>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1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0707"/>
    <w:rsid w:val="00AC102C"/>
    <w:rsid w:val="00AC1052"/>
    <w:rsid w:val="00AC1409"/>
    <w:rsid w:val="00AC17BC"/>
    <w:rsid w:val="00AC189F"/>
    <w:rsid w:val="00AC18FA"/>
    <w:rsid w:val="00AC1ACB"/>
    <w:rsid w:val="00AC1DAD"/>
    <w:rsid w:val="00AC25EE"/>
    <w:rsid w:val="00AC2636"/>
    <w:rsid w:val="00AC288D"/>
    <w:rsid w:val="00AC2F7F"/>
    <w:rsid w:val="00AC324A"/>
    <w:rsid w:val="00AC3A5C"/>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D7EFF"/>
    <w:rsid w:val="00AE01BC"/>
    <w:rsid w:val="00AE02DE"/>
    <w:rsid w:val="00AE039A"/>
    <w:rsid w:val="00AE0870"/>
    <w:rsid w:val="00AE096B"/>
    <w:rsid w:val="00AE0E60"/>
    <w:rsid w:val="00AE1303"/>
    <w:rsid w:val="00AE18C1"/>
    <w:rsid w:val="00AE1912"/>
    <w:rsid w:val="00AE1E52"/>
    <w:rsid w:val="00AE1F2F"/>
    <w:rsid w:val="00AE2176"/>
    <w:rsid w:val="00AE2311"/>
    <w:rsid w:val="00AE2430"/>
    <w:rsid w:val="00AE26BE"/>
    <w:rsid w:val="00AE2BD6"/>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2CEC"/>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DDB"/>
    <w:rsid w:val="00B35EFA"/>
    <w:rsid w:val="00B35F2F"/>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EA2"/>
    <w:rsid w:val="00B47FC2"/>
    <w:rsid w:val="00B5004F"/>
    <w:rsid w:val="00B50510"/>
    <w:rsid w:val="00B5082E"/>
    <w:rsid w:val="00B51152"/>
    <w:rsid w:val="00B515FB"/>
    <w:rsid w:val="00B51639"/>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031"/>
    <w:rsid w:val="00B62C0E"/>
    <w:rsid w:val="00B62C51"/>
    <w:rsid w:val="00B6352B"/>
    <w:rsid w:val="00B63960"/>
    <w:rsid w:val="00B63A35"/>
    <w:rsid w:val="00B64C0A"/>
    <w:rsid w:val="00B64C8A"/>
    <w:rsid w:val="00B64CB6"/>
    <w:rsid w:val="00B65679"/>
    <w:rsid w:val="00B65A5C"/>
    <w:rsid w:val="00B66005"/>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11D"/>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0A7"/>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1CAC"/>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6CF4"/>
    <w:rsid w:val="00C17112"/>
    <w:rsid w:val="00C17866"/>
    <w:rsid w:val="00C178DC"/>
    <w:rsid w:val="00C17B6F"/>
    <w:rsid w:val="00C17EA5"/>
    <w:rsid w:val="00C17FDE"/>
    <w:rsid w:val="00C20291"/>
    <w:rsid w:val="00C20298"/>
    <w:rsid w:val="00C20401"/>
    <w:rsid w:val="00C204D8"/>
    <w:rsid w:val="00C20F62"/>
    <w:rsid w:val="00C219CF"/>
    <w:rsid w:val="00C219E4"/>
    <w:rsid w:val="00C21CC0"/>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8EC"/>
    <w:rsid w:val="00C32A22"/>
    <w:rsid w:val="00C32A93"/>
    <w:rsid w:val="00C32F25"/>
    <w:rsid w:val="00C33668"/>
    <w:rsid w:val="00C33675"/>
    <w:rsid w:val="00C336AB"/>
    <w:rsid w:val="00C33825"/>
    <w:rsid w:val="00C33DEC"/>
    <w:rsid w:val="00C34164"/>
    <w:rsid w:val="00C34539"/>
    <w:rsid w:val="00C34BE8"/>
    <w:rsid w:val="00C34DF0"/>
    <w:rsid w:val="00C354EC"/>
    <w:rsid w:val="00C35A75"/>
    <w:rsid w:val="00C35B88"/>
    <w:rsid w:val="00C35BB6"/>
    <w:rsid w:val="00C36C04"/>
    <w:rsid w:val="00C36C20"/>
    <w:rsid w:val="00C36C3D"/>
    <w:rsid w:val="00C3743C"/>
    <w:rsid w:val="00C3746A"/>
    <w:rsid w:val="00C37DE9"/>
    <w:rsid w:val="00C402CF"/>
    <w:rsid w:val="00C40344"/>
    <w:rsid w:val="00C405B9"/>
    <w:rsid w:val="00C4074C"/>
    <w:rsid w:val="00C409C4"/>
    <w:rsid w:val="00C40A33"/>
    <w:rsid w:val="00C4107B"/>
    <w:rsid w:val="00C4143D"/>
    <w:rsid w:val="00C41717"/>
    <w:rsid w:val="00C41740"/>
    <w:rsid w:val="00C418EB"/>
    <w:rsid w:val="00C41E2F"/>
    <w:rsid w:val="00C4218D"/>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31C"/>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754"/>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3EC5"/>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1DA8"/>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7FB"/>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1D5"/>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A"/>
    <w:rsid w:val="00CD6E2B"/>
    <w:rsid w:val="00CD70AE"/>
    <w:rsid w:val="00CD7175"/>
    <w:rsid w:val="00CD794C"/>
    <w:rsid w:val="00CD7B15"/>
    <w:rsid w:val="00CE03C6"/>
    <w:rsid w:val="00CE03DB"/>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CF7694"/>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5F33"/>
    <w:rsid w:val="00D1642F"/>
    <w:rsid w:val="00D16A08"/>
    <w:rsid w:val="00D171C2"/>
    <w:rsid w:val="00D17500"/>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11E"/>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722"/>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4CEF"/>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36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1B4"/>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1B38"/>
    <w:rsid w:val="00DE2185"/>
    <w:rsid w:val="00DE21D7"/>
    <w:rsid w:val="00DE27DA"/>
    <w:rsid w:val="00DE3251"/>
    <w:rsid w:val="00DE3652"/>
    <w:rsid w:val="00DE3B32"/>
    <w:rsid w:val="00DE447F"/>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54"/>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AB5"/>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0A5"/>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5A1"/>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119"/>
    <w:rsid w:val="00E41F0E"/>
    <w:rsid w:val="00E42728"/>
    <w:rsid w:val="00E42799"/>
    <w:rsid w:val="00E4280E"/>
    <w:rsid w:val="00E4283C"/>
    <w:rsid w:val="00E42D48"/>
    <w:rsid w:val="00E430BA"/>
    <w:rsid w:val="00E43843"/>
    <w:rsid w:val="00E4394A"/>
    <w:rsid w:val="00E43AEB"/>
    <w:rsid w:val="00E43BC7"/>
    <w:rsid w:val="00E44919"/>
    <w:rsid w:val="00E4491F"/>
    <w:rsid w:val="00E44D2C"/>
    <w:rsid w:val="00E44F2A"/>
    <w:rsid w:val="00E4504A"/>
    <w:rsid w:val="00E451A9"/>
    <w:rsid w:val="00E4557D"/>
    <w:rsid w:val="00E457A9"/>
    <w:rsid w:val="00E459B4"/>
    <w:rsid w:val="00E45C1B"/>
    <w:rsid w:val="00E45CC0"/>
    <w:rsid w:val="00E46351"/>
    <w:rsid w:val="00E46660"/>
    <w:rsid w:val="00E467CA"/>
    <w:rsid w:val="00E46801"/>
    <w:rsid w:val="00E46959"/>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71"/>
    <w:rsid w:val="00E53ED6"/>
    <w:rsid w:val="00E53FCC"/>
    <w:rsid w:val="00E542F4"/>
    <w:rsid w:val="00E54625"/>
    <w:rsid w:val="00E546D9"/>
    <w:rsid w:val="00E547CE"/>
    <w:rsid w:val="00E55059"/>
    <w:rsid w:val="00E551EF"/>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8D4"/>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878B6"/>
    <w:rsid w:val="00E900EA"/>
    <w:rsid w:val="00E903E3"/>
    <w:rsid w:val="00E90506"/>
    <w:rsid w:val="00E9099A"/>
    <w:rsid w:val="00E90DE2"/>
    <w:rsid w:val="00E91249"/>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162"/>
    <w:rsid w:val="00E96F6B"/>
    <w:rsid w:val="00E97627"/>
    <w:rsid w:val="00E97661"/>
    <w:rsid w:val="00E978DF"/>
    <w:rsid w:val="00E97930"/>
    <w:rsid w:val="00E97C48"/>
    <w:rsid w:val="00E97CAF"/>
    <w:rsid w:val="00E97F1A"/>
    <w:rsid w:val="00EA06E6"/>
    <w:rsid w:val="00EA08F0"/>
    <w:rsid w:val="00EA0A71"/>
    <w:rsid w:val="00EA0E5E"/>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EFD"/>
    <w:rsid w:val="00EB2F4D"/>
    <w:rsid w:val="00EB2F5B"/>
    <w:rsid w:val="00EB31E0"/>
    <w:rsid w:val="00EB3B47"/>
    <w:rsid w:val="00EB3C6F"/>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004A"/>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A05"/>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4F83"/>
    <w:rsid w:val="00EE5054"/>
    <w:rsid w:val="00EE5522"/>
    <w:rsid w:val="00EE5682"/>
    <w:rsid w:val="00EE5AE9"/>
    <w:rsid w:val="00EE5D27"/>
    <w:rsid w:val="00EE655A"/>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34D"/>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AB4"/>
    <w:rsid w:val="00F07BF3"/>
    <w:rsid w:val="00F10334"/>
    <w:rsid w:val="00F10442"/>
    <w:rsid w:val="00F10ED4"/>
    <w:rsid w:val="00F115AC"/>
    <w:rsid w:val="00F11AC4"/>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19DF"/>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644"/>
    <w:rsid w:val="00F507A3"/>
    <w:rsid w:val="00F50ECC"/>
    <w:rsid w:val="00F50F85"/>
    <w:rsid w:val="00F51212"/>
    <w:rsid w:val="00F512D4"/>
    <w:rsid w:val="00F51428"/>
    <w:rsid w:val="00F51ACE"/>
    <w:rsid w:val="00F51E01"/>
    <w:rsid w:val="00F51E6F"/>
    <w:rsid w:val="00F521CE"/>
    <w:rsid w:val="00F5224D"/>
    <w:rsid w:val="00F522D3"/>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997"/>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958"/>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582"/>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4F5E"/>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AC2"/>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1FA"/>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3CC"/>
    <w:rsid w:val="00FD6426"/>
    <w:rsid w:val="00FD6489"/>
    <w:rsid w:val="00FD66A9"/>
    <w:rsid w:val="00FD6AFF"/>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5D45"/>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4C7"/>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AC513E6-2653-4328-BC90-6959CBF2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2A8"/>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 w:type="paragraph" w:customStyle="1" w:styleId="SP21278922">
    <w:name w:val="SP.21.278922"/>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933">
    <w:name w:val="SP.21.278933"/>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544">
    <w:name w:val="SP.21.278544"/>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900">
    <w:name w:val="SP.21.278900"/>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21323592">
    <w:name w:val="SC.21.323592"/>
    <w:uiPriority w:val="99"/>
    <w:rsid w:val="005D3A2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7798937">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361673">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451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4220336">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76045783">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120589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5135763">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9471780">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1466750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1695587">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package" Target="embeddings/Microsoft_Visio_Drawing.vsdx"/><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7099D-2DD4-437B-B614-9581983E7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1897</Words>
  <Characters>10586</Characters>
  <Application>Microsoft Office Word</Application>
  <DocSecurity>0</DocSecurity>
  <Lines>756</Lines>
  <Paragraphs>356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2</cp:revision>
  <cp:lastPrinted>2022-05-16T07:22:00Z</cp:lastPrinted>
  <dcterms:created xsi:type="dcterms:W3CDTF">2025-03-12T21:09:00Z</dcterms:created>
  <dcterms:modified xsi:type="dcterms:W3CDTF">2025-03-12T21:09:00Z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