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CF997F" w:rsidR="00CA09B2" w:rsidRDefault="00680B36" w:rsidP="00AF6BE8">
            <w:pPr>
              <w:pStyle w:val="T2"/>
            </w:pPr>
            <w:r>
              <w:t>CID Resolutions IRM</w:t>
            </w:r>
            <w:r w:rsidR="009F0855">
              <w:t xml:space="preserve"> - </w:t>
            </w:r>
            <w:r w:rsidR="005C052D">
              <w:t>2</w:t>
            </w:r>
            <w:r w:rsidR="009472C5">
              <w:t xml:space="preserve"> </w:t>
            </w:r>
          </w:p>
        </w:tc>
      </w:tr>
      <w:tr w:rsidR="00CA09B2" w14:paraId="02966D81" w14:textId="77777777">
        <w:trPr>
          <w:trHeight w:val="359"/>
          <w:jc w:val="center"/>
        </w:trPr>
        <w:tc>
          <w:tcPr>
            <w:tcW w:w="9576" w:type="dxa"/>
            <w:gridSpan w:val="5"/>
            <w:vAlign w:val="center"/>
          </w:tcPr>
          <w:p w14:paraId="286D4255" w14:textId="1E18D5F7"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3A4B36">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4934B3F1" w:rsidR="005A2C56" w:rsidRDefault="00502411" w:rsidP="005C052D">
                            <w:pPr>
                              <w:pStyle w:val="T1"/>
                              <w:ind w:firstLine="720"/>
                              <w:jc w:val="left"/>
                              <w:rPr>
                                <w:b w:val="0"/>
                                <w:bCs/>
                                <w:sz w:val="24"/>
                                <w:szCs w:val="18"/>
                              </w:rPr>
                            </w:pPr>
                            <w:r>
                              <w:rPr>
                                <w:b w:val="0"/>
                                <w:bCs/>
                                <w:sz w:val="24"/>
                                <w:szCs w:val="18"/>
                              </w:rPr>
                              <w:t xml:space="preserve">Rev 2 </w:t>
                            </w:r>
                            <w:r w:rsidR="005A2C56">
                              <w:rPr>
                                <w:b w:val="0"/>
                                <w:bCs/>
                                <w:sz w:val="24"/>
                                <w:szCs w:val="18"/>
                              </w:rPr>
                              <w:t xml:space="preserve"> </w:t>
                            </w:r>
                            <w:r w:rsidR="00697DE4">
                              <w:rPr>
                                <w:b w:val="0"/>
                                <w:bCs/>
                                <w:sz w:val="24"/>
                                <w:szCs w:val="18"/>
                              </w:rPr>
                              <w:t>edits, ready for discussion.</w:t>
                            </w:r>
                          </w:p>
                          <w:p w14:paraId="237C83B9" w14:textId="49665A82" w:rsidR="00393AD2" w:rsidRPr="005A2C56" w:rsidRDefault="00393AD2" w:rsidP="005C052D">
                            <w:pPr>
                              <w:pStyle w:val="T1"/>
                              <w:ind w:firstLine="720"/>
                              <w:jc w:val="left"/>
                              <w:rPr>
                                <w:b w:val="0"/>
                                <w:bCs/>
                                <w:sz w:val="22"/>
                                <w:szCs w:val="18"/>
                              </w:rPr>
                            </w:pPr>
                            <w:r>
                              <w:rPr>
                                <w:b w:val="0"/>
                                <w:bCs/>
                                <w:sz w:val="24"/>
                                <w:szCs w:val="18"/>
                              </w:rPr>
                              <w:t>Rev 3 Meeting 10/24/2023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4934B3F1" w:rsidR="005A2C56" w:rsidRDefault="00502411" w:rsidP="005C052D">
                      <w:pPr>
                        <w:pStyle w:val="T1"/>
                        <w:ind w:firstLine="720"/>
                        <w:jc w:val="left"/>
                        <w:rPr>
                          <w:b w:val="0"/>
                          <w:bCs/>
                          <w:sz w:val="24"/>
                          <w:szCs w:val="18"/>
                        </w:rPr>
                      </w:pPr>
                      <w:r>
                        <w:rPr>
                          <w:b w:val="0"/>
                          <w:bCs/>
                          <w:sz w:val="24"/>
                          <w:szCs w:val="18"/>
                        </w:rPr>
                        <w:t xml:space="preserve">Rev 2 </w:t>
                      </w:r>
                      <w:r w:rsidR="005A2C56">
                        <w:rPr>
                          <w:b w:val="0"/>
                          <w:bCs/>
                          <w:sz w:val="24"/>
                          <w:szCs w:val="18"/>
                        </w:rPr>
                        <w:t xml:space="preserve"> </w:t>
                      </w:r>
                      <w:r w:rsidR="00697DE4">
                        <w:rPr>
                          <w:b w:val="0"/>
                          <w:bCs/>
                          <w:sz w:val="24"/>
                          <w:szCs w:val="18"/>
                        </w:rPr>
                        <w:t>edits, ready for discussion.</w:t>
                      </w:r>
                    </w:p>
                    <w:p w14:paraId="237C83B9" w14:textId="49665A82" w:rsidR="00393AD2" w:rsidRPr="005A2C56" w:rsidRDefault="00393AD2" w:rsidP="005C052D">
                      <w:pPr>
                        <w:pStyle w:val="T1"/>
                        <w:ind w:firstLine="720"/>
                        <w:jc w:val="left"/>
                        <w:rPr>
                          <w:b w:val="0"/>
                          <w:bCs/>
                          <w:sz w:val="22"/>
                          <w:szCs w:val="18"/>
                        </w:rPr>
                      </w:pPr>
                      <w:r>
                        <w:rPr>
                          <w:b w:val="0"/>
                          <w:bCs/>
                          <w:sz w:val="24"/>
                          <w:szCs w:val="18"/>
                        </w:rPr>
                        <w:t>Rev 3 Meeting 10/24/2023</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AC6D8E" w14:paraId="3E8DA4F5" w14:textId="309939A9" w:rsidTr="00F56C31">
        <w:tc>
          <w:tcPr>
            <w:tcW w:w="620" w:type="dxa"/>
            <w:vAlign w:val="bottom"/>
          </w:tcPr>
          <w:p w14:paraId="2C26781D" w14:textId="09561AA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107</w:t>
            </w:r>
          </w:p>
        </w:tc>
        <w:tc>
          <w:tcPr>
            <w:tcW w:w="1158" w:type="dxa"/>
            <w:vAlign w:val="bottom"/>
          </w:tcPr>
          <w:p w14:paraId="5ADAC8B9" w14:textId="258C52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6535965" w14:textId="0930EFA8"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39</w:t>
            </w:r>
          </w:p>
        </w:tc>
        <w:tc>
          <w:tcPr>
            <w:tcW w:w="2557" w:type="dxa"/>
            <w:vAlign w:val="bottom"/>
          </w:tcPr>
          <w:p w14:paraId="169938A8" w14:textId="3F439C6F"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sentences in this paragraph look to be out of order in terms of the negotiation. I would assume that the AP would advertised Device ID/IRM in the RSNXE. The STA would discover the capability, and then include the elements in the (re-)association </w:t>
            </w:r>
            <w:proofErr w:type="spellStart"/>
            <w:r>
              <w:rPr>
                <w:rFonts w:ascii="Calibri" w:hAnsi="Calibri" w:cs="Calibri"/>
                <w:sz w:val="22"/>
                <w:szCs w:val="22"/>
              </w:rPr>
              <w:t>reque</w:t>
            </w:r>
            <w:proofErr w:type="spellEnd"/>
          </w:p>
        </w:tc>
        <w:tc>
          <w:tcPr>
            <w:tcW w:w="2223" w:type="dxa"/>
            <w:vAlign w:val="bottom"/>
          </w:tcPr>
          <w:p w14:paraId="0F1F4B05" w14:textId="1FD52B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the cited paragraph with the following:</w:t>
            </w:r>
            <w:r>
              <w:rPr>
                <w:rFonts w:ascii="Calibri" w:hAnsi="Calibri" w:cs="Calibri"/>
                <w:sz w:val="22"/>
                <w:szCs w:val="22"/>
              </w:rPr>
              <w:b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p>
        </w:tc>
        <w:tc>
          <w:tcPr>
            <w:tcW w:w="2902" w:type="dxa"/>
            <w:vAlign w:val="bottom"/>
          </w:tcPr>
          <w:p w14:paraId="32139F35" w14:textId="77777777"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REVISE</w:t>
            </w:r>
          </w:p>
          <w:p w14:paraId="0EDF3779" w14:textId="4A99B33E"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Incorp</w:t>
            </w:r>
            <w:r w:rsidR="00FD2727">
              <w:rPr>
                <w:rFonts w:eastAsia="Times New Roman"/>
                <w:sz w:val="22"/>
              </w:rPr>
              <w:t>o</w:t>
            </w:r>
            <w:r>
              <w:rPr>
                <w:rFonts w:eastAsia="Times New Roman"/>
                <w:sz w:val="22"/>
              </w:rPr>
              <w:t>rate text for CID 107 in this document.</w:t>
            </w:r>
          </w:p>
          <w:p w14:paraId="209A4E9A" w14:textId="6C8D7747" w:rsidR="0009188B" w:rsidRDefault="0009188B" w:rsidP="00AC6D8E">
            <w:pPr>
              <w:pStyle w:val="Bulleted"/>
              <w:tabs>
                <w:tab w:val="clear" w:pos="360"/>
                <w:tab w:val="left" w:pos="1540"/>
                <w:tab w:val="left" w:pos="2160"/>
              </w:tabs>
              <w:suppressAutoHyphens/>
              <w:spacing w:line="240" w:lineRule="auto"/>
              <w:ind w:left="0" w:firstLine="0"/>
              <w:rPr>
                <w:rFonts w:eastAsia="Times New Roman"/>
                <w:sz w:val="22"/>
              </w:rPr>
            </w:pPr>
            <w:r w:rsidRPr="0009188B">
              <w:rPr>
                <w:rFonts w:eastAsia="Times New Roman"/>
                <w:sz w:val="22"/>
                <w:highlight w:val="yellow"/>
              </w:rPr>
              <w:t>Check text style against 1316r14</w:t>
            </w:r>
          </w:p>
          <w:p w14:paraId="734C45C3" w14:textId="77777777"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p>
          <w:p w14:paraId="0145DE91" w14:textId="527DD589" w:rsidR="00AC6D8E" w:rsidRDefault="00FD2727" w:rsidP="00AC6D8E">
            <w:pPr>
              <w:pStyle w:val="Bulleted"/>
              <w:tabs>
                <w:tab w:val="clear" w:pos="360"/>
                <w:tab w:val="left" w:pos="1540"/>
                <w:tab w:val="left" w:pos="2160"/>
              </w:tabs>
              <w:suppressAutoHyphens/>
              <w:spacing w:line="240" w:lineRule="auto"/>
              <w:ind w:left="0" w:firstLine="0"/>
              <w:rPr>
                <w:rFonts w:eastAsia="Times New Roman"/>
                <w:sz w:val="22"/>
              </w:rPr>
            </w:pPr>
            <w:r w:rsidRPr="00D24918">
              <w:rPr>
                <w:rFonts w:eastAsia="Times New Roman"/>
                <w:sz w:val="22"/>
                <w:highlight w:val="yellow"/>
              </w:rPr>
              <w:t>(</w:t>
            </w:r>
            <w:r w:rsidR="000966FB" w:rsidRPr="00D24918">
              <w:rPr>
                <w:rFonts w:eastAsia="Times New Roman"/>
                <w:sz w:val="22"/>
                <w:highlight w:val="yellow"/>
              </w:rPr>
              <w:t>See end o</w:t>
            </w:r>
            <w:r w:rsidR="00774922" w:rsidRPr="00D24918">
              <w:rPr>
                <w:rFonts w:eastAsia="Times New Roman"/>
                <w:sz w:val="22"/>
                <w:highlight w:val="yellow"/>
              </w:rPr>
              <w:t>f</w:t>
            </w:r>
            <w:r w:rsidR="000966FB" w:rsidRPr="00D24918">
              <w:rPr>
                <w:rFonts w:eastAsia="Times New Roman"/>
                <w:sz w:val="22"/>
                <w:highlight w:val="yellow"/>
              </w:rPr>
              <w:t xml:space="preserve"> this document</w:t>
            </w:r>
            <w:r w:rsidRPr="00D24918">
              <w:rPr>
                <w:rFonts w:eastAsia="Times New Roman"/>
                <w:sz w:val="22"/>
                <w:highlight w:val="yellow"/>
              </w:rPr>
              <w:t>)</w:t>
            </w:r>
            <w:r w:rsidR="000966FB" w:rsidRPr="00D24918">
              <w:rPr>
                <w:rFonts w:eastAsia="Times New Roman"/>
                <w:sz w:val="22"/>
                <w:highlight w:val="yellow"/>
              </w:rPr>
              <w:t>.</w:t>
            </w:r>
          </w:p>
        </w:tc>
      </w:tr>
      <w:tr w:rsidR="00AC6D8E" w14:paraId="3912A5F3" w14:textId="70780FCE" w:rsidTr="0068400C">
        <w:tc>
          <w:tcPr>
            <w:tcW w:w="620" w:type="dxa"/>
          </w:tcPr>
          <w:p w14:paraId="5AFE0FF0" w14:textId="159D3E7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129</w:t>
            </w:r>
          </w:p>
        </w:tc>
        <w:tc>
          <w:tcPr>
            <w:tcW w:w="1158" w:type="dxa"/>
            <w:vAlign w:val="bottom"/>
          </w:tcPr>
          <w:p w14:paraId="5FB64839" w14:textId="566DA14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33DC23C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2557" w:type="dxa"/>
            <w:vAlign w:val="bottom"/>
          </w:tcPr>
          <w:p w14:paraId="0FC94B40" w14:textId="3279BCE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ANQP information is exchanged using elements and not frames. I think reference to GAS would be better than ANQP. There's also a missing article.</w:t>
            </w:r>
          </w:p>
        </w:tc>
        <w:tc>
          <w:tcPr>
            <w:tcW w:w="2223" w:type="dxa"/>
            <w:vAlign w:val="bottom"/>
          </w:tcPr>
          <w:p w14:paraId="3858932B" w14:textId="6E0B383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"e.g., ANQP frame" to "e.g., a GAS frame"</w:t>
            </w:r>
          </w:p>
        </w:tc>
        <w:tc>
          <w:tcPr>
            <w:tcW w:w="2902" w:type="dxa"/>
            <w:vAlign w:val="bottom"/>
          </w:tcPr>
          <w:p w14:paraId="49033557" w14:textId="3C12C56A"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sidRPr="007E2E42">
              <w:rPr>
                <w:rFonts w:eastAsia="Times New Roman"/>
                <w:sz w:val="22"/>
                <w:highlight w:val="green"/>
              </w:rPr>
              <w:t>ACCEPT</w:t>
            </w:r>
          </w:p>
        </w:tc>
      </w:tr>
      <w:tr w:rsidR="00AC6D8E" w14:paraId="52B165DD" w14:textId="1B223861" w:rsidTr="004756A2">
        <w:tc>
          <w:tcPr>
            <w:tcW w:w="620" w:type="dxa"/>
          </w:tcPr>
          <w:p w14:paraId="1B752024" w14:textId="721704A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192</w:t>
            </w:r>
          </w:p>
        </w:tc>
        <w:tc>
          <w:tcPr>
            <w:tcW w:w="1158" w:type="dxa"/>
            <w:vAlign w:val="bottom"/>
          </w:tcPr>
          <w:p w14:paraId="775EB5C7" w14:textId="01F7E3C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770960C" w14:textId="2099295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0538FC7E" w14:textId="63B9330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"during the RSN association" -- RSN is implicit.  Also "during" is not clear</w:t>
            </w:r>
          </w:p>
        </w:tc>
        <w:tc>
          <w:tcPr>
            <w:tcW w:w="2223" w:type="dxa"/>
            <w:vAlign w:val="bottom"/>
          </w:tcPr>
          <w:p w14:paraId="763B0EBD" w14:textId="0D62DF1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"at association"</w:t>
            </w:r>
          </w:p>
        </w:tc>
        <w:tc>
          <w:tcPr>
            <w:tcW w:w="2902" w:type="dxa"/>
            <w:vAlign w:val="bottom"/>
          </w:tcPr>
          <w:p w14:paraId="21612688" w14:textId="0E1888EE"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sidRPr="0013517B">
              <w:rPr>
                <w:rFonts w:eastAsia="Times New Roman"/>
                <w:sz w:val="22"/>
                <w:highlight w:val="green"/>
              </w:rPr>
              <w:t>REVISE</w:t>
            </w:r>
          </w:p>
          <w:p w14:paraId="4D303165" w14:textId="04FBC7C0"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Change to “during association”</w:t>
            </w:r>
          </w:p>
          <w:p w14:paraId="29CFEF22"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426BC3C9"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0AD998B0" w14:textId="3A51B56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p>
        </w:tc>
      </w:tr>
      <w:tr w:rsidR="00AC6D8E" w14:paraId="7A4B2DCA" w14:textId="77777777" w:rsidTr="00850BF1">
        <w:tc>
          <w:tcPr>
            <w:tcW w:w="620" w:type="dxa"/>
          </w:tcPr>
          <w:p w14:paraId="71A47832" w14:textId="71FCCCF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195</w:t>
            </w:r>
          </w:p>
        </w:tc>
        <w:tc>
          <w:tcPr>
            <w:tcW w:w="1158" w:type="dxa"/>
            <w:vAlign w:val="bottom"/>
          </w:tcPr>
          <w:p w14:paraId="4DA415FE" w14:textId="3F6B090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AEC869E" w14:textId="7782127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4EF530F7" w14:textId="6A6EED2D"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"an identifier for use with that AP/ESS" -- well, which is it -- does it have </w:t>
            </w:r>
            <w:r>
              <w:rPr>
                <w:rFonts w:ascii="Calibri" w:hAnsi="Calibri" w:cs="Calibri"/>
                <w:sz w:val="22"/>
                <w:szCs w:val="22"/>
              </w:rPr>
              <w:lastRenderedPageBreak/>
              <w:t>ESS scope or just AP scope?</w:t>
            </w:r>
          </w:p>
        </w:tc>
        <w:tc>
          <w:tcPr>
            <w:tcW w:w="2223" w:type="dxa"/>
            <w:vAlign w:val="bottom"/>
          </w:tcPr>
          <w:p w14:paraId="2F645E34" w14:textId="249C5B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vAlign w:val="bottom"/>
          </w:tcPr>
          <w:p w14:paraId="0A86E6AC" w14:textId="77777777" w:rsidR="00AC6D8E" w:rsidRPr="00774922" w:rsidRDefault="00825E09" w:rsidP="00AC6D8E">
            <w:pPr>
              <w:rPr>
                <w:rFonts w:ascii="Calibri" w:hAnsi="Calibri" w:cs="Calibri"/>
                <w:color w:val="000000"/>
                <w:sz w:val="24"/>
                <w:szCs w:val="24"/>
              </w:rPr>
            </w:pPr>
            <w:r w:rsidRPr="00601628">
              <w:rPr>
                <w:rFonts w:ascii="Calibri" w:hAnsi="Calibri" w:cs="Calibri"/>
                <w:color w:val="000000"/>
                <w:sz w:val="24"/>
                <w:szCs w:val="24"/>
                <w:highlight w:val="yellow"/>
              </w:rPr>
              <w:t>REVISE</w:t>
            </w:r>
          </w:p>
          <w:p w14:paraId="6B34A5F3" w14:textId="7DC2E2C8" w:rsidR="00825E09" w:rsidRDefault="00825E09" w:rsidP="00AC6D8E">
            <w:pPr>
              <w:rPr>
                <w:rFonts w:ascii="Calibri" w:hAnsi="Calibri" w:cs="Calibri"/>
                <w:color w:val="000000"/>
                <w:szCs w:val="22"/>
              </w:rPr>
            </w:pPr>
            <w:r>
              <w:rPr>
                <w:rFonts w:ascii="Calibri" w:hAnsi="Calibri" w:cs="Calibri"/>
                <w:color w:val="000000"/>
                <w:szCs w:val="22"/>
              </w:rPr>
              <w:t>Incorporat</w:t>
            </w:r>
            <w:r w:rsidR="005F1457">
              <w:rPr>
                <w:rFonts w:ascii="Calibri" w:hAnsi="Calibri" w:cs="Calibri"/>
                <w:color w:val="000000"/>
                <w:szCs w:val="22"/>
              </w:rPr>
              <w:t>e</w:t>
            </w:r>
            <w:r>
              <w:rPr>
                <w:rFonts w:ascii="Calibri" w:hAnsi="Calibri" w:cs="Calibri"/>
                <w:color w:val="000000"/>
                <w:szCs w:val="22"/>
              </w:rPr>
              <w:t xml:space="preserve"> the text for CID 195 in this document.</w:t>
            </w:r>
          </w:p>
          <w:p w14:paraId="6B63DCB2" w14:textId="77777777" w:rsidR="00825E09" w:rsidRDefault="00825E09" w:rsidP="00AC6D8E">
            <w:pPr>
              <w:rPr>
                <w:rFonts w:ascii="Calibri" w:hAnsi="Calibri" w:cs="Calibri"/>
                <w:color w:val="000000"/>
                <w:szCs w:val="22"/>
              </w:rPr>
            </w:pPr>
            <w:r>
              <w:rPr>
                <w:rFonts w:ascii="Calibri" w:hAnsi="Calibri" w:cs="Calibri"/>
                <w:color w:val="000000"/>
                <w:szCs w:val="22"/>
              </w:rPr>
              <w:lastRenderedPageBreak/>
              <w:t>(see end of document)</w:t>
            </w:r>
          </w:p>
          <w:p w14:paraId="090AB194" w14:textId="28308E4A" w:rsidR="00601628" w:rsidRDefault="00601628" w:rsidP="00AC6D8E">
            <w:pPr>
              <w:rPr>
                <w:rFonts w:ascii="Calibri" w:hAnsi="Calibri" w:cs="Calibri"/>
                <w:color w:val="000000"/>
                <w:szCs w:val="22"/>
              </w:rPr>
            </w:pPr>
            <w:r>
              <w:rPr>
                <w:rFonts w:ascii="Calibri" w:hAnsi="Calibri" w:cs="Calibri"/>
                <w:color w:val="000000"/>
                <w:szCs w:val="22"/>
              </w:rPr>
              <w:t>Shorter sentence seems to be preferred</w:t>
            </w:r>
          </w:p>
        </w:tc>
      </w:tr>
      <w:tr w:rsidR="00AC6D8E" w14:paraId="7B8CBAB3" w14:textId="77777777" w:rsidTr="00377F48">
        <w:tc>
          <w:tcPr>
            <w:tcW w:w="620" w:type="dxa"/>
          </w:tcPr>
          <w:p w14:paraId="47AA7DBA" w14:textId="3EF0E9F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200</w:t>
            </w:r>
          </w:p>
        </w:tc>
        <w:tc>
          <w:tcPr>
            <w:tcW w:w="1158" w:type="dxa"/>
            <w:vAlign w:val="bottom"/>
          </w:tcPr>
          <w:p w14:paraId="72A61C43" w14:textId="3071A015"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1A25270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68762B47" w14:textId="0CA77543"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"direct or broadcast probing" -- these terms are not defined</w:t>
            </w:r>
          </w:p>
        </w:tc>
        <w:tc>
          <w:tcPr>
            <w:tcW w:w="2223" w:type="dxa"/>
            <w:vAlign w:val="bottom"/>
          </w:tcPr>
          <w:p w14:paraId="18673F07" w14:textId="2D22379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"active scanning"</w:t>
            </w:r>
          </w:p>
        </w:tc>
        <w:tc>
          <w:tcPr>
            <w:tcW w:w="2902" w:type="dxa"/>
          </w:tcPr>
          <w:p w14:paraId="163AED45" w14:textId="7F46E12E" w:rsidR="00825E09" w:rsidRDefault="00825E09" w:rsidP="00825E09">
            <w:pPr>
              <w:rPr>
                <w:rFonts w:eastAsia="TimesNewRoman"/>
                <w:szCs w:val="22"/>
                <w:lang w:val="en-US" w:eastAsia="ja-JP"/>
              </w:rPr>
            </w:pPr>
            <w:r w:rsidRPr="00601628">
              <w:rPr>
                <w:color w:val="000000"/>
                <w:sz w:val="24"/>
                <w:szCs w:val="24"/>
                <w:highlight w:val="green"/>
              </w:rPr>
              <w:t>ACCEPT</w:t>
            </w:r>
          </w:p>
          <w:p w14:paraId="154E6531" w14:textId="5FCA754F" w:rsidR="00825E09" w:rsidRPr="00825E09" w:rsidRDefault="00825E09" w:rsidP="00AC6D8E">
            <w:pPr>
              <w:rPr>
                <w:color w:val="000000"/>
                <w:szCs w:val="22"/>
              </w:rPr>
            </w:pPr>
          </w:p>
        </w:tc>
      </w:tr>
      <w:tr w:rsidR="00AC6D8E" w14:paraId="0EEBB2F7" w14:textId="58C35B4C" w:rsidTr="00377F48">
        <w:tc>
          <w:tcPr>
            <w:tcW w:w="620" w:type="dxa"/>
          </w:tcPr>
          <w:p w14:paraId="7A9DBD34" w14:textId="259926A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201</w:t>
            </w:r>
          </w:p>
        </w:tc>
        <w:tc>
          <w:tcPr>
            <w:tcW w:w="1158" w:type="dxa"/>
            <w:vAlign w:val="bottom"/>
          </w:tcPr>
          <w:p w14:paraId="10705FA4" w14:textId="706DD20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312FB20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2557" w:type="dxa"/>
            <w:vAlign w:val="bottom"/>
          </w:tcPr>
          <w:p w14:paraId="40AC3F4F" w14:textId="0BF5F0F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"within range of the WM" -- the WM covers the entire universe so is necessarily within range</w:t>
            </w:r>
          </w:p>
        </w:tc>
        <w:tc>
          <w:tcPr>
            <w:tcW w:w="2223" w:type="dxa"/>
            <w:vAlign w:val="bottom"/>
          </w:tcPr>
          <w:p w14:paraId="2B058C7F" w14:textId="546C3CA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"within the BSA" or "within range of the AP"</w:t>
            </w:r>
          </w:p>
        </w:tc>
        <w:tc>
          <w:tcPr>
            <w:tcW w:w="2902" w:type="dxa"/>
          </w:tcPr>
          <w:p w14:paraId="5707F602" w14:textId="77777777" w:rsidR="00AC6D8E" w:rsidRDefault="00AC6D8E" w:rsidP="00AC6D8E">
            <w:pPr>
              <w:rPr>
                <w:rFonts w:ascii="Calibri" w:hAnsi="Calibri" w:cs="Calibri"/>
                <w:color w:val="000000"/>
                <w:szCs w:val="22"/>
              </w:rPr>
            </w:pPr>
          </w:p>
          <w:p w14:paraId="01D30F51" w14:textId="77777777" w:rsidR="00AC6D8E" w:rsidRDefault="00825E09" w:rsidP="00AC6D8E">
            <w:pPr>
              <w:rPr>
                <w:rFonts w:eastAsia="Times New Roman"/>
              </w:rPr>
            </w:pPr>
            <w:r w:rsidRPr="00DA6589">
              <w:rPr>
                <w:rFonts w:eastAsia="Times New Roman"/>
                <w:highlight w:val="green"/>
              </w:rPr>
              <w:t>REVISE</w:t>
            </w:r>
          </w:p>
          <w:p w14:paraId="27A195DB" w14:textId="78D33DAF" w:rsidR="00601628" w:rsidRDefault="00231A79" w:rsidP="00AC6D8E">
            <w:pPr>
              <w:rPr>
                <w:rFonts w:eastAsia="Times New Roman"/>
              </w:rPr>
            </w:pPr>
            <w:r>
              <w:rPr>
                <w:rFonts w:eastAsia="Times New Roman"/>
              </w:rPr>
              <w:t xml:space="preserve">Change to </w:t>
            </w:r>
            <w:r w:rsidR="00601628">
              <w:rPr>
                <w:rFonts w:eastAsia="Times New Roman"/>
              </w:rPr>
              <w:t xml:space="preserve"> </w:t>
            </w:r>
          </w:p>
          <w:p w14:paraId="784E7C00" w14:textId="35A2D404" w:rsidR="00DA6589" w:rsidRDefault="00DA6589" w:rsidP="00AC6D8E">
            <w:pPr>
              <w:rPr>
                <w:rFonts w:ascii="Calibri" w:hAnsi="Calibri" w:cs="Calibri"/>
                <w:color w:val="000000"/>
                <w:szCs w:val="22"/>
              </w:rPr>
            </w:pPr>
            <w:r>
              <w:rPr>
                <w:rFonts w:ascii="Calibri" w:hAnsi="Calibri" w:cs="Calibri"/>
                <w:color w:val="000000"/>
                <w:szCs w:val="22"/>
              </w:rPr>
              <w:t>“</w:t>
            </w:r>
            <w:r>
              <w:rPr>
                <w:rFonts w:ascii="Calibri" w:hAnsi="Calibri" w:cs="Calibri"/>
                <w:color w:val="000000"/>
                <w:szCs w:val="22"/>
              </w:rPr>
              <w:t xml:space="preserve">within the </w:t>
            </w:r>
            <w:r>
              <w:rPr>
                <w:rFonts w:ascii="Calibri" w:hAnsi="Calibri" w:cs="Calibri"/>
                <w:color w:val="000000"/>
                <w:szCs w:val="22"/>
              </w:rPr>
              <w:t>extended service area”</w:t>
            </w:r>
          </w:p>
          <w:p w14:paraId="599257C3" w14:textId="6A6D56C7" w:rsidR="00DA6589" w:rsidRDefault="00DA6589" w:rsidP="00AC6D8E">
            <w:pPr>
              <w:rPr>
                <w:rFonts w:eastAsia="Times New Roman"/>
              </w:rPr>
            </w:pPr>
          </w:p>
        </w:tc>
      </w:tr>
      <w:tr w:rsidR="00AC6D8E" w14:paraId="6A07D93B" w14:textId="77777777" w:rsidTr="00377F48">
        <w:tc>
          <w:tcPr>
            <w:tcW w:w="620" w:type="dxa"/>
          </w:tcPr>
          <w:p w14:paraId="45A8235A" w14:textId="3114F2E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203</w:t>
            </w:r>
          </w:p>
        </w:tc>
        <w:tc>
          <w:tcPr>
            <w:tcW w:w="1158" w:type="dxa"/>
            <w:vAlign w:val="bottom"/>
          </w:tcPr>
          <w:p w14:paraId="5E6109F0" w14:textId="3DBAAC1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4BC718A6" w14:textId="14E70904"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2557" w:type="dxa"/>
            <w:vAlign w:val="bottom"/>
          </w:tcPr>
          <w:p w14:paraId="300977B1" w14:textId="199D518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"State 1 and State 2" -- presumably this is referring to the auth/</w:t>
            </w:r>
            <w:proofErr w:type="spellStart"/>
            <w:r>
              <w:rPr>
                <w:rFonts w:ascii="Calibri" w:hAnsi="Calibri" w:cs="Calibri"/>
                <w:sz w:val="22"/>
                <w:szCs w:val="22"/>
              </w:rPr>
              <w:t>assoc</w:t>
            </w:r>
            <w:proofErr w:type="spellEnd"/>
            <w:r>
              <w:rPr>
                <w:rFonts w:ascii="Calibri" w:hAnsi="Calibri" w:cs="Calibri"/>
                <w:sz w:val="22"/>
                <w:szCs w:val="22"/>
              </w:rPr>
              <w:t>/security state, but this is not clear</w:t>
            </w:r>
          </w:p>
        </w:tc>
        <w:tc>
          <w:tcPr>
            <w:tcW w:w="2223" w:type="dxa"/>
            <w:vAlign w:val="bottom"/>
          </w:tcPr>
          <w:p w14:paraId="76417D8A" w14:textId="209387F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w:t>
            </w:r>
            <w:proofErr w:type="spellStart"/>
            <w:r>
              <w:rPr>
                <w:rFonts w:ascii="Calibri" w:hAnsi="Calibri" w:cs="Calibri"/>
                <w:sz w:val="22"/>
                <w:szCs w:val="22"/>
              </w:rPr>
              <w:t>xref</w:t>
            </w:r>
            <w:proofErr w:type="spellEnd"/>
            <w:r>
              <w:rPr>
                <w:rFonts w:ascii="Calibri" w:hAnsi="Calibri" w:cs="Calibri"/>
                <w:sz w:val="22"/>
                <w:szCs w:val="22"/>
              </w:rPr>
              <w:t xml:space="preserve"> to 11.3</w:t>
            </w:r>
          </w:p>
        </w:tc>
        <w:tc>
          <w:tcPr>
            <w:tcW w:w="2902" w:type="dxa"/>
          </w:tcPr>
          <w:p w14:paraId="362D632C" w14:textId="77777777" w:rsidR="00AC6D8E" w:rsidRDefault="000966FB" w:rsidP="00AC6D8E">
            <w:pPr>
              <w:rPr>
                <w:rFonts w:ascii="Calibri" w:hAnsi="Calibri" w:cs="Calibri"/>
                <w:color w:val="000000"/>
                <w:szCs w:val="22"/>
              </w:rPr>
            </w:pPr>
            <w:r w:rsidRPr="00DA6589">
              <w:rPr>
                <w:rFonts w:ascii="Calibri" w:hAnsi="Calibri" w:cs="Calibri"/>
                <w:color w:val="000000"/>
                <w:szCs w:val="22"/>
                <w:highlight w:val="green"/>
              </w:rPr>
              <w:t>REVISE</w:t>
            </w:r>
          </w:p>
          <w:p w14:paraId="20BD1860" w14:textId="77777777" w:rsidR="000966FB" w:rsidRDefault="000966FB" w:rsidP="00AC6D8E">
            <w:pPr>
              <w:rPr>
                <w:rFonts w:ascii="Calibri" w:hAnsi="Calibri" w:cs="Calibri"/>
                <w:color w:val="000000"/>
                <w:szCs w:val="22"/>
              </w:rPr>
            </w:pPr>
            <w:r>
              <w:rPr>
                <w:rFonts w:ascii="Calibri" w:hAnsi="Calibri" w:cs="Calibri"/>
                <w:color w:val="000000"/>
                <w:szCs w:val="22"/>
              </w:rPr>
              <w:t>After “In State 1 and State 2” Add “ (see 11.3.1 State Variables)”</w:t>
            </w:r>
          </w:p>
          <w:p w14:paraId="33B7FE16" w14:textId="77777777" w:rsidR="000966FB" w:rsidRDefault="000966FB" w:rsidP="00AC6D8E">
            <w:pPr>
              <w:rPr>
                <w:rFonts w:ascii="Calibri" w:hAnsi="Calibri" w:cs="Calibri"/>
                <w:color w:val="000000"/>
                <w:szCs w:val="22"/>
              </w:rPr>
            </w:pPr>
          </w:p>
          <w:p w14:paraId="1BE98E61" w14:textId="3AF3C064" w:rsidR="000966FB" w:rsidRDefault="000966FB" w:rsidP="00AC6D8E">
            <w:pPr>
              <w:rPr>
                <w:rFonts w:ascii="Calibri" w:hAnsi="Calibri" w:cs="Calibri"/>
                <w:color w:val="000000"/>
                <w:szCs w:val="22"/>
              </w:rPr>
            </w:pPr>
            <w:r>
              <w:rPr>
                <w:rFonts w:ascii="Calibri" w:hAnsi="Calibri" w:cs="Calibri"/>
                <w:color w:val="000000"/>
                <w:szCs w:val="22"/>
              </w:rPr>
              <w:t xml:space="preserve">Note: CID 28 changed the text of this Note, but this </w:t>
            </w:r>
            <w:r w:rsidR="00774922">
              <w:rPr>
                <w:rFonts w:ascii="Calibri" w:hAnsi="Calibri" w:cs="Calibri"/>
                <w:color w:val="000000"/>
                <w:szCs w:val="22"/>
              </w:rPr>
              <w:t xml:space="preserve">intro </w:t>
            </w:r>
            <w:r>
              <w:rPr>
                <w:rFonts w:ascii="Calibri" w:hAnsi="Calibri" w:cs="Calibri"/>
                <w:color w:val="000000"/>
                <w:szCs w:val="22"/>
              </w:rPr>
              <w:t>is untouched.</w:t>
            </w:r>
          </w:p>
        </w:tc>
      </w:tr>
      <w:tr w:rsidR="00AC6D8E" w14:paraId="2096BB9F" w14:textId="77777777" w:rsidTr="00377F48">
        <w:tc>
          <w:tcPr>
            <w:tcW w:w="620" w:type="dxa"/>
          </w:tcPr>
          <w:p w14:paraId="12C67BB6" w14:textId="0BABB8B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260</w:t>
            </w:r>
          </w:p>
        </w:tc>
        <w:tc>
          <w:tcPr>
            <w:tcW w:w="1158" w:type="dxa"/>
            <w:vAlign w:val="bottom"/>
          </w:tcPr>
          <w:p w14:paraId="6384AF69" w14:textId="34C7DC07"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44A351E" w14:textId="1E60C0D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22</w:t>
            </w:r>
          </w:p>
        </w:tc>
        <w:tc>
          <w:tcPr>
            <w:tcW w:w="2557" w:type="dxa"/>
            <w:vAlign w:val="bottom"/>
          </w:tcPr>
          <w:p w14:paraId="5DE4C844" w14:textId="36CC54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"returning non-AP STA" is not defined or explained.</w:t>
            </w:r>
          </w:p>
        </w:tc>
        <w:tc>
          <w:tcPr>
            <w:tcW w:w="2223" w:type="dxa"/>
            <w:vAlign w:val="bottom"/>
          </w:tcPr>
          <w:p w14:paraId="2CE3C906" w14:textId="06E5F8F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"returning".</w:t>
            </w:r>
          </w:p>
        </w:tc>
        <w:tc>
          <w:tcPr>
            <w:tcW w:w="2902" w:type="dxa"/>
          </w:tcPr>
          <w:p w14:paraId="241B4D26" w14:textId="457F0655" w:rsidR="00AC6D8E" w:rsidRPr="00774922" w:rsidRDefault="00774922" w:rsidP="00AC6D8E">
            <w:pPr>
              <w:rPr>
                <w:rFonts w:ascii="Calibri" w:hAnsi="Calibri" w:cs="Calibri"/>
                <w:color w:val="000000"/>
                <w:sz w:val="24"/>
                <w:szCs w:val="24"/>
              </w:rPr>
            </w:pPr>
            <w:r w:rsidRPr="00DA6589">
              <w:rPr>
                <w:rFonts w:ascii="Calibri" w:hAnsi="Calibri" w:cs="Calibri"/>
                <w:color w:val="000000"/>
                <w:sz w:val="24"/>
                <w:szCs w:val="24"/>
                <w:highlight w:val="green"/>
              </w:rPr>
              <w:t>ACCEPT</w:t>
            </w:r>
          </w:p>
          <w:p w14:paraId="466B61E0" w14:textId="77777777" w:rsidR="00AC6D8E" w:rsidRDefault="00AC6D8E" w:rsidP="00DA6589">
            <w:pPr>
              <w:rPr>
                <w:rFonts w:ascii="Calibri" w:hAnsi="Calibri" w:cs="Calibri"/>
                <w:color w:val="000000"/>
                <w:szCs w:val="22"/>
              </w:rPr>
            </w:pPr>
          </w:p>
        </w:tc>
      </w:tr>
      <w:tr w:rsidR="00AC6D8E" w14:paraId="13E2153E" w14:textId="3A8EE077" w:rsidTr="00377F48">
        <w:tc>
          <w:tcPr>
            <w:tcW w:w="620" w:type="dxa"/>
          </w:tcPr>
          <w:p w14:paraId="346ACB78" w14:textId="53DD88C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266</w:t>
            </w:r>
          </w:p>
        </w:tc>
        <w:tc>
          <w:tcPr>
            <w:tcW w:w="1158" w:type="dxa"/>
            <w:vAlign w:val="bottom"/>
          </w:tcPr>
          <w:p w14:paraId="000C80A8" w14:textId="3BFD218A" w:rsidR="00AC6D8E" w:rsidRPr="00C749BA" w:rsidRDefault="00AC6D8E" w:rsidP="00AC6D8E">
            <w:pPr>
              <w:pStyle w:val="Bulleted"/>
              <w:tabs>
                <w:tab w:val="clear" w:pos="360"/>
                <w:tab w:val="left" w:pos="1540"/>
                <w:tab w:val="left" w:pos="2160"/>
              </w:tabs>
              <w:suppressAutoHyphens/>
              <w:spacing w:line="240" w:lineRule="auto"/>
              <w:ind w:left="0" w:firstLine="0"/>
              <w:rPr>
                <w:rFonts w:eastAsia="Times New Roman"/>
                <w:strike/>
                <w:sz w:val="22"/>
              </w:rPr>
            </w:pPr>
            <w:r w:rsidRPr="00C749BA">
              <w:rPr>
                <w:rFonts w:ascii="Calibri" w:hAnsi="Calibri" w:cs="Calibri"/>
                <w:strike/>
                <w:color w:val="FF0000"/>
                <w:sz w:val="22"/>
                <w:szCs w:val="22"/>
              </w:rPr>
              <w:t>42</w:t>
            </w:r>
            <w:r w:rsidR="00C749BA" w:rsidRPr="00C749BA">
              <w:rPr>
                <w:rFonts w:ascii="Calibri" w:hAnsi="Calibri" w:cs="Calibri"/>
                <w:color w:val="FF0000"/>
                <w:sz w:val="22"/>
                <w:szCs w:val="22"/>
              </w:rPr>
              <w:t>33</w:t>
            </w:r>
          </w:p>
        </w:tc>
        <w:tc>
          <w:tcPr>
            <w:tcW w:w="620" w:type="dxa"/>
            <w:vAlign w:val="bottom"/>
          </w:tcPr>
          <w:p w14:paraId="7AB05A23" w14:textId="6540F1B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5A7ED7E4" w14:textId="2F9395C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Note 3 call out "to ensure good STA privacy".  Not sure what "good STA privacy" implies.  Should consider changing "good" to "optimal"</w:t>
            </w:r>
          </w:p>
        </w:tc>
        <w:tc>
          <w:tcPr>
            <w:tcW w:w="2223" w:type="dxa"/>
            <w:vAlign w:val="bottom"/>
          </w:tcPr>
          <w:p w14:paraId="4F2D31F3" w14:textId="70200BB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commented</w:t>
            </w:r>
          </w:p>
        </w:tc>
        <w:tc>
          <w:tcPr>
            <w:tcW w:w="2902" w:type="dxa"/>
          </w:tcPr>
          <w:p w14:paraId="122B1CAE"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34BEA044" w14:textId="0DF7149D"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sidRPr="00BA6027">
              <w:rPr>
                <w:rFonts w:eastAsia="Times New Roman"/>
                <w:sz w:val="22"/>
                <w:highlight w:val="green"/>
              </w:rPr>
              <w:t>REVISE</w:t>
            </w:r>
          </w:p>
          <w:p w14:paraId="55605797" w14:textId="7777777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Replace </w:t>
            </w:r>
          </w:p>
          <w:p w14:paraId="3EC82D3F" w14:textId="4E39B17F" w:rsidR="00774922"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ensure good STA privacy” </w:t>
            </w:r>
          </w:p>
          <w:p w14:paraId="01749E49" w14:textId="687B688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With</w:t>
            </w:r>
          </w:p>
          <w:p w14:paraId="03B40AEC" w14:textId="46001DA5"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“To enhance STA privacy”</w:t>
            </w:r>
          </w:p>
          <w:p w14:paraId="610BE33F"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6854271B" w14:textId="06358F03" w:rsidR="00C749BA" w:rsidRDefault="00C749BA" w:rsidP="00AC6D8E">
            <w:pPr>
              <w:pStyle w:val="Bulleted"/>
              <w:tabs>
                <w:tab w:val="clear" w:pos="360"/>
                <w:tab w:val="left" w:pos="1540"/>
                <w:tab w:val="left" w:pos="2160"/>
              </w:tabs>
              <w:suppressAutoHyphens/>
              <w:spacing w:line="240" w:lineRule="auto"/>
              <w:ind w:left="0" w:firstLine="0"/>
              <w:rPr>
                <w:rFonts w:eastAsia="TimesNewRoman"/>
                <w:color w:val="auto"/>
                <w:lang w:eastAsia="ja-JP"/>
              </w:rPr>
            </w:pPr>
          </w:p>
          <w:p w14:paraId="1ABC2D16" w14:textId="77777777" w:rsidR="00C749BA" w:rsidRDefault="00C749BA" w:rsidP="00AC6D8E">
            <w:pPr>
              <w:pStyle w:val="Bulleted"/>
              <w:tabs>
                <w:tab w:val="clear" w:pos="360"/>
                <w:tab w:val="left" w:pos="1540"/>
                <w:tab w:val="left" w:pos="2160"/>
              </w:tabs>
              <w:suppressAutoHyphens/>
              <w:spacing w:line="240" w:lineRule="auto"/>
              <w:ind w:left="0" w:firstLine="0"/>
              <w:rPr>
                <w:rFonts w:eastAsia="TimesNewRoman"/>
              </w:rPr>
            </w:pPr>
          </w:p>
          <w:p w14:paraId="1646064F" w14:textId="7FA60170" w:rsidR="00C749BA" w:rsidRDefault="00C749BA" w:rsidP="00774922">
            <w:pPr>
              <w:pStyle w:val="Bulleted"/>
              <w:tabs>
                <w:tab w:val="clear" w:pos="360"/>
                <w:tab w:val="left" w:pos="1540"/>
                <w:tab w:val="left" w:pos="2160"/>
              </w:tabs>
              <w:suppressAutoHyphens/>
              <w:spacing w:line="240" w:lineRule="auto"/>
              <w:ind w:left="0" w:firstLine="0"/>
              <w:rPr>
                <w:rFonts w:eastAsia="Times New Roman"/>
                <w:sz w:val="22"/>
              </w:rPr>
            </w:pPr>
          </w:p>
        </w:tc>
      </w:tr>
    </w:tbl>
    <w:p w14:paraId="417D67F2" w14:textId="1D92D1C7" w:rsidR="00DD47CE"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p w14:paraId="24868C3F" w14:textId="77777777" w:rsidR="00DD47CE" w:rsidRDefault="00DD47CE">
      <w:pPr>
        <w:rPr>
          <w:rFonts w:eastAsia="TimesNewRoman"/>
          <w:sz w:val="40"/>
          <w:szCs w:val="40"/>
          <w:lang w:val="en-US" w:eastAsia="ja-JP"/>
        </w:rPr>
      </w:pPr>
      <w:r>
        <w:rPr>
          <w:rFonts w:eastAsia="TimesNewRoman"/>
          <w:sz w:val="40"/>
          <w:szCs w:val="40"/>
          <w:lang w:val="en-US" w:eastAsia="ja-JP"/>
        </w:rPr>
        <w:br w:type="page"/>
      </w:r>
    </w:p>
    <w:p w14:paraId="23DE2DE1" w14:textId="7EE672AB" w:rsidR="00D21E10" w:rsidRDefault="00DD47CE" w:rsidP="00C66198">
      <w:pPr>
        <w:autoSpaceDE w:val="0"/>
        <w:autoSpaceDN w:val="0"/>
        <w:adjustRightInd w:val="0"/>
        <w:rPr>
          <w:rFonts w:eastAsia="TimesNewRoman"/>
          <w:sz w:val="24"/>
          <w:szCs w:val="24"/>
          <w:lang w:val="en-US" w:eastAsia="ja-JP"/>
        </w:rPr>
      </w:pPr>
      <w:r w:rsidRPr="00DD47CE">
        <w:rPr>
          <w:rFonts w:eastAsia="TimesNewRoman"/>
          <w:sz w:val="24"/>
          <w:szCs w:val="24"/>
          <w:lang w:val="en-US" w:eastAsia="ja-JP"/>
        </w:rPr>
        <w:lastRenderedPageBreak/>
        <w:t>CID 107</w:t>
      </w:r>
    </w:p>
    <w:p w14:paraId="709B7622" w14:textId="77777777" w:rsidR="000966FB" w:rsidRDefault="000966FB" w:rsidP="00C66198">
      <w:pPr>
        <w:autoSpaceDE w:val="0"/>
        <w:autoSpaceDN w:val="0"/>
        <w:adjustRightInd w:val="0"/>
        <w:rPr>
          <w:rFonts w:eastAsia="TimesNewRoman"/>
          <w:sz w:val="24"/>
          <w:szCs w:val="24"/>
          <w:lang w:val="en-US" w:eastAsia="ja-JP"/>
        </w:rPr>
      </w:pPr>
    </w:p>
    <w:p w14:paraId="56C0C1F4" w14:textId="7A19C4FB" w:rsidR="000966FB" w:rsidRPr="00DD47CE" w:rsidRDefault="000966F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Propose REVISE</w:t>
      </w:r>
    </w:p>
    <w:p w14:paraId="19C2773B" w14:textId="2C988F57"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At 32.39, r</w:t>
      </w:r>
      <w:r w:rsidR="00DD47CE">
        <w:rPr>
          <w:rFonts w:ascii="Calibri" w:hAnsi="Calibri" w:cs="Calibri"/>
          <w:sz w:val="22"/>
          <w:szCs w:val="22"/>
        </w:rPr>
        <w:t xml:space="preserve">eplace the cited paragraph </w:t>
      </w:r>
      <w:r w:rsidR="00DD47CE">
        <w:rPr>
          <w:rFonts w:ascii="Calibri" w:hAnsi="Calibri" w:cs="Calibri"/>
          <w:sz w:val="22"/>
          <w:szCs w:val="22"/>
        </w:rPr>
        <w:br/>
      </w:r>
    </w:p>
    <w:p w14:paraId="744860F4" w14:textId="23CBE6C8" w:rsidR="00DD47CE" w:rsidRPr="00DD47CE" w:rsidRDefault="000966FB" w:rsidP="00DD47CE">
      <w:pPr>
        <w:autoSpaceDE w:val="0"/>
        <w:autoSpaceDN w:val="0"/>
        <w:adjustRightInd w:val="0"/>
        <w:rPr>
          <w:rFonts w:eastAsia="TimesNewRoman"/>
          <w:sz w:val="32"/>
          <w:szCs w:val="32"/>
          <w:lang w:val="en-US" w:eastAsia="ja-JP"/>
        </w:rPr>
      </w:pPr>
      <w:r>
        <w:rPr>
          <w:rFonts w:eastAsia="TimesNewRoman"/>
          <w:sz w:val="24"/>
          <w:szCs w:val="24"/>
          <w:lang w:val="en-US" w:eastAsia="ja-JP"/>
        </w:rPr>
        <w:t>“</w:t>
      </w:r>
      <w:r w:rsidR="00DD47CE" w:rsidRPr="00DD47CE">
        <w:rPr>
          <w:rFonts w:eastAsia="TimesNewRoman"/>
          <w:sz w:val="24"/>
          <w:szCs w:val="24"/>
          <w:lang w:val="en-US" w:eastAsia="ja-JP"/>
        </w:rPr>
        <w:t>A non-AP STA indicates activation of IRM for a particular ESS by setting the IRM Active field to 1 in the</w:t>
      </w:r>
      <w:r w:rsidR="00DD47CE">
        <w:rPr>
          <w:rFonts w:eastAsia="TimesNewRoman"/>
          <w:sz w:val="24"/>
          <w:szCs w:val="24"/>
          <w:lang w:val="en-US" w:eastAsia="ja-JP"/>
        </w:rPr>
        <w:t xml:space="preserve"> </w:t>
      </w:r>
      <w:r w:rsidR="00DD47CE" w:rsidRPr="00DD47CE">
        <w:rPr>
          <w:rFonts w:eastAsia="TimesNewRoman"/>
          <w:sz w:val="24"/>
          <w:szCs w:val="24"/>
          <w:lang w:val="en-US" w:eastAsia="ja-JP"/>
        </w:rPr>
        <w:t>Extended RSN Capabilities field (see 9.4.2.241 (RSNXE) in (Re)Association Request frames sent to any AP in</w:t>
      </w:r>
      <w:r w:rsidR="00DD47CE">
        <w:rPr>
          <w:rFonts w:eastAsia="TimesNewRoman"/>
          <w:sz w:val="24"/>
          <w:szCs w:val="24"/>
          <w:lang w:val="en-US" w:eastAsia="ja-JP"/>
        </w:rPr>
        <w:t xml:space="preserve"> </w:t>
      </w:r>
      <w:r w:rsidR="00DD47CE" w:rsidRPr="00DD47CE">
        <w:rPr>
          <w:rFonts w:eastAsia="TimesNewRoman"/>
          <w:sz w:val="24"/>
          <w:szCs w:val="24"/>
          <w:lang w:val="en-US" w:eastAsia="ja-JP"/>
        </w:rPr>
        <w:t>the ESS. An AP indicates activation of IRM by setting the IRM Active field to 1 in the Extended RSN</w:t>
      </w:r>
      <w:r w:rsidR="00DD47CE">
        <w:rPr>
          <w:rFonts w:eastAsia="TimesNewRoman"/>
          <w:sz w:val="24"/>
          <w:szCs w:val="24"/>
          <w:lang w:val="en-US" w:eastAsia="ja-JP"/>
        </w:rPr>
        <w:t xml:space="preserve"> </w:t>
      </w:r>
      <w:r w:rsidR="00DD47CE" w:rsidRPr="00DD47CE">
        <w:rPr>
          <w:rFonts w:eastAsia="TimesNewRoman"/>
          <w:sz w:val="24"/>
          <w:szCs w:val="24"/>
          <w:lang w:val="en-US" w:eastAsia="ja-JP"/>
        </w:rPr>
        <w:t>Capabilities field in Beacon, (Re)Association Response, and Probe Response frames. All APs in each ESS</w:t>
      </w:r>
      <w:r w:rsidR="00DD47CE">
        <w:rPr>
          <w:rFonts w:eastAsia="TimesNewRoman"/>
          <w:sz w:val="24"/>
          <w:szCs w:val="24"/>
          <w:lang w:val="en-US" w:eastAsia="ja-JP"/>
        </w:rPr>
        <w:t xml:space="preserve"> </w:t>
      </w:r>
      <w:r w:rsidR="00DD47CE" w:rsidRPr="00DD47CE">
        <w:rPr>
          <w:rFonts w:eastAsia="TimesNewRoman"/>
          <w:sz w:val="24"/>
          <w:szCs w:val="24"/>
          <w:lang w:val="en-US" w:eastAsia="ja-JP"/>
        </w:rPr>
        <w:t>shall set this field to the same value.</w:t>
      </w:r>
      <w:r>
        <w:rPr>
          <w:rFonts w:eastAsia="TimesNewRoman"/>
          <w:sz w:val="24"/>
          <w:szCs w:val="24"/>
          <w:lang w:val="en-US" w:eastAsia="ja-JP"/>
        </w:rPr>
        <w:t>”</w:t>
      </w:r>
    </w:p>
    <w:p w14:paraId="3CD7D87A" w14:textId="77777777"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246BBCF2" w14:textId="63A9820A"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with:</w:t>
      </w:r>
    </w:p>
    <w:p w14:paraId="50D51556" w14:textId="078A3E38"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rPr>
      </w:pPr>
      <w:r w:rsidRPr="00DD47CE">
        <w:rPr>
          <w:rFonts w:ascii="Calibri" w:hAnsi="Calibri" w:cs="Calibri"/>
        </w:rP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r w:rsidR="000966FB">
        <w:rPr>
          <w:rFonts w:ascii="Calibri" w:hAnsi="Calibri" w:cs="Calibri"/>
        </w:rPr>
        <w:t xml:space="preserve"> </w:t>
      </w:r>
      <w:r w:rsidR="000966FB" w:rsidRPr="000966FB">
        <w:rPr>
          <w:rFonts w:eastAsia="TimesNewRoman"/>
          <w:color w:val="FF0000"/>
          <w:lang w:eastAsia="ja-JP"/>
        </w:rPr>
        <w:t>All APs in each ESS shall set th</w:t>
      </w:r>
      <w:r w:rsidR="000966FB">
        <w:rPr>
          <w:rFonts w:eastAsia="TimesNewRoman"/>
          <w:color w:val="FF0000"/>
          <w:lang w:eastAsia="ja-JP"/>
        </w:rPr>
        <w:t>e</w:t>
      </w:r>
      <w:r w:rsidR="000966FB" w:rsidRPr="000966FB">
        <w:rPr>
          <w:rFonts w:eastAsia="TimesNewRoman"/>
          <w:color w:val="FF0000"/>
          <w:lang w:eastAsia="ja-JP"/>
        </w:rPr>
        <w:t>s</w:t>
      </w:r>
      <w:r w:rsidR="000966FB">
        <w:rPr>
          <w:rFonts w:eastAsia="TimesNewRoman"/>
          <w:color w:val="FF0000"/>
          <w:lang w:eastAsia="ja-JP"/>
        </w:rPr>
        <w:t>e</w:t>
      </w:r>
      <w:r w:rsidR="000966FB" w:rsidRPr="000966FB">
        <w:rPr>
          <w:rFonts w:eastAsia="TimesNewRoman"/>
          <w:color w:val="FF0000"/>
          <w:lang w:eastAsia="ja-JP"/>
        </w:rPr>
        <w:t xml:space="preserve"> field</w:t>
      </w:r>
      <w:r w:rsidR="000966FB">
        <w:rPr>
          <w:rFonts w:eastAsia="TimesNewRoman"/>
          <w:color w:val="FF0000"/>
          <w:lang w:eastAsia="ja-JP"/>
        </w:rPr>
        <w:t>s</w:t>
      </w:r>
      <w:r w:rsidR="000966FB" w:rsidRPr="000966FB">
        <w:rPr>
          <w:rFonts w:eastAsia="TimesNewRoman"/>
          <w:color w:val="FF0000"/>
          <w:lang w:eastAsia="ja-JP"/>
        </w:rPr>
        <w:t xml:space="preserve"> to the same value.</w:t>
      </w:r>
      <w:r w:rsidR="000966FB">
        <w:rPr>
          <w:rFonts w:ascii="Calibri" w:hAnsi="Calibri" w:cs="Calibri"/>
        </w:rPr>
        <w:t xml:space="preserve"> </w:t>
      </w:r>
      <w:r w:rsidRPr="00DD47CE">
        <w:rPr>
          <w:rFonts w:ascii="Calibri" w:hAnsi="Calibri" w:cs="Calibri"/>
        </w:rPr>
        <w:t>"</w:t>
      </w:r>
    </w:p>
    <w:p w14:paraId="677A4736" w14:textId="77777777" w:rsidR="00D24918" w:rsidRPr="00D03E52" w:rsidRDefault="00D24918" w:rsidP="00D24918">
      <w:pPr>
        <w:pStyle w:val="Bulleted"/>
        <w:tabs>
          <w:tab w:val="clear" w:pos="360"/>
          <w:tab w:val="left" w:pos="1540"/>
          <w:tab w:val="left" w:pos="2160"/>
        </w:tabs>
        <w:suppressAutoHyphens/>
        <w:spacing w:line="240" w:lineRule="auto"/>
        <w:ind w:left="0" w:firstLine="0"/>
        <w:rPr>
          <w:rFonts w:eastAsia="Times New Roman"/>
          <w:i/>
          <w:iCs/>
          <w:szCs w:val="28"/>
        </w:rPr>
      </w:pPr>
      <w:r w:rsidRPr="00D03E52">
        <w:rPr>
          <w:rFonts w:ascii="Calibri" w:hAnsi="Calibri" w:cs="Calibri"/>
          <w:i/>
          <w:iCs/>
        </w:rPr>
        <w:t>NOTE</w:t>
      </w:r>
      <w:r>
        <w:rPr>
          <w:rFonts w:ascii="Calibri" w:hAnsi="Calibri" w:cs="Calibri"/>
          <w:i/>
          <w:iCs/>
        </w:rPr>
        <w:t>:</w:t>
      </w:r>
      <w:r w:rsidRPr="00D03E52">
        <w:rPr>
          <w:rFonts w:ascii="Calibri" w:hAnsi="Calibri" w:cs="Calibri"/>
          <w:i/>
          <w:iCs/>
        </w:rPr>
        <w:t xml:space="preserve">  Last sentence is subject of CID108</w:t>
      </w:r>
    </w:p>
    <w:p w14:paraId="7CC60FF6" w14:textId="77777777" w:rsidR="00D03E52" w:rsidRDefault="00D03E52" w:rsidP="00DD47CE">
      <w:pPr>
        <w:pStyle w:val="Bulleted"/>
        <w:tabs>
          <w:tab w:val="clear" w:pos="360"/>
          <w:tab w:val="left" w:pos="1540"/>
          <w:tab w:val="left" w:pos="2160"/>
        </w:tabs>
        <w:suppressAutoHyphens/>
        <w:spacing w:line="240" w:lineRule="auto"/>
        <w:ind w:left="0" w:firstLine="0"/>
        <w:rPr>
          <w:rFonts w:ascii="Calibri" w:hAnsi="Calibri" w:cs="Calibri"/>
        </w:rPr>
      </w:pPr>
    </w:p>
    <w:p w14:paraId="3F3D092C" w14:textId="77777777" w:rsidR="00D24918" w:rsidRDefault="007E2E42" w:rsidP="00DD47CE">
      <w:pPr>
        <w:pStyle w:val="Bulleted"/>
        <w:tabs>
          <w:tab w:val="clear" w:pos="360"/>
          <w:tab w:val="left" w:pos="1540"/>
          <w:tab w:val="left" w:pos="2160"/>
        </w:tabs>
        <w:suppressAutoHyphens/>
        <w:spacing w:line="240" w:lineRule="auto"/>
        <w:ind w:left="0" w:firstLine="0"/>
        <w:rPr>
          <w:rFonts w:ascii="Calibri" w:hAnsi="Calibri" w:cs="Calibri"/>
          <w:highlight w:val="yellow"/>
        </w:rPr>
      </w:pPr>
      <w:r>
        <w:rPr>
          <w:rFonts w:ascii="Calibri" w:hAnsi="Calibri" w:cs="Calibri"/>
          <w:highlight w:val="yellow"/>
        </w:rPr>
        <w:t>Note</w:t>
      </w:r>
      <w:r w:rsidR="00D24918">
        <w:rPr>
          <w:rFonts w:ascii="Calibri" w:hAnsi="Calibri" w:cs="Calibri"/>
          <w:highlight w:val="yellow"/>
        </w:rPr>
        <w:t>s</w:t>
      </w:r>
      <w:r>
        <w:rPr>
          <w:rFonts w:ascii="Calibri" w:hAnsi="Calibri" w:cs="Calibri"/>
          <w:highlight w:val="yellow"/>
        </w:rPr>
        <w:t xml:space="preserve">:  </w:t>
      </w:r>
    </w:p>
    <w:p w14:paraId="2B86C7E8" w14:textId="5C72E80C" w:rsidR="007E2E42" w:rsidRDefault="00D24918" w:rsidP="00DD47CE">
      <w:pPr>
        <w:pStyle w:val="Bulleted"/>
        <w:tabs>
          <w:tab w:val="clear" w:pos="360"/>
          <w:tab w:val="left" w:pos="1540"/>
          <w:tab w:val="left" w:pos="2160"/>
        </w:tabs>
        <w:suppressAutoHyphens/>
        <w:spacing w:line="240" w:lineRule="auto"/>
        <w:ind w:left="0" w:firstLine="0"/>
        <w:rPr>
          <w:rFonts w:ascii="Calibri" w:hAnsi="Calibri" w:cs="Calibri"/>
        </w:rPr>
      </w:pPr>
      <w:r>
        <w:rPr>
          <w:rFonts w:ascii="Calibri" w:hAnsi="Calibri" w:cs="Calibri"/>
          <w:highlight w:val="yellow"/>
        </w:rPr>
        <w:t>TG wanted to add text to the effect that o</w:t>
      </w:r>
      <w:r w:rsidR="007E2E42">
        <w:rPr>
          <w:rFonts w:ascii="Calibri" w:hAnsi="Calibri" w:cs="Calibri"/>
          <w:highlight w:val="yellow"/>
        </w:rPr>
        <w:t>nly if AP supports does STA advertise support</w:t>
      </w:r>
      <w:r w:rsidR="0009188B" w:rsidRPr="0009188B">
        <w:rPr>
          <w:rFonts w:ascii="Calibri" w:hAnsi="Calibri" w:cs="Calibri"/>
          <w:highlight w:val="yellow"/>
        </w:rPr>
        <w:t>?</w:t>
      </w:r>
      <w:r w:rsidR="0009188B">
        <w:rPr>
          <w:rFonts w:ascii="Calibri" w:hAnsi="Calibri" w:cs="Calibri"/>
        </w:rPr>
        <w:t xml:space="preserve"> </w:t>
      </w:r>
    </w:p>
    <w:p w14:paraId="04CA59A5" w14:textId="52FF8AF5" w:rsidR="0009188B" w:rsidRDefault="00D24918" w:rsidP="00DD47CE">
      <w:pPr>
        <w:pStyle w:val="Bulleted"/>
        <w:tabs>
          <w:tab w:val="clear" w:pos="360"/>
          <w:tab w:val="left" w:pos="1540"/>
          <w:tab w:val="left" w:pos="2160"/>
        </w:tabs>
        <w:suppressAutoHyphens/>
        <w:spacing w:line="240" w:lineRule="auto"/>
        <w:ind w:left="0" w:firstLine="0"/>
        <w:rPr>
          <w:rFonts w:ascii="Calibri" w:hAnsi="Calibri" w:cs="Calibri"/>
        </w:rPr>
      </w:pPr>
      <w:r>
        <w:rPr>
          <w:rFonts w:ascii="Calibri" w:hAnsi="Calibri" w:cs="Calibri"/>
          <w:highlight w:val="yellow"/>
        </w:rPr>
        <w:t>Possibly m</w:t>
      </w:r>
      <w:r w:rsidR="0009188B" w:rsidRPr="0009188B">
        <w:rPr>
          <w:rFonts w:ascii="Calibri" w:hAnsi="Calibri" w:cs="Calibri"/>
          <w:highlight w:val="yellow"/>
        </w:rPr>
        <w:t>ove last sentence to after first sentence</w:t>
      </w:r>
      <w:r w:rsidR="0009188B" w:rsidRPr="007E2E42">
        <w:rPr>
          <w:rFonts w:ascii="Calibri" w:hAnsi="Calibri" w:cs="Calibri"/>
          <w:highlight w:val="yellow"/>
        </w:rPr>
        <w:t>?</w:t>
      </w:r>
    </w:p>
    <w:p w14:paraId="4299228E" w14:textId="09C6C59F" w:rsidR="00D24918" w:rsidRDefault="00D24918" w:rsidP="00DD47CE">
      <w:pPr>
        <w:pStyle w:val="Bulleted"/>
        <w:tabs>
          <w:tab w:val="clear" w:pos="360"/>
          <w:tab w:val="left" w:pos="1540"/>
          <w:tab w:val="left" w:pos="2160"/>
        </w:tabs>
        <w:suppressAutoHyphens/>
        <w:spacing w:line="240" w:lineRule="auto"/>
        <w:ind w:left="0" w:firstLine="0"/>
        <w:rPr>
          <w:rFonts w:ascii="Calibri" w:hAnsi="Calibri" w:cs="Calibri"/>
        </w:rPr>
      </w:pPr>
      <w:r w:rsidRPr="00D24918">
        <w:rPr>
          <w:rFonts w:ascii="Calibri" w:hAnsi="Calibri" w:cs="Calibri"/>
          <w:highlight w:val="yellow"/>
        </w:rPr>
        <w:t>Check text format against 1316r14.</w:t>
      </w:r>
    </w:p>
    <w:p w14:paraId="23A33CA8" w14:textId="77777777" w:rsidR="00D24918" w:rsidRDefault="00D24918" w:rsidP="00DD47CE">
      <w:pPr>
        <w:pStyle w:val="Bulleted"/>
        <w:tabs>
          <w:tab w:val="clear" w:pos="360"/>
          <w:tab w:val="left" w:pos="1540"/>
          <w:tab w:val="left" w:pos="2160"/>
        </w:tabs>
        <w:suppressAutoHyphens/>
        <w:spacing w:line="240" w:lineRule="auto"/>
        <w:ind w:left="0" w:firstLine="0"/>
        <w:rPr>
          <w:rFonts w:ascii="Calibri" w:hAnsi="Calibri" w:cs="Calibri"/>
        </w:rPr>
      </w:pPr>
    </w:p>
    <w:p w14:paraId="57AFDA35" w14:textId="77777777" w:rsidR="0009188B" w:rsidRDefault="0009188B" w:rsidP="00DD47CE">
      <w:pPr>
        <w:pStyle w:val="Bulleted"/>
        <w:tabs>
          <w:tab w:val="clear" w:pos="360"/>
          <w:tab w:val="left" w:pos="1540"/>
          <w:tab w:val="left" w:pos="2160"/>
        </w:tabs>
        <w:suppressAutoHyphens/>
        <w:spacing w:line="240" w:lineRule="auto"/>
        <w:ind w:left="0" w:firstLine="0"/>
        <w:rPr>
          <w:rFonts w:ascii="Calibri" w:hAnsi="Calibri" w:cs="Calibri"/>
        </w:rPr>
      </w:pPr>
    </w:p>
    <w:p w14:paraId="5B768B5F" w14:textId="77777777" w:rsidR="0009188B" w:rsidRDefault="0009188B" w:rsidP="00DD47CE">
      <w:pPr>
        <w:pStyle w:val="Bulleted"/>
        <w:tabs>
          <w:tab w:val="clear" w:pos="360"/>
          <w:tab w:val="left" w:pos="1540"/>
          <w:tab w:val="left" w:pos="2160"/>
        </w:tabs>
        <w:suppressAutoHyphens/>
        <w:spacing w:line="240" w:lineRule="auto"/>
        <w:ind w:left="0" w:firstLine="0"/>
        <w:rPr>
          <w:rFonts w:ascii="Calibri" w:hAnsi="Calibri" w:cs="Calibri"/>
        </w:rPr>
      </w:pPr>
    </w:p>
    <w:p w14:paraId="05CD118F" w14:textId="77777777" w:rsidR="00DD47CE" w:rsidRDefault="00DD47CE" w:rsidP="00C66198">
      <w:pPr>
        <w:pBdr>
          <w:bottom w:val="single" w:sz="12" w:space="1" w:color="auto"/>
        </w:pBdr>
        <w:autoSpaceDE w:val="0"/>
        <w:autoSpaceDN w:val="0"/>
        <w:adjustRightInd w:val="0"/>
        <w:rPr>
          <w:rFonts w:eastAsia="TimesNewRoman"/>
          <w:sz w:val="28"/>
          <w:szCs w:val="28"/>
          <w:lang w:val="en-US" w:eastAsia="ja-JP"/>
        </w:rPr>
      </w:pPr>
    </w:p>
    <w:p w14:paraId="276EE7AD" w14:textId="77777777" w:rsidR="00231A79" w:rsidRDefault="00231A79" w:rsidP="00C66198">
      <w:pPr>
        <w:autoSpaceDE w:val="0"/>
        <w:autoSpaceDN w:val="0"/>
        <w:adjustRightInd w:val="0"/>
        <w:rPr>
          <w:rFonts w:eastAsia="TimesNewRoman"/>
          <w:sz w:val="28"/>
          <w:szCs w:val="28"/>
          <w:lang w:val="en-US" w:eastAsia="ja-JP"/>
        </w:rPr>
      </w:pPr>
    </w:p>
    <w:p w14:paraId="07097C65" w14:textId="743BD6B4" w:rsidR="00825E09" w:rsidRDefault="00825E09" w:rsidP="00C66198">
      <w:pPr>
        <w:autoSpaceDE w:val="0"/>
        <w:autoSpaceDN w:val="0"/>
        <w:adjustRightInd w:val="0"/>
        <w:rPr>
          <w:rFonts w:eastAsia="TimesNewRoman"/>
          <w:sz w:val="28"/>
          <w:szCs w:val="28"/>
          <w:lang w:val="en-US" w:eastAsia="ja-JP"/>
        </w:rPr>
      </w:pPr>
      <w:r>
        <w:rPr>
          <w:rFonts w:eastAsia="TimesNewRoman"/>
          <w:sz w:val="28"/>
          <w:szCs w:val="28"/>
          <w:lang w:val="en-US" w:eastAsia="ja-JP"/>
        </w:rPr>
        <w:t>CID 195</w:t>
      </w:r>
    </w:p>
    <w:p w14:paraId="2E6BE6FA" w14:textId="7889118B" w:rsidR="00825E09" w:rsidRPr="00DD47CE" w:rsidRDefault="00825E09" w:rsidP="00C66198">
      <w:pPr>
        <w:autoSpaceDE w:val="0"/>
        <w:autoSpaceDN w:val="0"/>
        <w:adjustRightInd w:val="0"/>
        <w:rPr>
          <w:rFonts w:eastAsia="TimesNewRoman"/>
          <w:sz w:val="28"/>
          <w:szCs w:val="28"/>
          <w:lang w:val="en-US" w:eastAsia="ja-JP"/>
        </w:rPr>
      </w:pPr>
      <w:r>
        <w:rPr>
          <w:rFonts w:ascii="Calibri" w:hAnsi="Calibri" w:cs="Calibri"/>
          <w:color w:val="000000"/>
          <w:szCs w:val="22"/>
        </w:rPr>
        <w:t>“well, which is it -- does it have ESS scope or just AP scope?”</w:t>
      </w:r>
    </w:p>
    <w:p w14:paraId="0C6DCBFF" w14:textId="77777777" w:rsidR="000966FB" w:rsidRDefault="000966FB">
      <w:pPr>
        <w:autoSpaceDE w:val="0"/>
        <w:autoSpaceDN w:val="0"/>
        <w:adjustRightInd w:val="0"/>
        <w:rPr>
          <w:rFonts w:eastAsia="TimesNewRoman"/>
          <w:b/>
          <w:bCs/>
          <w:sz w:val="24"/>
          <w:szCs w:val="24"/>
          <w:lang w:val="en-US" w:eastAsia="ja-JP"/>
        </w:rPr>
      </w:pPr>
    </w:p>
    <w:p w14:paraId="0F30C2AD" w14:textId="2C31C560" w:rsidR="00DD47CE"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REVISE</w:t>
      </w:r>
    </w:p>
    <w:p w14:paraId="2581CF2A" w14:textId="0E679069"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 xml:space="preserve">Replace </w:t>
      </w:r>
    </w:p>
    <w:p w14:paraId="0CF506FC" w14:textId="6F1F99C1"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AP/ESS</w:t>
      </w:r>
      <w:r>
        <w:rPr>
          <w:rFonts w:eastAsia="TimesNewRoman"/>
          <w:sz w:val="24"/>
          <w:szCs w:val="24"/>
          <w:lang w:val="en-US" w:eastAsia="ja-JP"/>
        </w:rPr>
        <w:t xml:space="preserve"> </w:t>
      </w:r>
      <w:r w:rsidRPr="00825E09">
        <w:rPr>
          <w:rFonts w:eastAsia="TimesNewRoman"/>
          <w:sz w:val="24"/>
          <w:szCs w:val="24"/>
          <w:lang w:val="en-US" w:eastAsia="ja-JP"/>
        </w:rPr>
        <w:t>and the AP/ESS should store that IRM MAC address as an identifier for that non-AP STA</w:t>
      </w:r>
      <w:r>
        <w:rPr>
          <w:rFonts w:eastAsia="TimesNewRoman"/>
          <w:sz w:val="24"/>
          <w:szCs w:val="24"/>
          <w:lang w:val="en-US" w:eastAsia="ja-JP"/>
        </w:rPr>
        <w:t>.</w:t>
      </w:r>
    </w:p>
    <w:p w14:paraId="65005709" w14:textId="77777777" w:rsidR="00825E09" w:rsidRDefault="00825E09">
      <w:pPr>
        <w:autoSpaceDE w:val="0"/>
        <w:autoSpaceDN w:val="0"/>
        <w:adjustRightInd w:val="0"/>
        <w:rPr>
          <w:rFonts w:eastAsia="TimesNewRoman"/>
          <w:sz w:val="40"/>
          <w:szCs w:val="40"/>
          <w:lang w:val="en-US" w:eastAsia="ja-JP"/>
        </w:rPr>
      </w:pPr>
    </w:p>
    <w:p w14:paraId="7F238CA2" w14:textId="6CFD324D"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With</w:t>
      </w:r>
    </w:p>
    <w:p w14:paraId="191289C6" w14:textId="605D0F8C" w:rsidR="0013517B" w:rsidRPr="005F1457" w:rsidRDefault="0013517B" w:rsidP="0013517B">
      <w:pPr>
        <w:autoSpaceDE w:val="0"/>
        <w:autoSpaceDN w:val="0"/>
        <w:adjustRightInd w:val="0"/>
        <w:rPr>
          <w:rFonts w:eastAsia="TimesNewRoman"/>
          <w:sz w:val="40"/>
          <w:szCs w:val="40"/>
          <w:lang w:val="en-US" w:eastAsia="ja-JP"/>
        </w:rPr>
      </w:pPr>
      <w:r w:rsidRPr="005F1457">
        <w:rPr>
          <w:rFonts w:eastAsia="TimesNewRoman"/>
          <w:sz w:val="24"/>
          <w:szCs w:val="24"/>
          <w:lang w:val="en-US" w:eastAsia="ja-JP"/>
        </w:rPr>
        <w:t xml:space="preserve">The non-AP STA should store the newly allocated IRM as an identifier for </w:t>
      </w:r>
      <w:r w:rsidR="005F1457">
        <w:rPr>
          <w:rFonts w:eastAsia="TimesNewRoman"/>
          <w:sz w:val="24"/>
          <w:szCs w:val="24"/>
          <w:lang w:val="en-US" w:eastAsia="ja-JP"/>
        </w:rPr>
        <w:t>use with the</w:t>
      </w:r>
      <w:r w:rsidRPr="005F1457">
        <w:rPr>
          <w:rFonts w:eastAsia="TimesNewRoman"/>
          <w:sz w:val="24"/>
          <w:szCs w:val="24"/>
          <w:lang w:val="en-US" w:eastAsia="ja-JP"/>
        </w:rPr>
        <w:t xml:space="preserve"> AP(s) in </w:t>
      </w:r>
      <w:r w:rsidR="005F1457">
        <w:rPr>
          <w:rFonts w:eastAsia="TimesNewRoman"/>
          <w:sz w:val="24"/>
          <w:szCs w:val="24"/>
          <w:lang w:val="en-US" w:eastAsia="ja-JP"/>
        </w:rPr>
        <w:t>the</w:t>
      </w:r>
      <w:r w:rsidRPr="005F1457">
        <w:rPr>
          <w:rFonts w:eastAsia="TimesNewRoman"/>
          <w:sz w:val="24"/>
          <w:szCs w:val="24"/>
          <w:lang w:val="en-US" w:eastAsia="ja-JP"/>
        </w:rPr>
        <w:t xml:space="preserve"> ESS, and the AP(s) should store that IRM as an identifier for that non-AP STA.</w:t>
      </w:r>
    </w:p>
    <w:p w14:paraId="59F5F0D9" w14:textId="77777777" w:rsidR="005F1457" w:rsidRDefault="005F1457">
      <w:pPr>
        <w:autoSpaceDE w:val="0"/>
        <w:autoSpaceDN w:val="0"/>
        <w:adjustRightInd w:val="0"/>
        <w:rPr>
          <w:rFonts w:eastAsia="TimesNewRoman"/>
          <w:sz w:val="20"/>
          <w:lang w:val="en-US" w:eastAsia="ja-JP"/>
        </w:rPr>
      </w:pPr>
    </w:p>
    <w:p w14:paraId="75089B81" w14:textId="3E22D945" w:rsidR="005F1457" w:rsidRDefault="005F1457">
      <w:pPr>
        <w:autoSpaceDE w:val="0"/>
        <w:autoSpaceDN w:val="0"/>
        <w:adjustRightInd w:val="0"/>
        <w:rPr>
          <w:rFonts w:eastAsia="TimesNewRoman"/>
          <w:sz w:val="20"/>
          <w:lang w:val="en-US" w:eastAsia="ja-JP"/>
        </w:rPr>
      </w:pPr>
      <w:r w:rsidRPr="005F1457">
        <w:rPr>
          <w:rFonts w:eastAsia="TimesNewRoman"/>
          <w:sz w:val="20"/>
          <w:lang w:val="en-US" w:eastAsia="ja-JP"/>
        </w:rPr>
        <w:t>OR</w:t>
      </w:r>
    </w:p>
    <w:p w14:paraId="7F293CC0" w14:textId="77777777" w:rsidR="005F1457" w:rsidRPr="005F1457" w:rsidRDefault="005F1457">
      <w:pPr>
        <w:autoSpaceDE w:val="0"/>
        <w:autoSpaceDN w:val="0"/>
        <w:adjustRightInd w:val="0"/>
        <w:rPr>
          <w:rFonts w:eastAsia="TimesNewRoman"/>
          <w:sz w:val="20"/>
          <w:lang w:val="en-US" w:eastAsia="ja-JP"/>
        </w:rPr>
      </w:pPr>
    </w:p>
    <w:p w14:paraId="6642A650" w14:textId="45E93C06" w:rsidR="005F1457" w:rsidRPr="005F1457" w:rsidRDefault="005F1457" w:rsidP="005F1457">
      <w:pPr>
        <w:autoSpaceDE w:val="0"/>
        <w:autoSpaceDN w:val="0"/>
        <w:adjustRightInd w:val="0"/>
        <w:rPr>
          <w:rFonts w:eastAsia="TimesNewRoman"/>
          <w:sz w:val="40"/>
          <w:szCs w:val="40"/>
          <w:lang w:val="en-US" w:eastAsia="ja-JP"/>
        </w:rPr>
      </w:pPr>
      <w:r w:rsidRPr="005F1457">
        <w:rPr>
          <w:rFonts w:eastAsia="TimesNewRoman"/>
          <w:sz w:val="24"/>
          <w:szCs w:val="24"/>
          <w:lang w:val="en-US" w:eastAsia="ja-JP"/>
        </w:rPr>
        <w:t xml:space="preserve">The non-AP STA should store the newly allocated IRM as an identifier for </w:t>
      </w:r>
      <w:r>
        <w:rPr>
          <w:rFonts w:eastAsia="TimesNewRoman"/>
          <w:sz w:val="24"/>
          <w:szCs w:val="24"/>
          <w:lang w:val="en-US" w:eastAsia="ja-JP"/>
        </w:rPr>
        <w:t>use with the</w:t>
      </w:r>
      <w:r w:rsidRPr="005F1457">
        <w:rPr>
          <w:rFonts w:eastAsia="TimesNewRoman"/>
          <w:sz w:val="24"/>
          <w:szCs w:val="24"/>
          <w:lang w:val="en-US" w:eastAsia="ja-JP"/>
        </w:rPr>
        <w:t xml:space="preserve"> AP(s) in th</w:t>
      </w:r>
      <w:r>
        <w:rPr>
          <w:rFonts w:eastAsia="TimesNewRoman"/>
          <w:sz w:val="24"/>
          <w:szCs w:val="24"/>
          <w:lang w:val="en-US" w:eastAsia="ja-JP"/>
        </w:rPr>
        <w:t xml:space="preserve">e </w:t>
      </w:r>
      <w:r w:rsidRPr="005F1457">
        <w:rPr>
          <w:rFonts w:eastAsia="TimesNewRoman"/>
          <w:sz w:val="24"/>
          <w:szCs w:val="24"/>
          <w:lang w:val="en-US" w:eastAsia="ja-JP"/>
        </w:rPr>
        <w:t>ESS</w:t>
      </w:r>
      <w:r>
        <w:rPr>
          <w:rFonts w:eastAsia="TimesNewRoman"/>
          <w:sz w:val="24"/>
          <w:szCs w:val="24"/>
          <w:lang w:val="en-US" w:eastAsia="ja-JP"/>
        </w:rPr>
        <w:t>.</w:t>
      </w:r>
    </w:p>
    <w:p w14:paraId="39879C97" w14:textId="3431C969" w:rsidR="00825E09" w:rsidRDefault="00231A79">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_________________________________________________</w:t>
      </w:r>
    </w:p>
    <w:p w14:paraId="241288B7" w14:textId="77777777" w:rsidR="00231A79" w:rsidRDefault="00231A79">
      <w:pPr>
        <w:autoSpaceDE w:val="0"/>
        <w:autoSpaceDN w:val="0"/>
        <w:adjustRightInd w:val="0"/>
        <w:rPr>
          <w:rFonts w:eastAsia="TimesNewRoman"/>
          <w:sz w:val="40"/>
          <w:szCs w:val="40"/>
          <w:lang w:val="en-US" w:eastAsia="ja-JP"/>
        </w:rPr>
      </w:pPr>
    </w:p>
    <w:sectPr w:rsidR="00231A7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FDC7" w14:textId="77777777" w:rsidR="00635F62" w:rsidRDefault="00635F62">
      <w:r>
        <w:separator/>
      </w:r>
    </w:p>
  </w:endnote>
  <w:endnote w:type="continuationSeparator" w:id="0">
    <w:p w14:paraId="78928969" w14:textId="77777777" w:rsidR="00635F62" w:rsidRDefault="0063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A207" w14:textId="77777777" w:rsidR="00635F62" w:rsidRDefault="00635F62">
      <w:r>
        <w:separator/>
      </w:r>
    </w:p>
  </w:footnote>
  <w:footnote w:type="continuationSeparator" w:id="0">
    <w:p w14:paraId="543C1C3C" w14:textId="77777777" w:rsidR="00635F62" w:rsidRDefault="0063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40F25D4F" w:rsidR="00E42D33" w:rsidRDefault="003A4B36" w:rsidP="00E06DE9">
    <w:pPr>
      <w:pStyle w:val="Header"/>
      <w:tabs>
        <w:tab w:val="clear" w:pos="6480"/>
        <w:tab w:val="center" w:pos="4680"/>
        <w:tab w:val="right" w:pos="9360"/>
      </w:tabs>
    </w:pPr>
    <w:r>
      <w:t xml:space="preserve">August </w:t>
    </w:r>
    <w:r w:rsidR="001305FE">
      <w:t>2023</w:t>
    </w:r>
    <w:r w:rsidR="00E42D33">
      <w:tab/>
    </w:r>
    <w:r w:rsidR="00E42D33">
      <w:tab/>
      <w:t xml:space="preserve">   </w:t>
    </w:r>
    <w:fldSimple w:instr=" TITLE  \* MERGEFORMAT ">
      <w:r w:rsidR="00E42D33">
        <w:t>doc.: IEEE 802.11-2</w:t>
      </w:r>
      <w:r w:rsidR="001305FE">
        <w:t>3</w:t>
      </w:r>
      <w:r w:rsidR="00E42D33">
        <w:t>/</w:t>
      </w:r>
    </w:fldSimple>
    <w:r w:rsidR="00316A39">
      <w:t>1373r</w:t>
    </w:r>
    <w:r w:rsidR="00BA602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88B"/>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17B"/>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AD2"/>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59B8"/>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457"/>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628"/>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5F62"/>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97DE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2E42"/>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825"/>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027"/>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918"/>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76A"/>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589"/>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727"/>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11</TotalTime>
  <Pages>5</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5</cp:revision>
  <cp:lastPrinted>1901-01-01T05:00:00Z</cp:lastPrinted>
  <dcterms:created xsi:type="dcterms:W3CDTF">2023-10-24T15:12:00Z</dcterms:created>
  <dcterms:modified xsi:type="dcterms:W3CDTF">2023-10-24T15:19:00Z</dcterms:modified>
</cp:coreProperties>
</file>