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695"/>
        <w:gridCol w:w="2175"/>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ascii="Times New Roman" w:hAnsi="Times New Roman" w:eastAsia="Times New Roman" w:cs="Times New Roman"/>
                <w:color w:val="000000"/>
                <w:sz w:val="28"/>
                <w:szCs w:val="28"/>
              </w:rPr>
              <w:t xml:space="preserve">LB271 CR for </w:t>
            </w:r>
            <w:r>
              <w:rPr>
                <w:rFonts w:hint="eastAsia" w:ascii="Times New Roman" w:hAnsi="Times New Roman" w:eastAsia="宋体" w:cs="Times New Roman"/>
                <w:color w:val="000000"/>
                <w:sz w:val="28"/>
                <w:szCs w:val="28"/>
                <w:lang w:val="en-US" w:eastAsia="zh-CN"/>
              </w:rPr>
              <w:t>CID 18025</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val="en-US" w:eastAsia="zh-CN"/>
              </w:rPr>
              <w:t xml:space="preserve"> July</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11</w:t>
            </w:r>
            <w:r>
              <w:rPr>
                <w:rFonts w:ascii="Times New Roman" w:hAnsi="Times New Roman" w:eastAsia="Times New Roman" w:cs="Times New Roman"/>
                <w:color w:val="000000"/>
                <w:sz w:val="20"/>
                <w:szCs w:val="20"/>
              </w:rPr>
              <w:t>,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69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217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695"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li.yan16@zte.com.cn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Ke Tang</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Zisheng Wang</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 xml:space="preserve">Qisheng Huang </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b/>
          <w:color w:val="000000"/>
          <w:sz w:val="18"/>
          <w:szCs w:val="18"/>
          <w:lang w:val="en-US" w:eastAsia="zh-CN"/>
        </w:rPr>
        <w:t>1</w:t>
      </w:r>
      <w:r>
        <w:rPr>
          <w:sz w:val="18"/>
          <w:szCs w:val="18"/>
        </w:rPr>
        <w:t xml:space="preserve"> CID received for TGbe LB271: </w:t>
      </w:r>
    </w:p>
    <w:p>
      <w:pPr>
        <w:spacing w:after="0" w:line="240" w:lineRule="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eastAsia="zh-CN"/>
        </w:rPr>
        <w:t>1</w:t>
      </w:r>
      <w:r>
        <w:rPr>
          <w:rFonts w:hint="eastAsia" w:ascii="Times New Roman" w:hAnsi="Times New Roman" w:eastAsia="宋体" w:cs="Times New Roman"/>
          <w:sz w:val="18"/>
          <w:szCs w:val="18"/>
          <w:lang w:val="en-US" w:eastAsia="zh-CN"/>
        </w:rPr>
        <w:t>8025</w:t>
      </w: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rPr>
      </w:pPr>
      <w:r>
        <w:rPr>
          <w:rFonts w:ascii="Times New Roman" w:hAnsi="Times New Roman" w:eastAsia="Times New Roman" w:cs="Times New Roman"/>
          <w:b/>
          <w:i/>
          <w:color w:val="000000"/>
          <w:sz w:val="20"/>
          <w:szCs w:val="20"/>
          <w:highlight w:val="yellow"/>
        </w:rPr>
        <w:t>TGbe editor: The baseline for this document is P802.11beD3.0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1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1080"/>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1080" w:type="dxa"/>
            <w:shd w:val="clear" w:color="auto" w:fill="BFBFBF"/>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Commenter</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18025</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Joseph Levy</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6.3.136.2.2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127/31</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The Delete Timer parameter can not contain the number of TBTTs of the affiliated AP until the affiliated AP is removed.  The act of removal is an action of the non-AP MLD removing the affiliated AP from the MLD.  It is not the act of the AP MLD of no longer supporting MLO over the affiliated AP. The AP only knows when the AP MLD will no longer support MLO on that AP.  Therefore, the timer should provide the time when the AP MLD will no longer support MLO on the target affiliated AP.</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r>
              <w:rPr>
                <w:rFonts w:hint="eastAsia" w:ascii="Times New Roman" w:hAnsi="Times New Roman" w:eastAsia="Arial" w:cs="Times New Roman"/>
                <w:sz w:val="16"/>
                <w:szCs w:val="16"/>
              </w:rPr>
              <w:t>Replace: "Specifies the number of TBTTs of the affiliated AP until the AP is removed."</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With: "Specifies the number of TBTTs of the affiliated AP until the affiliated AP stops supporting MLO."</w:t>
            </w:r>
          </w:p>
        </w:tc>
        <w:tc>
          <w:tcPr>
            <w:tcW w:w="3150" w:type="dxa"/>
            <w:shd w:val="clear" w:color="auto" w:fill="auto"/>
          </w:tcPr>
          <w:p>
            <w:pPr>
              <w:spacing w:after="0"/>
              <w:rPr>
                <w:rFonts w:hint="eastAsia" w:ascii="Times New Roman" w:hAnsi="Times New Roman" w:eastAsia="宋体" w:cs="Times New Roman"/>
                <w:b/>
                <w:sz w:val="16"/>
                <w:szCs w:val="16"/>
                <w:lang w:val="en-US" w:eastAsia="zh-CN"/>
              </w:rPr>
            </w:pPr>
            <w:r>
              <w:rPr>
                <w:rFonts w:hint="eastAsia" w:ascii="Times New Roman" w:hAnsi="Times New Roman" w:eastAsia="宋体" w:cs="Times New Roman"/>
                <w:b/>
                <w:sz w:val="16"/>
                <w:szCs w:val="16"/>
                <w:lang w:val="en-US" w:eastAsia="zh-CN"/>
              </w:rPr>
              <w:t>Rejected.</w:t>
            </w:r>
          </w:p>
          <w:p>
            <w:pPr>
              <w:spacing w:after="0"/>
              <w:rPr>
                <w:rFonts w:hint="default" w:ascii="Times New Roman" w:hAnsi="Times New Roman" w:eastAsia="宋体" w:cs="Times New Roman"/>
                <w:b/>
                <w:sz w:val="16"/>
                <w:szCs w:val="16"/>
                <w:lang w:val="en-US" w:eastAsia="zh-CN"/>
              </w:rPr>
            </w:pPr>
          </w:p>
          <w:p>
            <w:pPr>
              <w:spacing w:after="0"/>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Firstly the action of removal is really the operation of AP MLD removing the affiliated AP,which finally refers to the corresponding BSS to be terminated.</w:t>
            </w:r>
          </w:p>
          <w:p>
            <w:pPr>
              <w:spacing w:after="0"/>
              <w:rPr>
                <w:rFonts w:hint="eastAsia" w:ascii="Times New Roman" w:hAnsi="Times New Roman" w:eastAsia="宋体" w:cs="Times New Roman"/>
                <w:sz w:val="16"/>
                <w:szCs w:val="16"/>
                <w:lang w:val="en-US" w:eastAsia="zh-CN"/>
              </w:rPr>
            </w:pPr>
          </w:p>
          <w:p>
            <w:pPr>
              <w:spacing w:after="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Secondly it is odd to say affiliated AP supports MLO.The group has adopted removing affiliated AP terminology for many drafts and it is well understood what it means. Hence, no c</w:t>
            </w:r>
            <w:bookmarkStart w:id="2" w:name="_GoBack"/>
            <w:bookmarkEnd w:id="2"/>
            <w:r>
              <w:rPr>
                <w:rFonts w:hint="eastAsia" w:ascii="Times New Roman" w:hAnsi="Times New Roman" w:eastAsia="宋体" w:cs="Times New Roman"/>
                <w:sz w:val="16"/>
                <w:szCs w:val="16"/>
                <w:lang w:val="en-US" w:eastAsia="zh-CN"/>
              </w:rPr>
              <w:t>hange is needed</w:t>
            </w:r>
          </w:p>
        </w:tc>
      </w:tr>
    </w:tbl>
    <w:p>
      <w:pPr>
        <w:rPr>
          <w:b/>
          <w:sz w:val="20"/>
          <w:szCs w:val="20"/>
        </w:rPr>
      </w:pPr>
    </w:p>
    <w:p>
      <w:pPr>
        <w:pStyle w:val="181"/>
        <w:spacing w:before="480" w:beforeLines="0" w:after="240" w:afterLines="0"/>
        <w:rPr>
          <w:rFonts w:hint="eastAsia" w:ascii="Arial" w:hAnsi="Arial"/>
          <w:color w:val="000000"/>
          <w:sz w:val="24"/>
          <w:szCs w:val="24"/>
        </w:rPr>
      </w:pPr>
    </w:p>
    <w:p>
      <w:pPr>
        <w:pStyle w:val="182"/>
        <w:spacing w:before="240" w:beforeLines="0" w:after="240" w:afterLines="0"/>
        <w:ind w:firstLine="200"/>
        <w:rPr>
          <w:rFonts w:hint="eastAsia" w:ascii="Arial" w:hAnsi="Arial"/>
          <w:color w:val="000000"/>
          <w:sz w:val="24"/>
          <w:szCs w:val="24"/>
        </w:rPr>
      </w:pP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4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roman"/>
    <w:pitch w:val="default"/>
    <w:sig w:usb0="00000000" w:usb1="00000000" w:usb2="00000010" w:usb3="00000000" w:csb0="00020000"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w:t>
    </w:r>
    <w:r>
      <w:rPr>
        <w:rFonts w:hint="eastAsia" w:ascii="Times New Roman" w:hAnsi="Times New Roman" w:eastAsia="宋体" w:cs="Times New Roman"/>
        <w:b/>
        <w:sz w:val="28"/>
        <w:szCs w:val="28"/>
        <w:lang w:val="en-US" w:eastAsia="zh-CN"/>
      </w:rPr>
      <w:t>1239</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val="en-US"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w:t>
    </w:r>
    <w:r>
      <w:rPr>
        <w:rFonts w:hint="eastAsia" w:ascii="Times New Roman" w:hAnsi="Times New Roman" w:eastAsia="宋体" w:cs="Times New Roman"/>
        <w:b/>
        <w:sz w:val="28"/>
        <w:szCs w:val="28"/>
        <w:lang w:val="en-US" w:eastAsia="zh-CN"/>
      </w:rPr>
      <w:t>1239</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172A27"/>
    <w:rsid w:val="00213CBE"/>
    <w:rsid w:val="00271C9E"/>
    <w:rsid w:val="0058522B"/>
    <w:rsid w:val="006039E1"/>
    <w:rsid w:val="00854D98"/>
    <w:rsid w:val="00DA2D60"/>
    <w:rsid w:val="00E4315F"/>
    <w:rsid w:val="00F50F03"/>
    <w:rsid w:val="03F00BD1"/>
    <w:rsid w:val="044D3E1F"/>
    <w:rsid w:val="0A4E0416"/>
    <w:rsid w:val="0CC654CC"/>
    <w:rsid w:val="0FF425C2"/>
    <w:rsid w:val="159808B1"/>
    <w:rsid w:val="15E84611"/>
    <w:rsid w:val="166548F5"/>
    <w:rsid w:val="1AC2058B"/>
    <w:rsid w:val="1AD00E1F"/>
    <w:rsid w:val="1C9B1AE5"/>
    <w:rsid w:val="1DF276AF"/>
    <w:rsid w:val="1EC15AB7"/>
    <w:rsid w:val="31FA6607"/>
    <w:rsid w:val="35563C27"/>
    <w:rsid w:val="35C30B90"/>
    <w:rsid w:val="36E71201"/>
    <w:rsid w:val="36FF68B8"/>
    <w:rsid w:val="3C6B6C2F"/>
    <w:rsid w:val="43150A2F"/>
    <w:rsid w:val="45996A3C"/>
    <w:rsid w:val="4B961525"/>
    <w:rsid w:val="4FD150FC"/>
    <w:rsid w:val="50014DDC"/>
    <w:rsid w:val="5A227610"/>
    <w:rsid w:val="5A746C80"/>
    <w:rsid w:val="5B03130D"/>
    <w:rsid w:val="5F741A75"/>
    <w:rsid w:val="5FF90D1A"/>
    <w:rsid w:val="68984AA1"/>
    <w:rsid w:val="71817D25"/>
    <w:rsid w:val="77C67F00"/>
    <w:rsid w:val="7D4B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semiHidden/>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批注框文本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页脚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页眉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标题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标题 1 Char"/>
    <w:basedOn w:val="25"/>
    <w:link w:val="2"/>
    <w:qFormat/>
    <w:uiPriority w:val="0"/>
    <w:rPr>
      <w:rFonts w:eastAsia="Batang" w:cs="Times New Roman" w:asciiTheme="majorHAnsi" w:hAnsiTheme="majorHAnsi"/>
      <w:b/>
      <w:sz w:val="32"/>
      <w:szCs w:val="20"/>
      <w:lang w:val="en-GB"/>
    </w:rPr>
  </w:style>
  <w:style w:type="character" w:customStyle="1" w:styleId="131">
    <w:name w:val="标题 2 Char"/>
    <w:basedOn w:val="25"/>
    <w:link w:val="4"/>
    <w:qFormat/>
    <w:uiPriority w:val="0"/>
    <w:rPr>
      <w:rFonts w:eastAsia="Batang" w:cs="Times New Roman" w:asciiTheme="majorHAnsi" w:hAnsiTheme="majorHAnsi"/>
      <w:b/>
      <w:sz w:val="28"/>
      <w:szCs w:val="20"/>
      <w:lang w:val="en-GB"/>
    </w:rPr>
  </w:style>
  <w:style w:type="character" w:customStyle="1" w:styleId="132">
    <w:name w:val="标题 3 Char"/>
    <w:basedOn w:val="25"/>
    <w:link w:val="5"/>
    <w:qFormat/>
    <w:uiPriority w:val="0"/>
    <w:rPr>
      <w:rFonts w:eastAsia="Batang" w:cs="Times New Roman" w:asciiTheme="majorHAnsi" w:hAnsiTheme="majorHAnsi"/>
      <w:b/>
      <w:sz w:val="24"/>
      <w:szCs w:val="20"/>
      <w:lang w:val="en-GB"/>
    </w:rPr>
  </w:style>
  <w:style w:type="character" w:customStyle="1" w:styleId="133">
    <w:name w:val="标题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标题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标题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标题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标题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标题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批注文字 Char"/>
    <w:basedOn w:val="25"/>
    <w:link w:val="13"/>
    <w:semiHidden/>
    <w:qFormat/>
    <w:uiPriority w:val="99"/>
    <w:rPr>
      <w:sz w:val="20"/>
      <w:szCs w:val="20"/>
    </w:rPr>
  </w:style>
  <w:style w:type="character" w:customStyle="1" w:styleId="140">
    <w:name w:val="批注主题 Char"/>
    <w:basedOn w:val="139"/>
    <w:link w:val="22"/>
    <w:semiHidden/>
    <w:qFormat/>
    <w:uiPriority w:val="99"/>
    <w:rPr>
      <w:b/>
      <w:bCs/>
      <w:sz w:val="20"/>
      <w:szCs w:val="20"/>
    </w:rPr>
  </w:style>
  <w:style w:type="character" w:customStyle="1" w:styleId="141">
    <w:name w:val="题注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
    <w:basedOn w:val="25"/>
    <w:unhideWhenUsed/>
    <w:qFormat/>
    <w:uiPriority w:val="99"/>
    <w:rPr>
      <w:color w:val="808080"/>
      <w:shd w:val="clear" w:color="auto" w:fill="E6E6E6"/>
    </w:rPr>
  </w:style>
  <w:style w:type="character" w:customStyle="1" w:styleId="148">
    <w:name w:val="脚注文本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正文文本 Char"/>
    <w:basedOn w:val="25"/>
    <w:link w:val="14"/>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uiPriority w:val="99"/>
    <w:rPr>
      <w:rFonts w:hint="default"/>
    </w:rPr>
  </w:style>
  <w:style w:type="paragraph" w:customStyle="1" w:styleId="173">
    <w:name w:val="SP.11.291000"/>
    <w:basedOn w:val="171"/>
    <w:next w:val="171"/>
    <w:unhideWhenUsed/>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uiPriority w:val="99"/>
    <w:rPr>
      <w:rFonts w:hint="default"/>
    </w:rPr>
  </w:style>
  <w:style w:type="paragraph" w:customStyle="1" w:styleId="188">
    <w:name w:val="SP.11.290871"/>
    <w:basedOn w:val="171"/>
    <w:next w:val="171"/>
    <w:unhideWhenUsed/>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5854</Characters>
  <Lines>48</Lines>
  <Paragraphs>13</Paragraphs>
  <TotalTime>42</TotalTime>
  <ScaleCrop>false</ScaleCrop>
  <LinksUpToDate>false</LinksUpToDate>
  <CharactersWithSpaces>6867</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2023-05-15T16:15:00Z</dcterms:created>
  <dc:creator>appatil@qti.qualcomm.com</dc:creator>
  <cp:lastModifiedBy>Yan Li</cp:lastModifiedBy>
  <dcterms:modified xsi:type="dcterms:W3CDTF">2023-07-11T02:30:23Z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57A9129FAF984131A9C3D1E18CEBFA9A</vt:lpwstr>
  </property>
</Properties>
</file>