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436EA914" w:rsidR="009A7E36" w:rsidRDefault="007B35B9" w:rsidP="009A7E36">
            <w:pPr>
              <w:pStyle w:val="T2"/>
            </w:pPr>
            <w:r w:rsidRPr="007B35B9">
              <w:t>Discussion and Proposed Modifications to Annex C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4EA107B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15304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515304">
              <w:rPr>
                <w:b w:val="0"/>
                <w:sz w:val="20"/>
              </w:rPr>
              <w:t>01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2D8D88F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5ABD5C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6F16DA3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55AB3F" w14:textId="710CF04B" w:rsidR="001A5947" w:rsidRDefault="001A5947" w:rsidP="004E7628">
                            <w:pPr>
                              <w:jc w:val="both"/>
                            </w:pPr>
                            <w:r w:rsidRPr="001A5947">
                              <w:t>This submission examines MIB concepts and recommends modifications to Annex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55AB3F" w14:textId="710CF04B" w:rsidR="001A5947" w:rsidRDefault="001A5947" w:rsidP="004E7628">
                      <w:pPr>
                        <w:jc w:val="both"/>
                      </w:pPr>
                      <w:r w:rsidRPr="001A5947">
                        <w:t>This submission examines MIB concepts and recommends modifications to Annex C.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3027F221" w14:textId="77777777" w:rsidR="00BF5DB7" w:rsidRDefault="00BF5DB7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</w:t>
      </w:r>
    </w:p>
    <w:p w14:paraId="47EE8C40" w14:textId="77777777" w:rsidR="00390100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 xml:space="preserve">MIB </w:t>
      </w:r>
      <w:r>
        <w:rPr>
          <w:bCs/>
          <w:szCs w:val="22"/>
          <w:lang w:val="en-US"/>
        </w:rPr>
        <w:t>=</w:t>
      </w:r>
      <w:r w:rsidRPr="003832D8">
        <w:rPr>
          <w:bCs/>
          <w:szCs w:val="22"/>
          <w:lang w:val="en-US"/>
        </w:rPr>
        <w:t xml:space="preserve"> Management Information Base</w:t>
      </w:r>
    </w:p>
    <w:p w14:paraId="14C608C1" w14:textId="77777777" w:rsidR="00390100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Informal description:</w:t>
      </w:r>
    </w:p>
    <w:p w14:paraId="0C4A97ED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D</w:t>
      </w:r>
      <w:r w:rsidRPr="005007F2">
        <w:rPr>
          <w:bCs/>
          <w:szCs w:val="22"/>
          <w:lang w:val="en-US"/>
        </w:rPr>
        <w:t xml:space="preserve">atabase used for managing the entities in a communication </w:t>
      </w:r>
      <w:proofErr w:type="gramStart"/>
      <w:r w:rsidRPr="005007F2">
        <w:rPr>
          <w:bCs/>
          <w:szCs w:val="22"/>
          <w:lang w:val="en-US"/>
        </w:rPr>
        <w:t>network</w:t>
      </w:r>
      <w:proofErr w:type="gramEnd"/>
    </w:p>
    <w:p w14:paraId="24B32156" w14:textId="77777777" w:rsidR="00390100" w:rsidRDefault="00390100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C</w:t>
      </w:r>
      <w:r w:rsidRPr="00EF21A6">
        <w:rPr>
          <w:bCs/>
          <w:szCs w:val="22"/>
          <w:lang w:val="en-US"/>
        </w:rPr>
        <w:t>ollection of management information available on an entity</w:t>
      </w:r>
    </w:p>
    <w:p w14:paraId="1E16BC41" w14:textId="77777777" w:rsidR="00390100" w:rsidRPr="00390A49" w:rsidRDefault="00390100" w:rsidP="00390100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90A49">
        <w:rPr>
          <w:bCs/>
          <w:szCs w:val="22"/>
          <w:lang w:val="en-US"/>
        </w:rPr>
        <w:t>References</w:t>
      </w:r>
    </w:p>
    <w:p w14:paraId="6940CE9F" w14:textId="77777777" w:rsidR="00390100" w:rsidRDefault="0027404A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7" w:history="1">
        <w:r w:rsidR="00390100" w:rsidRPr="000C0258">
          <w:rPr>
            <w:rStyle w:val="Hyperlink"/>
            <w:bCs/>
            <w:szCs w:val="22"/>
            <w:lang w:val="en-US"/>
          </w:rPr>
          <w:t>09/0533r1</w:t>
        </w:r>
      </w:hyperlink>
      <w:r w:rsidR="00390100" w:rsidRPr="00B73D64">
        <w:rPr>
          <w:bCs/>
          <w:szCs w:val="22"/>
          <w:lang w:val="en-US"/>
        </w:rPr>
        <w:t xml:space="preserve">, </w:t>
      </w:r>
      <w:proofErr w:type="spellStart"/>
      <w:r w:rsidR="00390100" w:rsidRPr="00B73D64">
        <w:rPr>
          <w:bCs/>
          <w:szCs w:val="22"/>
          <w:lang w:val="en-US"/>
        </w:rPr>
        <w:t>Recomendation</w:t>
      </w:r>
      <w:proofErr w:type="spellEnd"/>
      <w:r w:rsidR="00390100" w:rsidRPr="00B73D64">
        <w:rPr>
          <w:bCs/>
          <w:szCs w:val="22"/>
          <w:lang w:val="en-US"/>
        </w:rPr>
        <w:t>-re-MIB-types-and-usage</w:t>
      </w:r>
    </w:p>
    <w:p w14:paraId="76438EC3" w14:textId="77777777" w:rsidR="00390100" w:rsidRDefault="0027404A" w:rsidP="00390100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hyperlink r:id="rId8" w:history="1">
        <w:r w:rsidR="00390100" w:rsidRPr="00B62258">
          <w:rPr>
            <w:rStyle w:val="Hyperlink"/>
            <w:bCs/>
            <w:szCs w:val="22"/>
            <w:lang w:val="en-US"/>
          </w:rPr>
          <w:t>15/0355r13</w:t>
        </w:r>
      </w:hyperlink>
      <w:r w:rsidR="00390100" w:rsidRPr="00390A49">
        <w:rPr>
          <w:bCs/>
          <w:szCs w:val="22"/>
          <w:lang w:val="en-US"/>
        </w:rPr>
        <w:t xml:space="preserve">, MIB </w:t>
      </w:r>
      <w:proofErr w:type="spellStart"/>
      <w:r w:rsidR="00390100" w:rsidRPr="00390A49">
        <w:rPr>
          <w:bCs/>
          <w:szCs w:val="22"/>
          <w:lang w:val="en-US"/>
        </w:rPr>
        <w:t>TruthValue</w:t>
      </w:r>
      <w:proofErr w:type="spellEnd"/>
      <w:r w:rsidR="00390100" w:rsidRPr="00390A49">
        <w:rPr>
          <w:bCs/>
          <w:szCs w:val="22"/>
          <w:lang w:val="en-US"/>
        </w:rPr>
        <w:t xml:space="preserve"> usage patterns</w:t>
      </w:r>
    </w:p>
    <w:p w14:paraId="4F63C189" w14:textId="77777777" w:rsidR="007D4308" w:rsidRDefault="007D4308" w:rsidP="007D4308">
      <w:pPr>
        <w:rPr>
          <w:bCs/>
          <w:szCs w:val="22"/>
          <w:lang w:val="en-US"/>
        </w:rPr>
      </w:pPr>
    </w:p>
    <w:p w14:paraId="79D10C75" w14:textId="4751483F" w:rsidR="003832D8" w:rsidRPr="007D4308" w:rsidRDefault="007D4308" w:rsidP="007D430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From 09/0533r1,</w:t>
      </w:r>
    </w:p>
    <w:p w14:paraId="4BFB8E92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 xml:space="preserve">Purpose is to manage STAs and entities within STAs to allow proper and useful interoperation in a wireless </w:t>
      </w:r>
      <w:proofErr w:type="gramStart"/>
      <w:r w:rsidRPr="003832D8">
        <w:rPr>
          <w:bCs/>
          <w:szCs w:val="22"/>
          <w:lang w:val="en-US"/>
        </w:rPr>
        <w:t>network</w:t>
      </w:r>
      <w:proofErr w:type="gramEnd"/>
    </w:p>
    <w:p w14:paraId="0C996244" w14:textId="77777777" w:rsidR="003832D8" w:rsidRPr="003832D8" w:rsidRDefault="003832D8" w:rsidP="003832D8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 w:rsidRPr="003832D8">
        <w:rPr>
          <w:bCs/>
          <w:szCs w:val="22"/>
          <w:lang w:val="en-US"/>
        </w:rPr>
        <w:t xml:space="preserve">Such management is provided by interaction between entities to provide status and exert </w:t>
      </w:r>
      <w:proofErr w:type="gramStart"/>
      <w:r w:rsidRPr="003832D8">
        <w:rPr>
          <w:bCs/>
          <w:szCs w:val="22"/>
          <w:lang w:val="en-US"/>
        </w:rPr>
        <w:t>control</w:t>
      </w:r>
      <w:proofErr w:type="gramEnd"/>
    </w:p>
    <w:p w14:paraId="29A4774E" w14:textId="179A212C" w:rsidR="00BF5DB7" w:rsidRPr="00DC5D22" w:rsidRDefault="003832D8" w:rsidP="00570511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3832D8">
        <w:rPr>
          <w:bCs/>
          <w:szCs w:val="22"/>
          <w:lang w:val="en-US"/>
        </w:rPr>
        <w:t>MIB attributes (a.k.a. “objects” or “variables”) provide an implicit interface between entities through read (“GET”) and write (“SET”) operations.</w:t>
      </w:r>
    </w:p>
    <w:p w14:paraId="7789B681" w14:textId="77777777" w:rsidR="005961F4" w:rsidRDefault="005961F4" w:rsidP="005961F4">
      <w:pPr>
        <w:pStyle w:val="ListParagraph"/>
        <w:rPr>
          <w:bCs/>
          <w:szCs w:val="22"/>
          <w:lang w:val="en-US"/>
        </w:rPr>
      </w:pPr>
    </w:p>
    <w:p w14:paraId="1303DD5F" w14:textId="4D7E0B70" w:rsidR="00DC5D22" w:rsidRDefault="00DC5D22" w:rsidP="00DC5D22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</w:t>
      </w:r>
      <w:r w:rsidRPr="00DC5D22">
        <w:rPr>
          <w:bCs/>
          <w:szCs w:val="22"/>
          <w:lang w:val="en-US"/>
        </w:rPr>
        <w:t>ypes of MIB attributes</w:t>
      </w:r>
    </w:p>
    <w:p w14:paraId="50E14292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Capability</w:t>
      </w:r>
      <w:r w:rsidRPr="00086FC6">
        <w:rPr>
          <w:bCs/>
          <w:szCs w:val="22"/>
          <w:lang w:val="en-US"/>
        </w:rPr>
        <w:t>: Static, initialized by entity as part of instantiation, read by other entities.</w:t>
      </w:r>
    </w:p>
    <w:p w14:paraId="5B49D788" w14:textId="4DC0D7C2" w:rsidR="0040547B" w:rsidRPr="00086FC6" w:rsidRDefault="0040547B" w:rsidP="0040547B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40547B">
        <w:rPr>
          <w:bCs/>
          <w:szCs w:val="22"/>
          <w:lang w:val="en-US"/>
        </w:rPr>
        <w:t>dot11XxxImplemented, dot11RadioMeasurementCapable, dot11ChannelAgilityPresent, dot11FTResourceRequestSupported, dot11ExtendedChannelSwitchEnabled</w:t>
      </w:r>
    </w:p>
    <w:p w14:paraId="6CC3CB6E" w14:textId="77777777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Status</w:t>
      </w:r>
      <w:r w:rsidRPr="00086FC6">
        <w:rPr>
          <w:bCs/>
          <w:szCs w:val="22"/>
          <w:lang w:val="en-US"/>
        </w:rPr>
        <w:t>: Dynamic, written by the entity to expose current conditions to reading entities.</w:t>
      </w:r>
    </w:p>
    <w:p w14:paraId="05D027FE" w14:textId="7D0786D3" w:rsidR="007B01D7" w:rsidRPr="00086FC6" w:rsidRDefault="00764E3B" w:rsidP="007B01D7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764E3B">
        <w:rPr>
          <w:bCs/>
          <w:szCs w:val="22"/>
          <w:lang w:val="en-US"/>
        </w:rPr>
        <w:t>dot11XxxCount, dot11RadioMeasurementEnabled</w:t>
      </w:r>
    </w:p>
    <w:p w14:paraId="2AB8331C" w14:textId="2E60267C" w:rsidR="00086FC6" w:rsidRDefault="00086FC6" w:rsidP="00086FC6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086FC6">
        <w:rPr>
          <w:b/>
          <w:szCs w:val="22"/>
          <w:lang w:val="en-US"/>
        </w:rPr>
        <w:t>Control</w:t>
      </w:r>
      <w:r w:rsidRPr="00086FC6">
        <w:rPr>
          <w:bCs/>
          <w:szCs w:val="22"/>
          <w:lang w:val="en-US"/>
        </w:rPr>
        <w:t>: Dynamic, written by another entity to control the applicable entity’s manageable behaviors.</w:t>
      </w:r>
    </w:p>
    <w:p w14:paraId="7F78EB9B" w14:textId="07D5C9D4" w:rsidR="00F33E63" w:rsidRDefault="00F33E63" w:rsidP="00F33E63">
      <w:pPr>
        <w:pStyle w:val="ListParagraph"/>
        <w:numPr>
          <w:ilvl w:val="2"/>
          <w:numId w:val="22"/>
        </w:numPr>
        <w:rPr>
          <w:bCs/>
          <w:szCs w:val="22"/>
          <w:lang w:val="en-US"/>
        </w:rPr>
      </w:pPr>
      <w:r w:rsidRPr="00F33E63">
        <w:rPr>
          <w:bCs/>
          <w:szCs w:val="22"/>
          <w:lang w:val="en-US"/>
        </w:rPr>
        <w:t>dot11RTSThreshold, dot11ShortRetryLimit, dot11LongRetryLimit, dot11FragmentationThreshold, dot11PrivacyInvoked</w:t>
      </w:r>
    </w:p>
    <w:p w14:paraId="2E034C68" w14:textId="77777777" w:rsidR="00F33E63" w:rsidRDefault="00F33E63" w:rsidP="00F33E63">
      <w:pPr>
        <w:rPr>
          <w:bCs/>
          <w:szCs w:val="22"/>
          <w:lang w:val="en-US"/>
        </w:rPr>
      </w:pPr>
    </w:p>
    <w:p w14:paraId="3E215401" w14:textId="7339A2D5" w:rsidR="00675D7C" w:rsidRDefault="00675D7C" w:rsidP="00675D7C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0528B09B" wp14:editId="15556411">
            <wp:extent cx="3685032" cy="1975104"/>
            <wp:effectExtent l="0" t="0" r="0" b="6350"/>
            <wp:docPr id="956189770" name="Picture 1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89770" name="Picture 1" descr="A picture containing text, screenshot, line, fo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C994" w14:textId="77777777" w:rsidR="00675D7C" w:rsidRPr="00F33E63" w:rsidRDefault="00675D7C" w:rsidP="00F33E63">
      <w:pPr>
        <w:rPr>
          <w:bCs/>
          <w:szCs w:val="22"/>
          <w:lang w:val="en-US"/>
        </w:rPr>
      </w:pPr>
    </w:p>
    <w:p w14:paraId="13CF8F9D" w14:textId="77777777" w:rsidR="00426951" w:rsidRPr="00426951" w:rsidRDefault="00426951" w:rsidP="00426951">
      <w:pPr>
        <w:pStyle w:val="ListParagraph"/>
        <w:numPr>
          <w:ilvl w:val="0"/>
          <w:numId w:val="22"/>
        </w:numPr>
        <w:rPr>
          <w:b/>
          <w:szCs w:val="22"/>
          <w:lang w:val="en-US"/>
        </w:rPr>
      </w:pPr>
      <w:r w:rsidRPr="00426951">
        <w:rPr>
          <w:b/>
          <w:szCs w:val="22"/>
          <w:lang w:val="en-US"/>
        </w:rPr>
        <w:t xml:space="preserve">MIB attributes are not local </w:t>
      </w:r>
      <w:proofErr w:type="gramStart"/>
      <w:r w:rsidRPr="00426951">
        <w:rPr>
          <w:b/>
          <w:szCs w:val="22"/>
          <w:lang w:val="en-US"/>
        </w:rPr>
        <w:t>variables</w:t>
      </w:r>
      <w:proofErr w:type="gramEnd"/>
    </w:p>
    <w:p w14:paraId="064EA859" w14:textId="12281195" w:rsidR="00F33E63" w:rsidRDefault="00426951" w:rsidP="00E557C8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426951">
        <w:rPr>
          <w:bCs/>
          <w:szCs w:val="22"/>
          <w:lang w:val="en-US"/>
        </w:rPr>
        <w:t xml:space="preserve">Attributes accessed solely within the entity do not provide any management </w:t>
      </w:r>
      <w:proofErr w:type="gramStart"/>
      <w:r w:rsidRPr="00426951">
        <w:rPr>
          <w:bCs/>
          <w:szCs w:val="22"/>
          <w:lang w:val="en-US"/>
        </w:rPr>
        <w:t>function</w:t>
      </w:r>
      <w:proofErr w:type="gramEnd"/>
    </w:p>
    <w:p w14:paraId="65137250" w14:textId="43D11A09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 xml:space="preserve">Local variables are those that are not exposed outside an entity, for read or </w:t>
      </w:r>
      <w:proofErr w:type="gramStart"/>
      <w:r w:rsidRPr="003B231F">
        <w:rPr>
          <w:bCs/>
          <w:szCs w:val="22"/>
          <w:lang w:val="en-US"/>
        </w:rPr>
        <w:t>write</w:t>
      </w:r>
      <w:proofErr w:type="gramEnd"/>
    </w:p>
    <w:p w14:paraId="36155FC6" w14:textId="77777777" w:rsidR="003B231F" w:rsidRP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 xml:space="preserve">Some example local variables – NAV, </w:t>
      </w:r>
      <w:proofErr w:type="spellStart"/>
      <w:r w:rsidRPr="003B231F">
        <w:rPr>
          <w:bCs/>
          <w:szCs w:val="22"/>
          <w:lang w:val="en-US"/>
        </w:rPr>
        <w:t>used_time</w:t>
      </w:r>
      <w:proofErr w:type="spellEnd"/>
      <w:r w:rsidRPr="003B231F">
        <w:rPr>
          <w:bCs/>
          <w:szCs w:val="22"/>
          <w:lang w:val="en-US"/>
        </w:rPr>
        <w:t xml:space="preserve">, </w:t>
      </w:r>
      <w:proofErr w:type="spellStart"/>
      <w:r w:rsidRPr="003B231F">
        <w:rPr>
          <w:bCs/>
          <w:szCs w:val="22"/>
          <w:lang w:val="en-US"/>
        </w:rPr>
        <w:t>admitted_time</w:t>
      </w:r>
      <w:proofErr w:type="spellEnd"/>
      <w:r w:rsidRPr="003B231F">
        <w:rPr>
          <w:bCs/>
          <w:szCs w:val="22"/>
          <w:lang w:val="en-US"/>
        </w:rPr>
        <w:t xml:space="preserve">, </w:t>
      </w:r>
      <w:proofErr w:type="spellStart"/>
      <w:r w:rsidRPr="003B231F">
        <w:rPr>
          <w:bCs/>
          <w:szCs w:val="22"/>
          <w:lang w:val="en-US"/>
        </w:rPr>
        <w:t>aXxxXxx</w:t>
      </w:r>
      <w:proofErr w:type="spellEnd"/>
      <w:r w:rsidRPr="003B231F">
        <w:rPr>
          <w:bCs/>
          <w:szCs w:val="22"/>
          <w:lang w:val="en-US"/>
        </w:rPr>
        <w:t xml:space="preserve"> (</w:t>
      </w:r>
      <w:proofErr w:type="gramStart"/>
      <w:r w:rsidRPr="003B231F">
        <w:rPr>
          <w:bCs/>
          <w:szCs w:val="22"/>
          <w:lang w:val="en-US"/>
        </w:rPr>
        <w:t>e.g.</w:t>
      </w:r>
      <w:proofErr w:type="gramEnd"/>
      <w:r w:rsidRPr="003B231F">
        <w:rPr>
          <w:bCs/>
          <w:szCs w:val="22"/>
          <w:lang w:val="en-US"/>
        </w:rPr>
        <w:t xml:space="preserve"> </w:t>
      </w:r>
      <w:proofErr w:type="spellStart"/>
      <w:r w:rsidRPr="003B231F">
        <w:rPr>
          <w:bCs/>
          <w:szCs w:val="22"/>
          <w:lang w:val="en-US"/>
        </w:rPr>
        <w:t>aSlotTime</w:t>
      </w:r>
      <w:proofErr w:type="spellEnd"/>
      <w:r w:rsidRPr="003B231F">
        <w:rPr>
          <w:bCs/>
          <w:szCs w:val="22"/>
          <w:lang w:val="en-US"/>
        </w:rPr>
        <w:t>), CW, SSRC, SLRC</w:t>
      </w:r>
    </w:p>
    <w:p w14:paraId="6D07FA4E" w14:textId="77777777" w:rsidR="003B231F" w:rsidRPr="007D4308" w:rsidRDefault="003B231F" w:rsidP="003B231F">
      <w:pPr>
        <w:pStyle w:val="ListParagraph"/>
        <w:numPr>
          <w:ilvl w:val="1"/>
          <w:numId w:val="22"/>
        </w:numPr>
        <w:rPr>
          <w:b/>
          <w:szCs w:val="22"/>
          <w:lang w:val="en-US"/>
        </w:rPr>
      </w:pPr>
      <w:r w:rsidRPr="007D4308">
        <w:rPr>
          <w:b/>
          <w:szCs w:val="22"/>
          <w:lang w:val="en-US"/>
        </w:rPr>
        <w:t xml:space="preserve">Local variables should not be part of the </w:t>
      </w:r>
      <w:proofErr w:type="gramStart"/>
      <w:r w:rsidRPr="007D4308">
        <w:rPr>
          <w:b/>
          <w:szCs w:val="22"/>
          <w:lang w:val="en-US"/>
        </w:rPr>
        <w:t>MIB</w:t>
      </w:r>
      <w:proofErr w:type="gramEnd"/>
    </w:p>
    <w:p w14:paraId="5E62CFA6" w14:textId="661A7832" w:rsidR="003B231F" w:rsidRDefault="003B231F" w:rsidP="003B231F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 w:rsidRPr="003B231F">
        <w:rPr>
          <w:bCs/>
          <w:szCs w:val="22"/>
          <w:lang w:val="en-US"/>
        </w:rPr>
        <w:t xml:space="preserve">Some local variables could be used solely within the Standard’s text, if useful to clarify conforming behaviors, and don’t need formal </w:t>
      </w:r>
      <w:proofErr w:type="gramStart"/>
      <w:r w:rsidRPr="003B231F">
        <w:rPr>
          <w:bCs/>
          <w:szCs w:val="22"/>
          <w:lang w:val="en-US"/>
        </w:rPr>
        <w:t>definition</w:t>
      </w:r>
      <w:proofErr w:type="gramEnd"/>
    </w:p>
    <w:p w14:paraId="35B20782" w14:textId="77777777" w:rsidR="00DC5D22" w:rsidRPr="00DC5D22" w:rsidRDefault="00DC5D22" w:rsidP="00DC5D22">
      <w:pPr>
        <w:rPr>
          <w:bCs/>
          <w:szCs w:val="22"/>
          <w:lang w:val="en-US"/>
        </w:rPr>
      </w:pPr>
    </w:p>
    <w:p w14:paraId="7CD553C5" w14:textId="47478486" w:rsidR="001C0BD6" w:rsidRDefault="001C0BD6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1888D84C" w14:textId="77777777" w:rsidR="000E2844" w:rsidRDefault="000E2844" w:rsidP="000E2844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54DEA5B6" w14:textId="2D483733" w:rsidR="000E2844" w:rsidRPr="006955A6" w:rsidRDefault="00B867AD" w:rsidP="006955A6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In </w:t>
      </w:r>
      <w:r w:rsidR="002C6992" w:rsidRPr="006955A6">
        <w:rPr>
          <w:bCs/>
          <w:szCs w:val="22"/>
          <w:lang w:val="en-US"/>
        </w:rPr>
        <w:t>P802.11bf D1.0</w:t>
      </w:r>
      <w:r w:rsidR="00E71DB7">
        <w:rPr>
          <w:bCs/>
          <w:szCs w:val="22"/>
          <w:lang w:val="en-US"/>
        </w:rPr>
        <w:t xml:space="preserve">’s </w:t>
      </w:r>
      <w:r w:rsidR="002C6992" w:rsidRPr="006955A6">
        <w:rPr>
          <w:bCs/>
          <w:szCs w:val="22"/>
          <w:lang w:val="en-US"/>
        </w:rPr>
        <w:t>Annex C:</w:t>
      </w:r>
    </w:p>
    <w:p w14:paraId="7C88299B" w14:textId="77777777" w:rsidR="000E2844" w:rsidRDefault="000E2844" w:rsidP="000E2844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0E57EC03" wp14:editId="5E05E03E">
            <wp:extent cx="4800600" cy="356616"/>
            <wp:effectExtent l="0" t="0" r="0" b="5715"/>
            <wp:docPr id="5563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57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0E22" w14:textId="7885E2A0" w:rsidR="000E2844" w:rsidRDefault="0037312C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43540CC2" wp14:editId="73435ACF">
            <wp:extent cx="4800600" cy="347472"/>
            <wp:effectExtent l="0" t="0" r="0" b="0"/>
            <wp:docPr id="30123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37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F6D9" w14:textId="0BA6B388" w:rsidR="00C8153D" w:rsidRDefault="00956990" w:rsidP="0037312C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542240D" wp14:editId="5BFF30B5">
            <wp:extent cx="4800600" cy="356616"/>
            <wp:effectExtent l="0" t="0" r="0" b="5715"/>
            <wp:docPr id="271070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70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7A95" w14:textId="42538C51" w:rsidR="00956990" w:rsidRDefault="001972D1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A3AE362" wp14:editId="5D4CEA8C">
            <wp:extent cx="4800600" cy="356616"/>
            <wp:effectExtent l="0" t="0" r="0" b="5715"/>
            <wp:docPr id="2022621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2194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83B98" w14:textId="09B4A512" w:rsidR="001972D1" w:rsidRDefault="009D40DD" w:rsidP="001972D1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722D4F72" wp14:editId="19A8FF7C">
            <wp:extent cx="4800600" cy="347472"/>
            <wp:effectExtent l="0" t="0" r="0" b="0"/>
            <wp:docPr id="1832705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052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92ED" w14:textId="561F78DF" w:rsidR="00956990" w:rsidRDefault="00BF511F" w:rsidP="001E3487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These</w:t>
      </w:r>
      <w:r w:rsidR="00B66A58">
        <w:rPr>
          <w:bCs/>
          <w:szCs w:val="22"/>
          <w:lang w:val="en-US"/>
        </w:rPr>
        <w:t xml:space="preserve"> </w:t>
      </w:r>
      <w:r w:rsidR="006955A6" w:rsidRPr="006955A6">
        <w:rPr>
          <w:bCs/>
          <w:szCs w:val="22"/>
          <w:lang w:val="en-US"/>
        </w:rPr>
        <w:t xml:space="preserve">definitions listed above </w:t>
      </w:r>
      <w:r w:rsidR="006955A6">
        <w:rPr>
          <w:bCs/>
          <w:szCs w:val="22"/>
          <w:lang w:val="en-US"/>
        </w:rPr>
        <w:t>must be removed from Annex C.</w:t>
      </w:r>
    </w:p>
    <w:p w14:paraId="5BAB5842" w14:textId="77777777" w:rsidR="00B207BD" w:rsidRDefault="00B207BD" w:rsidP="00B207BD">
      <w:pPr>
        <w:pStyle w:val="ListParagraph"/>
        <w:ind w:left="1440"/>
        <w:rPr>
          <w:bCs/>
          <w:szCs w:val="22"/>
          <w:lang w:val="en-US"/>
        </w:rPr>
      </w:pPr>
    </w:p>
    <w:p w14:paraId="4A5ED6EA" w14:textId="4A4EF1CC" w:rsidR="002A0971" w:rsidRDefault="00042675" w:rsidP="006D547A">
      <w:pPr>
        <w:pStyle w:val="ListParagraph"/>
        <w:numPr>
          <w:ilvl w:val="0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And</w:t>
      </w:r>
      <w:r w:rsidR="00F21708" w:rsidRPr="00F21708">
        <w:rPr>
          <w:bCs/>
          <w:szCs w:val="22"/>
          <w:lang w:val="en-US"/>
        </w:rPr>
        <w:t xml:space="preserve"> in Table 11-29a we have:</w:t>
      </w:r>
    </w:p>
    <w:p w14:paraId="7040002D" w14:textId="79D71372" w:rsidR="00DD522A" w:rsidRDefault="00DD522A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“Sensing Frame Exchange Timeout value” is correctly defined as </w:t>
      </w:r>
      <w:r w:rsidR="00403C53">
        <w:rPr>
          <w:bCs/>
          <w:szCs w:val="22"/>
          <w:lang w:val="en-US"/>
        </w:rPr>
        <w:t>a local variable</w:t>
      </w:r>
      <w:r w:rsidR="0046476B">
        <w:rPr>
          <w:bCs/>
          <w:szCs w:val="22"/>
          <w:lang w:val="en-US"/>
        </w:rPr>
        <w:t xml:space="preserve"> (and does not appear in Annex C)</w:t>
      </w:r>
      <w:r w:rsidR="00403C53">
        <w:rPr>
          <w:bCs/>
          <w:szCs w:val="22"/>
          <w:lang w:val="en-US"/>
        </w:rPr>
        <w:t>.</w:t>
      </w:r>
    </w:p>
    <w:p w14:paraId="52D17958" w14:textId="0F61ED3C" w:rsidR="00403C53" w:rsidRPr="00F21708" w:rsidRDefault="00403C53" w:rsidP="00DD522A">
      <w:pPr>
        <w:pStyle w:val="ListParagraph"/>
        <w:numPr>
          <w:ilvl w:val="1"/>
          <w:numId w:val="2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other three could </w:t>
      </w:r>
      <w:r w:rsidR="001E6896">
        <w:rPr>
          <w:bCs/>
          <w:szCs w:val="22"/>
          <w:lang w:val="en-US"/>
        </w:rPr>
        <w:t>be</w:t>
      </w:r>
      <w:r>
        <w:rPr>
          <w:bCs/>
          <w:szCs w:val="22"/>
          <w:lang w:val="en-US"/>
        </w:rPr>
        <w:t xml:space="preserve"> defined as </w:t>
      </w:r>
      <w:r w:rsidR="004A383A">
        <w:rPr>
          <w:bCs/>
          <w:szCs w:val="22"/>
          <w:lang w:val="en-US"/>
        </w:rPr>
        <w:t>a status MIB attribute</w:t>
      </w:r>
      <w:r w:rsidR="001E6896">
        <w:rPr>
          <w:bCs/>
          <w:szCs w:val="22"/>
          <w:lang w:val="en-US"/>
        </w:rPr>
        <w:t>, or not</w:t>
      </w:r>
      <w:r w:rsidR="004A383A">
        <w:rPr>
          <w:bCs/>
          <w:szCs w:val="22"/>
          <w:lang w:val="en-US"/>
        </w:rPr>
        <w:t>.</w:t>
      </w:r>
    </w:p>
    <w:p w14:paraId="7C8213ED" w14:textId="4C821CB1" w:rsidR="002A0971" w:rsidRDefault="00F21708" w:rsidP="00F21708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3693A2D8" wp14:editId="2E57D401">
            <wp:extent cx="4581144" cy="3922776"/>
            <wp:effectExtent l="0" t="0" r="0" b="1905"/>
            <wp:docPr id="2145502799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02799" name="Picture 1" descr="A picture containing text, screenshot, font, numb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392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EAF7" w14:textId="266A2FE0" w:rsidR="000E2844" w:rsidRDefault="000E2844" w:rsidP="00A571EB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19EC3D98" w14:textId="72D4A4D8" w:rsidR="00A70B1A" w:rsidRDefault="00A70B1A" w:rsidP="00A70B1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Discussion (cont.)</w:t>
      </w:r>
    </w:p>
    <w:p w14:paraId="164DD5F1" w14:textId="77777777" w:rsidR="00A70B1A" w:rsidRPr="00804922" w:rsidRDefault="00A70B1A" w:rsidP="000454BF">
      <w:pPr>
        <w:rPr>
          <w:bCs/>
          <w:szCs w:val="22"/>
          <w:lang w:val="en-US"/>
        </w:rPr>
      </w:pPr>
    </w:p>
    <w:p w14:paraId="22E19D8A" w14:textId="406720B3" w:rsidR="00A70B1A" w:rsidRDefault="00A70B1A" w:rsidP="000454B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Example:</w:t>
      </w:r>
    </w:p>
    <w:p w14:paraId="304601AA" w14:textId="4F5E47B2" w:rsidR="00A70B1A" w:rsidRPr="00804922" w:rsidRDefault="00A70B1A" w:rsidP="00105955">
      <w:pPr>
        <w:rPr>
          <w:bCs/>
          <w:szCs w:val="22"/>
          <w:lang w:val="en-US"/>
        </w:rPr>
      </w:pPr>
    </w:p>
    <w:p w14:paraId="679278D6" w14:textId="6A21531D" w:rsidR="00EC733E" w:rsidRDefault="00804922" w:rsidP="00804922">
      <w:pPr>
        <w:jc w:val="center"/>
        <w:rPr>
          <w:b/>
          <w:szCs w:val="22"/>
          <w:lang w:val="en-US"/>
        </w:rPr>
      </w:pPr>
      <w:r>
        <w:rPr>
          <w:noProof/>
        </w:rPr>
        <w:drawing>
          <wp:inline distT="0" distB="0" distL="0" distR="0" wp14:anchorId="1B7E81D7" wp14:editId="19CC60E6">
            <wp:extent cx="5157216" cy="3401568"/>
            <wp:effectExtent l="0" t="0" r="5715" b="8890"/>
            <wp:docPr id="1139410646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10646" name="Picture 1" descr="A picture containing text, screenshot, number, fon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340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61F3" w14:textId="77777777" w:rsidR="00804922" w:rsidRDefault="00804922" w:rsidP="0075661B">
      <w:pPr>
        <w:jc w:val="both"/>
        <w:rPr>
          <w:b/>
          <w:szCs w:val="22"/>
          <w:lang w:val="en-US"/>
        </w:rPr>
      </w:pPr>
    </w:p>
    <w:p w14:paraId="68036EDF" w14:textId="0504C437" w:rsidR="00B13E69" w:rsidRDefault="00B13E69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0AE75B62" w14:textId="77777777" w:rsidR="00B13E69" w:rsidRPr="00EE09FC" w:rsidRDefault="00B13E69" w:rsidP="00B13E69">
      <w:pPr>
        <w:rPr>
          <w:b/>
          <w:color w:val="4472C4" w:themeColor="accent1"/>
          <w:szCs w:val="22"/>
          <w:lang w:val="en-US"/>
        </w:rPr>
      </w:pPr>
      <w:r w:rsidRPr="00EE09FC">
        <w:rPr>
          <w:b/>
          <w:color w:val="4472C4" w:themeColor="accent1"/>
          <w:szCs w:val="22"/>
          <w:lang w:val="en-US"/>
        </w:rPr>
        <w:lastRenderedPageBreak/>
        <w:t>Discussion (cont.)</w:t>
      </w:r>
    </w:p>
    <w:p w14:paraId="68A97380" w14:textId="77777777" w:rsidR="00B13E69" w:rsidRPr="00EE09FC" w:rsidRDefault="00B13E69" w:rsidP="00B13E69">
      <w:pPr>
        <w:rPr>
          <w:bCs/>
          <w:color w:val="4472C4" w:themeColor="accent1"/>
          <w:szCs w:val="22"/>
          <w:lang w:val="en-US"/>
        </w:rPr>
      </w:pPr>
    </w:p>
    <w:p w14:paraId="7999DA68" w14:textId="2942AF94" w:rsidR="007D4AEA" w:rsidRPr="00EE09FC" w:rsidRDefault="00EE09FC" w:rsidP="007D4AEA">
      <w:pPr>
        <w:autoSpaceDE w:val="0"/>
        <w:autoSpaceDN w:val="0"/>
        <w:adjustRightInd w:val="0"/>
        <w:rPr>
          <w:color w:val="4472C4" w:themeColor="accent1"/>
        </w:rPr>
      </w:pPr>
      <w:r w:rsidRPr="00EE09FC">
        <w:rPr>
          <w:color w:val="4472C4" w:themeColor="accent1"/>
        </w:rPr>
        <w:t xml:space="preserve">In 05/25, </w:t>
      </w:r>
      <w:proofErr w:type="spellStart"/>
      <w:r w:rsidRPr="00EE09FC">
        <w:rPr>
          <w:color w:val="4472C4" w:themeColor="accent1"/>
        </w:rPr>
        <w:t>TGbf</w:t>
      </w:r>
      <w:proofErr w:type="spellEnd"/>
      <w:r w:rsidRPr="00EE09FC">
        <w:rPr>
          <w:color w:val="4472C4" w:themeColor="accent1"/>
        </w:rPr>
        <w:t xml:space="preserve"> supported the acceptance of the </w:t>
      </w:r>
      <w:r w:rsidR="00613A4A">
        <w:rPr>
          <w:color w:val="4472C4" w:themeColor="accent1"/>
        </w:rPr>
        <w:t>three</w:t>
      </w:r>
      <w:r w:rsidRPr="00EE09FC">
        <w:rPr>
          <w:color w:val="4472C4" w:themeColor="accent1"/>
        </w:rPr>
        <w:t xml:space="preserve"> comments</w:t>
      </w:r>
      <w:r w:rsidR="00613A4A">
        <w:rPr>
          <w:color w:val="4472C4" w:themeColor="accent1"/>
        </w:rPr>
        <w:t xml:space="preserve"> below.  The changes proposed in what follows </w:t>
      </w:r>
      <w:r w:rsidR="00A9586D">
        <w:rPr>
          <w:color w:val="4472C4" w:themeColor="accent1"/>
        </w:rPr>
        <w:t xml:space="preserve">(also marked in blue) the structure/wording of the </w:t>
      </w:r>
      <w:r w:rsidR="00187645">
        <w:rPr>
          <w:color w:val="4472C4" w:themeColor="accent1"/>
        </w:rPr>
        <w:t>three proposed changes below.</w:t>
      </w:r>
    </w:p>
    <w:p w14:paraId="5217F695" w14:textId="77777777" w:rsidR="007D4AEA" w:rsidRPr="00EE09FC" w:rsidRDefault="007D4AEA" w:rsidP="007D4AEA">
      <w:pPr>
        <w:autoSpaceDE w:val="0"/>
        <w:autoSpaceDN w:val="0"/>
        <w:adjustRightInd w:val="0"/>
        <w:rPr>
          <w:color w:val="4472C4" w:themeColor="accent1"/>
        </w:rPr>
      </w:pPr>
    </w:p>
    <w:tbl>
      <w:tblPr>
        <w:tblW w:w="9360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774"/>
        <w:gridCol w:w="3235"/>
        <w:gridCol w:w="5351"/>
      </w:tblGrid>
      <w:tr w:rsidR="00EE09FC" w:rsidRPr="00EE09FC" w14:paraId="2611BA34" w14:textId="77777777" w:rsidTr="00EE09FC">
        <w:trPr>
          <w:trHeight w:val="314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7099088" w14:textId="77777777" w:rsidR="007D4AEA" w:rsidRPr="00EE09FC" w:rsidRDefault="007D4AEA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EE09FC">
              <w:rPr>
                <w:b/>
                <w:bCs/>
                <w:color w:val="4472C4" w:themeColor="accent1"/>
                <w:szCs w:val="22"/>
                <w:lang w:val="en-SG" w:eastAsia="en-SG"/>
              </w:rPr>
              <w:t>CID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38BC0C9B" w14:textId="77777777" w:rsidR="007D4AEA" w:rsidRPr="00EE09FC" w:rsidRDefault="007D4AEA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EE09FC">
              <w:rPr>
                <w:b/>
                <w:bCs/>
                <w:color w:val="4472C4" w:themeColor="accent1"/>
                <w:szCs w:val="22"/>
                <w:lang w:val="en-SG" w:eastAsia="en-SG"/>
              </w:rPr>
              <w:t>Comment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213C6C41" w14:textId="77777777" w:rsidR="007D4AEA" w:rsidRPr="00EE09FC" w:rsidRDefault="007D4AEA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EE09FC">
              <w:rPr>
                <w:b/>
                <w:bCs/>
                <w:color w:val="4472C4" w:themeColor="accent1"/>
                <w:szCs w:val="22"/>
                <w:lang w:val="en-SG" w:eastAsia="en-SG"/>
              </w:rPr>
              <w:t>Proposed Change</w:t>
            </w:r>
          </w:p>
        </w:tc>
      </w:tr>
      <w:tr w:rsidR="001F1851" w:rsidRPr="001F1851" w14:paraId="7804AED5" w14:textId="77777777" w:rsidTr="00EE09FC">
        <w:trPr>
          <w:trHeight w:val="1340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1212666" w14:textId="77777777" w:rsidR="007D4AEA" w:rsidRPr="001F1851" w:rsidRDefault="007D4AEA">
            <w:pPr>
              <w:jc w:val="center"/>
              <w:rPr>
                <w:color w:val="4472C4" w:themeColor="accent1"/>
              </w:rPr>
            </w:pPr>
            <w:r w:rsidRPr="001F1851">
              <w:rPr>
                <w:color w:val="4472C4" w:themeColor="accent1"/>
              </w:rPr>
              <w:t>1966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15FD3EE" w14:textId="77777777" w:rsidR="007D4AEA" w:rsidRPr="001F1851" w:rsidRDefault="007D4AEA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>If the timeouts are recommended values (which seems more appropriate than completely optional) then use the verb "should"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2451FA86" w14:textId="77777777" w:rsidR="007D4AEA" w:rsidRPr="001F1851" w:rsidRDefault="007D4AEA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Change to "A sensing STA should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used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the timeouts defined in Table 11-29a." (In another comment I suggested we adopt the term "sensing STA" for the generic sensing participant. If we don't do this substitute the appropriate generic term)</w:t>
            </w:r>
          </w:p>
        </w:tc>
      </w:tr>
    </w:tbl>
    <w:p w14:paraId="78E47AA5" w14:textId="77777777" w:rsidR="001F1851" w:rsidRPr="001F1851" w:rsidRDefault="001F1851" w:rsidP="001F1851">
      <w:pPr>
        <w:autoSpaceDE w:val="0"/>
        <w:autoSpaceDN w:val="0"/>
        <w:adjustRightInd w:val="0"/>
        <w:rPr>
          <w:color w:val="4472C4" w:themeColor="accent1"/>
        </w:rPr>
      </w:pPr>
    </w:p>
    <w:tbl>
      <w:tblPr>
        <w:tblW w:w="9360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774"/>
        <w:gridCol w:w="3235"/>
        <w:gridCol w:w="5351"/>
      </w:tblGrid>
      <w:tr w:rsidR="001F1851" w:rsidRPr="001F1851" w14:paraId="583C1327" w14:textId="77777777" w:rsidTr="001F1851">
        <w:trPr>
          <w:trHeight w:val="368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D85DF78" w14:textId="77777777" w:rsidR="001F1851" w:rsidRPr="001F1851" w:rsidRDefault="001F1851">
            <w:pPr>
              <w:jc w:val="right"/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CID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45422A99" w14:textId="77777777" w:rsidR="001F1851" w:rsidRPr="001F1851" w:rsidRDefault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Comment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669144A" w14:textId="77777777" w:rsidR="001F1851" w:rsidRPr="001F1851" w:rsidRDefault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Proposed Change</w:t>
            </w:r>
          </w:p>
        </w:tc>
      </w:tr>
      <w:tr w:rsidR="001F1851" w:rsidRPr="001F1851" w14:paraId="3B7D63EC" w14:textId="77777777" w:rsidTr="001F1851">
        <w:trPr>
          <w:trHeight w:val="1596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3B7A8D2" w14:textId="77777777" w:rsidR="001F1851" w:rsidRPr="001F1851" w:rsidRDefault="001F1851">
            <w:pPr>
              <w:jc w:val="center"/>
              <w:rPr>
                <w:color w:val="4472C4" w:themeColor="accent1"/>
              </w:rPr>
            </w:pPr>
            <w:r w:rsidRPr="001F1851">
              <w:rPr>
                <w:color w:val="4472C4" w:themeColor="accent1"/>
              </w:rPr>
              <w:t>1969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5F998A43" w14:textId="77777777" w:rsidR="001F1851" w:rsidRPr="001F1851" w:rsidRDefault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205A18FD" w14:textId="77777777" w:rsidR="001F1851" w:rsidRPr="001F1851" w:rsidRDefault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unassociated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minimum time between the reception of a Sensing Measurement Setup Request frame with Comeback subfield equal to 1and the transmission of the corresponding Sensing Measurement Setup Query frame."</w:t>
            </w:r>
          </w:p>
        </w:tc>
      </w:tr>
    </w:tbl>
    <w:p w14:paraId="4AC50F1B" w14:textId="77777777" w:rsidR="001F1851" w:rsidRPr="001F1851" w:rsidRDefault="001F1851" w:rsidP="001F1851">
      <w:pPr>
        <w:autoSpaceDE w:val="0"/>
        <w:autoSpaceDN w:val="0"/>
        <w:adjustRightInd w:val="0"/>
        <w:rPr>
          <w:b/>
          <w:bCs/>
          <w:color w:val="4472C4" w:themeColor="accent1"/>
        </w:rPr>
      </w:pPr>
    </w:p>
    <w:tbl>
      <w:tblPr>
        <w:tblW w:w="9360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774"/>
        <w:gridCol w:w="3235"/>
        <w:gridCol w:w="5351"/>
      </w:tblGrid>
      <w:tr w:rsidR="001F1851" w:rsidRPr="001F1851" w14:paraId="779E55A4" w14:textId="77777777" w:rsidTr="001F1851">
        <w:trPr>
          <w:trHeight w:val="296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69C4CBF" w14:textId="77777777" w:rsidR="001F1851" w:rsidRPr="001F1851" w:rsidRDefault="001F1851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CID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302FFF8B" w14:textId="77777777" w:rsidR="001F1851" w:rsidRPr="001F1851" w:rsidRDefault="001F1851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Comment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3C6B335D" w14:textId="77777777" w:rsidR="001F1851" w:rsidRPr="001F1851" w:rsidRDefault="001F1851" w:rsidP="001F1851">
            <w:pPr>
              <w:rPr>
                <w:b/>
                <w:bCs/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b/>
                <w:bCs/>
                <w:color w:val="4472C4" w:themeColor="accent1"/>
                <w:szCs w:val="22"/>
                <w:lang w:val="en-SG" w:eastAsia="en-SG"/>
              </w:rPr>
              <w:t>Proposed Change</w:t>
            </w:r>
          </w:p>
        </w:tc>
      </w:tr>
      <w:tr w:rsidR="001F1851" w:rsidRPr="001F1851" w14:paraId="624EAF49" w14:textId="77777777" w:rsidTr="001F1851">
        <w:trPr>
          <w:trHeight w:val="1596"/>
        </w:trPr>
        <w:tc>
          <w:tcPr>
            <w:tcW w:w="77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0487323" w14:textId="77777777" w:rsidR="001F1851" w:rsidRPr="001F1851" w:rsidRDefault="001F1851" w:rsidP="001F1851">
            <w:pPr>
              <w:rPr>
                <w:color w:val="4472C4" w:themeColor="accent1"/>
              </w:rPr>
            </w:pPr>
            <w:r w:rsidRPr="001F1851">
              <w:rPr>
                <w:color w:val="4472C4" w:themeColor="accent1"/>
              </w:rPr>
              <w:t>1970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40F1EC10" w14:textId="77777777" w:rsidR="001F1851" w:rsidRPr="001F1851" w:rsidRDefault="001F1851" w:rsidP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>The normative requirement for each of these timeout values has already been established with the statement at 167.56 so the descriptions in the table should be exactly that; just a description of what the timeout value represents.</w:t>
            </w:r>
          </w:p>
        </w:tc>
        <w:tc>
          <w:tcPr>
            <w:tcW w:w="53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  <w:hideMark/>
          </w:tcPr>
          <w:p w14:paraId="1BFA0997" w14:textId="5245FFAD" w:rsidR="001F1851" w:rsidRPr="001F1851" w:rsidRDefault="001F1851" w:rsidP="001F1851">
            <w:pPr>
              <w:rPr>
                <w:color w:val="4472C4" w:themeColor="accent1"/>
                <w:szCs w:val="22"/>
                <w:lang w:val="en-SG" w:eastAsia="en-SG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Change to "For an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unassocaited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maximum time between the </w:t>
            </w:r>
            <w:r w:rsidR="00B33FDB" w:rsidRPr="001F1851">
              <w:rPr>
                <w:color w:val="4472C4" w:themeColor="accent1"/>
                <w:szCs w:val="22"/>
                <w:lang w:val="en-SG" w:eastAsia="en-SG"/>
              </w:rPr>
              <w:t>reception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of a Sensing Measurement Request frame with the Sensing </w:t>
            </w:r>
            <w:r w:rsidR="00B33FDB" w:rsidRPr="001F1851">
              <w:rPr>
                <w:color w:val="4472C4" w:themeColor="accent1"/>
                <w:szCs w:val="22"/>
                <w:lang w:val="en-SG" w:eastAsia="en-SG"/>
              </w:rPr>
              <w:t>Comeback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Info field equal to 1 and the sending of the </w:t>
            </w:r>
            <w:r w:rsidR="00B33FDB" w:rsidRPr="001F1851">
              <w:rPr>
                <w:color w:val="4472C4" w:themeColor="accent1"/>
                <w:szCs w:val="22"/>
                <w:lang w:val="en-SG" w:eastAsia="en-SG"/>
              </w:rPr>
              <w:t>corresponding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Sensing Measurement Setup Query frame."</w:t>
            </w:r>
          </w:p>
        </w:tc>
      </w:tr>
    </w:tbl>
    <w:p w14:paraId="5B34928F" w14:textId="77777777" w:rsidR="00B13E69" w:rsidRPr="001F1851" w:rsidRDefault="00B13E69" w:rsidP="0075661B">
      <w:pPr>
        <w:jc w:val="both"/>
        <w:rPr>
          <w:b/>
          <w:color w:val="4472C4" w:themeColor="accent1"/>
          <w:szCs w:val="22"/>
          <w:lang w:val="en-US"/>
        </w:rPr>
      </w:pPr>
    </w:p>
    <w:p w14:paraId="244CA89D" w14:textId="2DBA8524" w:rsidR="001F319C" w:rsidRDefault="001F319C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24998FA7" w14:textId="740CEB53" w:rsidR="000E2844" w:rsidRDefault="005D5443" w:rsidP="005D5443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Sensing Procedure</w:t>
      </w:r>
    </w:p>
    <w:p w14:paraId="3118A84E" w14:textId="5EAF85F2" w:rsidR="0096137B" w:rsidRDefault="000454BF" w:rsidP="00357CCC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</w:t>
      </w:r>
      <w:proofErr w:type="spellStart"/>
      <w:r w:rsidR="00353F52" w:rsidRPr="00326B43">
        <w:rPr>
          <w:b/>
          <w:bCs/>
          <w:i/>
          <w:iCs/>
          <w:szCs w:val="22"/>
          <w:lang w:val="en-US"/>
        </w:rPr>
        <w:t>TGbf</w:t>
      </w:r>
      <w:proofErr w:type="spellEnd"/>
      <w:r w:rsidR="00353F52" w:rsidRPr="00326B43">
        <w:rPr>
          <w:b/>
          <w:bCs/>
          <w:i/>
          <w:iCs/>
          <w:szCs w:val="22"/>
          <w:lang w:val="en-US"/>
        </w:rPr>
        <w:t xml:space="preserve"> editor:</w:t>
      </w:r>
      <w:r w:rsidR="00353F52">
        <w:rPr>
          <w:szCs w:val="22"/>
          <w:lang w:val="en-US"/>
        </w:rPr>
        <w:t xml:space="preserve"> </w:t>
      </w:r>
    </w:p>
    <w:p w14:paraId="0D2C95FF" w14:textId="6E17FB68" w:rsidR="00CA22E4" w:rsidRPr="0096137B" w:rsidRDefault="001B0167" w:rsidP="0096137B">
      <w:pPr>
        <w:pStyle w:val="ListParagraph"/>
        <w:numPr>
          <w:ilvl w:val="0"/>
          <w:numId w:val="22"/>
        </w:numPr>
        <w:rPr>
          <w:szCs w:val="22"/>
          <w:u w:val="single"/>
          <w:lang w:val="en-US"/>
        </w:rPr>
      </w:pPr>
      <w:r w:rsidRPr="0096137B">
        <w:rPr>
          <w:szCs w:val="22"/>
          <w:lang w:val="en-US"/>
        </w:rPr>
        <w:t>Change</w:t>
      </w:r>
      <w:r w:rsidR="00CA22E4" w:rsidRPr="0096137B">
        <w:rPr>
          <w:szCs w:val="22"/>
          <w:lang w:val="en-US"/>
        </w:rPr>
        <w:t xml:space="preserve"> the title of 11.55.1.2 </w:t>
      </w:r>
      <w:r w:rsidRPr="0096137B">
        <w:rPr>
          <w:szCs w:val="22"/>
          <w:lang w:val="en-US"/>
        </w:rPr>
        <w:t>to</w:t>
      </w:r>
      <w:r w:rsidR="00CA22E4" w:rsidRPr="0096137B">
        <w:rPr>
          <w:szCs w:val="22"/>
          <w:lang w:val="en-US"/>
        </w:rPr>
        <w:t xml:space="preserve"> </w:t>
      </w:r>
      <w:r w:rsidR="0096137B">
        <w:rPr>
          <w:szCs w:val="22"/>
          <w:lang w:val="en-US"/>
        </w:rPr>
        <w:t>“</w:t>
      </w:r>
      <w:r w:rsidR="00CA22E4" w:rsidRPr="0096137B">
        <w:rPr>
          <w:szCs w:val="22"/>
          <w:lang w:val="en-US"/>
        </w:rPr>
        <w:t xml:space="preserve">Dependencies </w:t>
      </w:r>
      <w:r w:rsidR="00CA22E4" w:rsidRPr="0096137B">
        <w:rPr>
          <w:szCs w:val="22"/>
          <w:u w:val="single"/>
          <w:lang w:val="en-US"/>
        </w:rPr>
        <w:t xml:space="preserve">and </w:t>
      </w:r>
      <w:r w:rsidR="001E6896">
        <w:rPr>
          <w:szCs w:val="22"/>
          <w:u w:val="single"/>
          <w:lang w:val="en-US"/>
        </w:rPr>
        <w:t xml:space="preserve">timing-related </w:t>
      </w:r>
      <w:r w:rsidR="00CC178C">
        <w:rPr>
          <w:szCs w:val="22"/>
          <w:u w:val="single"/>
          <w:lang w:val="en-US"/>
        </w:rPr>
        <w:t>parameters</w:t>
      </w:r>
      <w:r w:rsidR="0096137B" w:rsidRPr="0096137B">
        <w:rPr>
          <w:szCs w:val="22"/>
          <w:lang w:val="en-US"/>
        </w:rPr>
        <w:t>”.</w:t>
      </w:r>
    </w:p>
    <w:p w14:paraId="61DF8353" w14:textId="19FD8A63" w:rsidR="00353F52" w:rsidRPr="0096137B" w:rsidRDefault="006C1A73" w:rsidP="0096137B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11.55.1.2</w:t>
      </w:r>
    </w:p>
    <w:p w14:paraId="55CC2936" w14:textId="77777777" w:rsidR="00E70B6F" w:rsidRDefault="00E70B6F" w:rsidP="00357CCC">
      <w:pPr>
        <w:rPr>
          <w:szCs w:val="22"/>
          <w:lang w:val="en-US"/>
        </w:rPr>
      </w:pPr>
    </w:p>
    <w:p w14:paraId="08F06DB1" w14:textId="5FE8C497" w:rsidR="00A56481" w:rsidRDefault="00A56481" w:rsidP="00A56481">
      <w:pPr>
        <w:rPr>
          <w:strike/>
          <w:color w:val="4472C4" w:themeColor="accent1"/>
          <w:szCs w:val="22"/>
          <w:lang w:val="en-US"/>
        </w:rPr>
      </w:pPr>
      <w:r w:rsidRPr="00711990">
        <w:rPr>
          <w:strike/>
          <w:color w:val="4472C4" w:themeColor="accent1"/>
          <w:szCs w:val="22"/>
          <w:lang w:val="en-US"/>
        </w:rPr>
        <w:t xml:space="preserve">Table X1 defines </w:t>
      </w:r>
      <w:r w:rsidR="00432A70" w:rsidRPr="00711990">
        <w:rPr>
          <w:strike/>
          <w:color w:val="4472C4" w:themeColor="accent1"/>
          <w:szCs w:val="22"/>
          <w:lang w:val="en-US"/>
        </w:rPr>
        <w:t xml:space="preserve">timing-related </w:t>
      </w:r>
      <w:r w:rsidR="00457484" w:rsidRPr="00711990">
        <w:rPr>
          <w:strike/>
          <w:color w:val="4472C4" w:themeColor="accent1"/>
          <w:szCs w:val="22"/>
          <w:lang w:val="en-US"/>
        </w:rPr>
        <w:t>parameter</w:t>
      </w:r>
      <w:r w:rsidRPr="00711990">
        <w:rPr>
          <w:strike/>
          <w:color w:val="4472C4" w:themeColor="accent1"/>
          <w:szCs w:val="22"/>
          <w:lang w:val="en-US"/>
        </w:rPr>
        <w:t xml:space="preserve">s associated with the </w:t>
      </w:r>
      <w:r w:rsidR="0024117D" w:rsidRPr="00711990">
        <w:rPr>
          <w:strike/>
          <w:color w:val="4472C4" w:themeColor="accent1"/>
          <w:szCs w:val="22"/>
          <w:lang w:val="en-US"/>
        </w:rPr>
        <w:t>sensing</w:t>
      </w:r>
      <w:r w:rsidRPr="00711990">
        <w:rPr>
          <w:strike/>
          <w:color w:val="4472C4" w:themeColor="accent1"/>
          <w:szCs w:val="22"/>
          <w:lang w:val="en-US"/>
        </w:rPr>
        <w:t xml:space="preserve"> procedure.</w:t>
      </w:r>
    </w:p>
    <w:p w14:paraId="06BBC1D2" w14:textId="31758943" w:rsidR="008F0BB3" w:rsidRPr="008F0BB3" w:rsidRDefault="008F0BB3" w:rsidP="008F0BB3">
      <w:pPr>
        <w:rPr>
          <w:color w:val="4472C4" w:themeColor="accent1"/>
          <w:szCs w:val="22"/>
          <w:lang w:val="en-US"/>
        </w:rPr>
      </w:pPr>
      <w:r w:rsidRPr="008F0BB3">
        <w:rPr>
          <w:color w:val="4472C4" w:themeColor="accent1"/>
          <w:szCs w:val="22"/>
          <w:lang w:val="en-US"/>
        </w:rPr>
        <w:t xml:space="preserve">A sensing STA should use the timing-related parameters defined in Table </w:t>
      </w:r>
      <w:r>
        <w:rPr>
          <w:color w:val="4472C4" w:themeColor="accent1"/>
          <w:szCs w:val="22"/>
          <w:lang w:val="en-US"/>
        </w:rPr>
        <w:t>X1</w:t>
      </w:r>
      <w:r w:rsidRPr="008F0BB3">
        <w:rPr>
          <w:color w:val="4472C4" w:themeColor="accent1"/>
          <w:szCs w:val="22"/>
          <w:lang w:val="en-US"/>
        </w:rPr>
        <w:t>.</w:t>
      </w:r>
    </w:p>
    <w:p w14:paraId="44764360" w14:textId="77777777" w:rsidR="005D33FD" w:rsidRDefault="005D33FD" w:rsidP="00357CCC">
      <w:pPr>
        <w:rPr>
          <w:szCs w:val="22"/>
          <w:lang w:val="en-US"/>
        </w:rPr>
      </w:pPr>
    </w:p>
    <w:p w14:paraId="62844F8D" w14:textId="6ADDF1BA" w:rsidR="006C1A73" w:rsidRDefault="001A521E" w:rsidP="001A521E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X1</w:t>
      </w:r>
      <w:r w:rsidRPr="001A521E">
        <w:rPr>
          <w:szCs w:val="22"/>
          <w:lang w:val="en-US"/>
        </w:rPr>
        <w:t>—</w:t>
      </w:r>
      <w:r>
        <w:rPr>
          <w:szCs w:val="22"/>
          <w:lang w:val="en-US"/>
        </w:rPr>
        <w:t>Sensing</w:t>
      </w:r>
      <w:r w:rsidRPr="001A521E">
        <w:rPr>
          <w:szCs w:val="22"/>
          <w:lang w:val="en-US"/>
        </w:rPr>
        <w:t xml:space="preserve"> </w:t>
      </w:r>
      <w:r w:rsidR="00157699">
        <w:rPr>
          <w:szCs w:val="22"/>
          <w:lang w:val="en-US"/>
        </w:rPr>
        <w:t xml:space="preserve">procedure </w:t>
      </w:r>
      <w:r w:rsidR="00FD3060">
        <w:rPr>
          <w:szCs w:val="22"/>
          <w:lang w:val="en-US"/>
        </w:rPr>
        <w:t xml:space="preserve">timing-related </w:t>
      </w:r>
      <w:r w:rsidR="00C541BD">
        <w:rPr>
          <w:szCs w:val="22"/>
          <w:lang w:val="en-US"/>
        </w:rPr>
        <w:t>parameter</w:t>
      </w:r>
      <w:r w:rsidR="00CC178C">
        <w:rPr>
          <w:szCs w:val="22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2319"/>
        <w:gridCol w:w="3980"/>
      </w:tblGrid>
      <w:tr w:rsidR="00E70B6F" w14:paraId="6084393E" w14:textId="77777777" w:rsidTr="00E85528">
        <w:tc>
          <w:tcPr>
            <w:tcW w:w="2515" w:type="dxa"/>
          </w:tcPr>
          <w:p w14:paraId="63BB98B0" w14:textId="3B49E107" w:rsidR="00E70B6F" w:rsidRPr="00C66274" w:rsidRDefault="0034211F" w:rsidP="00357CCC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</w:t>
            </w:r>
          </w:p>
        </w:tc>
        <w:tc>
          <w:tcPr>
            <w:tcW w:w="2461" w:type="dxa"/>
          </w:tcPr>
          <w:p w14:paraId="2EDD8E7A" w14:textId="19336EDD" w:rsidR="00E70B6F" w:rsidRPr="00C66274" w:rsidRDefault="00672B43" w:rsidP="00357CCC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374" w:type="dxa"/>
          </w:tcPr>
          <w:p w14:paraId="04AF9F70" w14:textId="356809D0" w:rsidR="00E70B6F" w:rsidRPr="00C66274" w:rsidRDefault="00C66274" w:rsidP="00357CCC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C171CB" w14:paraId="16C2D662" w14:textId="77777777" w:rsidTr="00E85528">
        <w:tc>
          <w:tcPr>
            <w:tcW w:w="2515" w:type="dxa"/>
          </w:tcPr>
          <w:p w14:paraId="23D0F78E" w14:textId="3CC195AA" w:rsidR="00C171CB" w:rsidRPr="00901B78" w:rsidRDefault="00C171CB" w:rsidP="00C171CB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aS</w:t>
            </w:r>
            <w:r w:rsidRPr="00C91D75">
              <w:rPr>
                <w:i/>
                <w:iCs/>
                <w:szCs w:val="22"/>
                <w:lang w:val="en-US"/>
              </w:rPr>
              <w:t>ensing</w:t>
            </w:r>
            <w:r w:rsidR="00AD41D6" w:rsidRPr="00C91D75">
              <w:rPr>
                <w:i/>
                <w:iCs/>
                <w:szCs w:val="22"/>
                <w:lang w:val="en-US"/>
              </w:rPr>
              <w:t>FrameExchange</w:t>
            </w:r>
            <w:r w:rsidR="005000CB" w:rsidRPr="00C91D75">
              <w:rPr>
                <w:i/>
                <w:iCs/>
                <w:szCs w:val="22"/>
                <w:lang w:val="en-US"/>
              </w:rPr>
              <w:t>Ex</w:t>
            </w:r>
            <w:r w:rsidR="005000CB">
              <w:rPr>
                <w:i/>
                <w:iCs/>
                <w:szCs w:val="22"/>
                <w:lang w:val="en-US"/>
              </w:rPr>
              <w:t>piry</w:t>
            </w:r>
            <w:proofErr w:type="spellEnd"/>
          </w:p>
        </w:tc>
        <w:tc>
          <w:tcPr>
            <w:tcW w:w="2461" w:type="dxa"/>
          </w:tcPr>
          <w:p w14:paraId="22B5C1C1" w14:textId="27FD7682" w:rsidR="00C171CB" w:rsidRPr="00912462" w:rsidRDefault="00C171CB" w:rsidP="00C171C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20 </w:t>
            </w:r>
            <w:proofErr w:type="spellStart"/>
            <w:r>
              <w:rPr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374" w:type="dxa"/>
          </w:tcPr>
          <w:p w14:paraId="62826F1F" w14:textId="77777777" w:rsidR="00C171CB" w:rsidRPr="001439C2" w:rsidRDefault="00C171CB" w:rsidP="00C171CB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1439C2">
              <w:rPr>
                <w:strike/>
                <w:color w:val="4472C4" w:themeColor="accent1"/>
                <w:szCs w:val="22"/>
                <w:lang w:val="en-US"/>
              </w:rPr>
              <w:t>Sensing frame exchange timeout is detected within a STA’s MAC if the corresponding response frame is not received or not sent within this time.</w:t>
            </w:r>
          </w:p>
          <w:p w14:paraId="31D6C150" w14:textId="01C86AB3" w:rsidR="00C05E5B" w:rsidRDefault="00BD0B7F" w:rsidP="00C171CB">
            <w:pPr>
              <w:rPr>
                <w:szCs w:val="22"/>
                <w:lang w:val="en-US"/>
              </w:rPr>
            </w:pPr>
            <w:r w:rsidRPr="00BD0B7F">
              <w:rPr>
                <w:color w:val="4472C4" w:themeColor="accent1"/>
                <w:szCs w:val="22"/>
                <w:lang w:val="en-SG" w:eastAsia="en-SG"/>
              </w:rPr>
              <w:t xml:space="preserve">The maximum time interval between the reception of a Sensing Measurement Request frame and the 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 xml:space="preserve">transmission </w:t>
            </w:r>
            <w:r w:rsidRPr="00BD0B7F">
              <w:rPr>
                <w:color w:val="4472C4" w:themeColor="accent1"/>
                <w:szCs w:val="22"/>
                <w:lang w:val="en-SG" w:eastAsia="en-SG"/>
              </w:rPr>
              <w:t>of the corresponding Sensing Measurement Response frame, or the reception of a Sensing Measurement Query frame and the sensing of the corresponding Sensing Measurement Request frame.</w:t>
            </w:r>
          </w:p>
        </w:tc>
      </w:tr>
      <w:tr w:rsidR="0033547F" w14:paraId="696E1123" w14:textId="77777777" w:rsidTr="00E85528">
        <w:tc>
          <w:tcPr>
            <w:tcW w:w="2515" w:type="dxa"/>
          </w:tcPr>
          <w:p w14:paraId="4904C6CE" w14:textId="77777777" w:rsidR="009B640F" w:rsidRPr="009B640F" w:rsidRDefault="009B640F" w:rsidP="0033547F">
            <w:pPr>
              <w:rPr>
                <w:i/>
                <w:iCs/>
                <w:strike/>
                <w:color w:val="4472C4" w:themeColor="accent1"/>
                <w:szCs w:val="22"/>
                <w:lang w:val="en-US"/>
              </w:rPr>
            </w:pPr>
            <w:proofErr w:type="spellStart"/>
            <w:r w:rsidRPr="009B640F">
              <w:rPr>
                <w:i/>
                <w:iCs/>
                <w:strike/>
                <w:color w:val="4472C4" w:themeColor="accent1"/>
                <w:szCs w:val="22"/>
                <w:lang w:val="en-US"/>
              </w:rPr>
              <w:t>aSensingSessionExpiry</w:t>
            </w:r>
            <w:proofErr w:type="spellEnd"/>
          </w:p>
          <w:p w14:paraId="4F4D7B5C" w14:textId="16E4224E" w:rsidR="0033547F" w:rsidRPr="00901B78" w:rsidRDefault="009B640F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B640F">
              <w:rPr>
                <w:i/>
                <w:iCs/>
                <w:color w:val="4472C4" w:themeColor="accent1"/>
                <w:szCs w:val="22"/>
                <w:lang w:val="en-US"/>
              </w:rPr>
              <w:t>aMeasurementSessionExpiry</w:t>
            </w:r>
            <w:proofErr w:type="spellEnd"/>
          </w:p>
        </w:tc>
        <w:tc>
          <w:tcPr>
            <w:tcW w:w="2461" w:type="dxa"/>
          </w:tcPr>
          <w:p w14:paraId="6A825B66" w14:textId="24E44F92" w:rsidR="0033547F" w:rsidRDefault="008C4B34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Set to the value </w:t>
            </w:r>
            <w:r w:rsidR="0091254D" w:rsidRPr="009B640F">
              <w:rPr>
                <w:strike/>
                <w:color w:val="4472C4" w:themeColor="accent1"/>
                <w:szCs w:val="22"/>
                <w:lang w:val="en-US"/>
              </w:rPr>
              <w:t>indicated in</w:t>
            </w:r>
            <w:r w:rsidR="003125A8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B640F" w:rsidRPr="009B640F">
              <w:rPr>
                <w:color w:val="4472C4" w:themeColor="accent1"/>
                <w:szCs w:val="22"/>
                <w:lang w:val="en-US"/>
              </w:rPr>
              <w:t>derived from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3125A8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FD65E5" w:rsidRPr="00FD65E5">
              <w:rPr>
                <w:color w:val="000000" w:themeColor="text1"/>
                <w:szCs w:val="22"/>
                <w:lang w:val="en-US"/>
              </w:rPr>
              <w:t xml:space="preserve">Measurement Session Expiry Exponent field </w:t>
            </w:r>
            <w:r w:rsidR="00882DF1">
              <w:rPr>
                <w:color w:val="000000" w:themeColor="text1"/>
                <w:szCs w:val="22"/>
                <w:lang w:val="en-US"/>
              </w:rPr>
              <w:t xml:space="preserve">of the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  <w:r w:rsidR="0091254D">
              <w:rPr>
                <w:color w:val="000000" w:themeColor="text1"/>
                <w:szCs w:val="22"/>
                <w:lang w:val="en-US"/>
              </w:rPr>
              <w:t xml:space="preserve"> that established the sensing session</w:t>
            </w:r>
          </w:p>
        </w:tc>
        <w:tc>
          <w:tcPr>
            <w:tcW w:w="4374" w:type="dxa"/>
          </w:tcPr>
          <w:p w14:paraId="0066A71E" w14:textId="77777777" w:rsidR="0033547F" w:rsidRPr="0016564A" w:rsidRDefault="0033547F" w:rsidP="0033547F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16564A">
              <w:rPr>
                <w:strike/>
                <w:color w:val="4472C4" w:themeColor="accent1"/>
                <w:szCs w:val="22"/>
                <w:lang w:val="en-US"/>
              </w:rPr>
              <w:t>Upon expiry of the corresponding sensing measurement session expiry timer, the sensing initiator and sensing responder shall terminate the sensing measurement session (see 11.55.1.6 (Sensing measurement termination)).</w:t>
            </w:r>
          </w:p>
          <w:p w14:paraId="25F9563C" w14:textId="4967C61C" w:rsidR="007538A3" w:rsidRPr="003E7C28" w:rsidRDefault="007538A3" w:rsidP="00E85528">
            <w:pPr>
              <w:rPr>
                <w:szCs w:val="22"/>
                <w:lang w:val="en-US"/>
              </w:rPr>
            </w:pPr>
            <w:r>
              <w:rPr>
                <w:color w:val="4472C4" w:themeColor="accent1"/>
                <w:szCs w:val="22"/>
                <w:lang w:val="en-SG" w:eastAsia="en-SG"/>
              </w:rPr>
              <w:t>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he maximum </w:t>
            </w:r>
            <w:r w:rsidR="00F21143">
              <w:rPr>
                <w:color w:val="4472C4" w:themeColor="accent1"/>
                <w:szCs w:val="22"/>
                <w:lang w:val="en-SG" w:eastAsia="en-SG"/>
              </w:rPr>
              <w:t>duration f</w:t>
            </w:r>
            <w:r w:rsidR="00B6207A">
              <w:rPr>
                <w:color w:val="4472C4" w:themeColor="accent1"/>
                <w:szCs w:val="22"/>
                <w:lang w:val="en-SG" w:eastAsia="en-SG"/>
              </w:rPr>
              <w:t>or</w:t>
            </w:r>
            <w:r w:rsidR="00F21143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="00B6207A">
              <w:rPr>
                <w:color w:val="4472C4" w:themeColor="accent1"/>
                <w:szCs w:val="22"/>
                <w:lang w:val="en-SG" w:eastAsia="en-SG"/>
              </w:rPr>
              <w:t>the established</w:t>
            </w:r>
            <w:r w:rsidR="00D47A0B">
              <w:rPr>
                <w:color w:val="4472C4" w:themeColor="accent1"/>
                <w:szCs w:val="22"/>
                <w:lang w:val="en-SG" w:eastAsia="en-SG"/>
              </w:rPr>
              <w:t xml:space="preserve"> sensing measurement session</w:t>
            </w:r>
            <w:r w:rsidR="00D65330">
              <w:rPr>
                <w:color w:val="4472C4" w:themeColor="accent1"/>
                <w:szCs w:val="22"/>
                <w:lang w:val="en-SG" w:eastAsia="en-SG"/>
              </w:rPr>
              <w:t>.</w:t>
            </w:r>
          </w:p>
        </w:tc>
      </w:tr>
      <w:tr w:rsidR="0033547F" w14:paraId="055611BE" w14:textId="77777777" w:rsidTr="00E85528">
        <w:tc>
          <w:tcPr>
            <w:tcW w:w="2515" w:type="dxa"/>
          </w:tcPr>
          <w:p w14:paraId="5C92F6E7" w14:textId="5517F479" w:rsidR="0033547F" w:rsidRPr="00901B78" w:rsidRDefault="00915BD0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>
              <w:rPr>
                <w:i/>
                <w:iCs/>
                <w:szCs w:val="22"/>
                <w:lang w:val="en-US"/>
              </w:rPr>
              <w:t>aSensing</w:t>
            </w:r>
            <w:r w:rsidR="004E48F8">
              <w:rPr>
                <w:i/>
                <w:iCs/>
                <w:szCs w:val="22"/>
                <w:lang w:val="en-US"/>
              </w:rPr>
              <w:t>ComebackAfter</w:t>
            </w:r>
            <w:proofErr w:type="spellEnd"/>
          </w:p>
        </w:tc>
        <w:tc>
          <w:tcPr>
            <w:tcW w:w="2461" w:type="dxa"/>
          </w:tcPr>
          <w:p w14:paraId="0D16D097" w14:textId="25177D33" w:rsidR="0033547F" w:rsidRDefault="001E4FEF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Set to the value </w:t>
            </w:r>
            <w:r w:rsidR="009B640F" w:rsidRPr="009B640F">
              <w:rPr>
                <w:strike/>
                <w:color w:val="4472C4" w:themeColor="accent1"/>
                <w:szCs w:val="22"/>
                <w:lang w:val="en-US"/>
              </w:rPr>
              <w:t>indicated in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B640F" w:rsidRPr="009B640F">
              <w:rPr>
                <w:color w:val="4472C4" w:themeColor="accent1"/>
                <w:szCs w:val="22"/>
                <w:lang w:val="en-US"/>
              </w:rPr>
              <w:t>derived from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854D7D" w:rsidRPr="00854D7D">
              <w:rPr>
                <w:color w:val="000000" w:themeColor="text1"/>
                <w:szCs w:val="22"/>
                <w:lang w:val="en-US"/>
              </w:rPr>
              <w:t xml:space="preserve">Unassociated STA Comeback After field </w:t>
            </w:r>
            <w:r>
              <w:rPr>
                <w:color w:val="000000" w:themeColor="text1"/>
                <w:szCs w:val="22"/>
                <w:lang w:val="en-US"/>
              </w:rPr>
              <w:t>of the</w:t>
            </w:r>
            <w:r w:rsidR="002345BE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812CB">
              <w:rPr>
                <w:color w:val="000000" w:themeColor="text1"/>
                <w:szCs w:val="22"/>
                <w:lang w:val="en-US"/>
              </w:rPr>
              <w:t xml:space="preserve">associated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>Sensing Measurement Request frame</w:t>
            </w:r>
          </w:p>
        </w:tc>
        <w:tc>
          <w:tcPr>
            <w:tcW w:w="4374" w:type="dxa"/>
          </w:tcPr>
          <w:p w14:paraId="62D9FF31" w14:textId="77777777" w:rsidR="0033547F" w:rsidRPr="00ED666D" w:rsidRDefault="0033547F" w:rsidP="0033547F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ED666D">
              <w:rPr>
                <w:strike/>
                <w:color w:val="4472C4" w:themeColor="accent1"/>
                <w:szCs w:val="22"/>
                <w:lang w:val="en-US"/>
              </w:rPr>
              <w:t>Upon reception of a Sensing Measurement Request frame with Comeback field of the Sensing Comeback Info field set to 1, the unassociated non-AP STA should transmit a Sensing Measurement Query frame to the AP after this time (see 11.55.1.4 (Sensing measurement session)).</w:t>
            </w:r>
          </w:p>
          <w:p w14:paraId="3F4CEE12" w14:textId="275AE3BE" w:rsidR="00C74C07" w:rsidRPr="003E7C28" w:rsidRDefault="00C74C07" w:rsidP="0033547F">
            <w:pPr>
              <w:rPr>
                <w:szCs w:val="22"/>
                <w:lang w:val="en-US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For an </w:t>
            </w:r>
            <w:proofErr w:type="spellStart"/>
            <w:r w:rsidRPr="001F1851">
              <w:rPr>
                <w:color w:val="4472C4" w:themeColor="accent1"/>
                <w:szCs w:val="22"/>
                <w:lang w:val="en-SG" w:eastAsia="en-SG"/>
              </w:rPr>
              <w:t>unassociated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minimum time between the reception of a Sensing Measurement </w:t>
            </w:r>
            <w:r w:rsidRPr="00623A68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Setup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Request frame with Comeback </w:t>
            </w:r>
            <w:r w:rsidRPr="00AA619C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sub</w:t>
            </w:r>
            <w:r w:rsidRPr="00AA619C">
              <w:rPr>
                <w:color w:val="4472C4" w:themeColor="accent1"/>
                <w:szCs w:val="22"/>
                <w:lang w:val="en-SG" w:eastAsia="en-SG"/>
              </w:rPr>
              <w:t>field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="00362491">
              <w:rPr>
                <w:color w:val="4472C4" w:themeColor="accent1"/>
                <w:szCs w:val="22"/>
                <w:highlight w:val="yellow"/>
                <w:lang w:val="en-SG" w:eastAsia="en-SG"/>
              </w:rPr>
              <w:t>within</w:t>
            </w:r>
            <w:r w:rsidR="0004291D" w:rsidRPr="0004291D">
              <w:rPr>
                <w:color w:val="4472C4" w:themeColor="accent1"/>
                <w:szCs w:val="22"/>
                <w:highlight w:val="yellow"/>
                <w:lang w:val="en-SG" w:eastAsia="en-SG"/>
              </w:rPr>
              <w:t xml:space="preserve"> the Sensing Comeback Info field</w:t>
            </w:r>
            <w:r w:rsidR="0004291D" w:rsidRPr="0004291D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equal to 1</w:t>
            </w:r>
            <w:r w:rsidR="00CD1829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and the transmission of the corresponding Sensing Measurement </w:t>
            </w:r>
            <w:r w:rsidRPr="009C4553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Setup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Query </w:t>
            </w:r>
            <w:proofErr w:type="gramStart"/>
            <w:r w:rsidRPr="001F1851">
              <w:rPr>
                <w:color w:val="4472C4" w:themeColor="accent1"/>
                <w:szCs w:val="22"/>
                <w:lang w:val="en-SG" w:eastAsia="en-SG"/>
              </w:rPr>
              <w:t>frame</w:t>
            </w:r>
            <w:r w:rsidR="00671E2F">
              <w:rPr>
                <w:color w:val="4472C4" w:themeColor="accent1"/>
                <w:szCs w:val="22"/>
                <w:lang w:val="en-SG" w:eastAsia="en-SG"/>
              </w:rPr>
              <w:t>(</w:t>
            </w:r>
            <w:proofErr w:type="gramEnd"/>
            <w:r w:rsidR="00671E2F">
              <w:rPr>
                <w:color w:val="4472C4" w:themeColor="accent1"/>
                <w:szCs w:val="22"/>
                <w:lang w:val="en-SG" w:eastAsia="en-SG"/>
              </w:rPr>
              <w:t>#1969)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.</w:t>
            </w:r>
          </w:p>
        </w:tc>
      </w:tr>
      <w:tr w:rsidR="0033547F" w14:paraId="09C8BB6B" w14:textId="77777777" w:rsidTr="00E85528">
        <w:tc>
          <w:tcPr>
            <w:tcW w:w="2515" w:type="dxa"/>
          </w:tcPr>
          <w:p w14:paraId="5C3BAA47" w14:textId="30C10748" w:rsidR="0033547F" w:rsidRPr="00901B78" w:rsidRDefault="004E48F8" w:rsidP="0033547F">
            <w:pPr>
              <w:rPr>
                <w:i/>
                <w:iCs/>
                <w:szCs w:val="22"/>
                <w:lang w:val="en-US"/>
              </w:rPr>
            </w:pPr>
            <w:proofErr w:type="spellStart"/>
            <w:r>
              <w:rPr>
                <w:i/>
                <w:iCs/>
                <w:szCs w:val="22"/>
                <w:lang w:val="en-US"/>
              </w:rPr>
              <w:t>aSensingComebackBefore</w:t>
            </w:r>
            <w:proofErr w:type="spellEnd"/>
          </w:p>
        </w:tc>
        <w:tc>
          <w:tcPr>
            <w:tcW w:w="2461" w:type="dxa"/>
          </w:tcPr>
          <w:p w14:paraId="78005150" w14:textId="32E17684" w:rsidR="0033547F" w:rsidRDefault="002345BE" w:rsidP="0033547F">
            <w:pPr>
              <w:rPr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Set to the value </w:t>
            </w:r>
            <w:r w:rsidR="009B640F" w:rsidRPr="009B640F">
              <w:rPr>
                <w:strike/>
                <w:color w:val="4472C4" w:themeColor="accent1"/>
                <w:szCs w:val="22"/>
                <w:lang w:val="en-US"/>
              </w:rPr>
              <w:t>indicated in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9B640F" w:rsidRPr="009B640F">
              <w:rPr>
                <w:color w:val="4472C4" w:themeColor="accent1"/>
                <w:szCs w:val="22"/>
                <w:lang w:val="en-US"/>
              </w:rPr>
              <w:t>derived from</w:t>
            </w:r>
            <w:r w:rsidR="009B640F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854D7D" w:rsidRPr="00854D7D">
              <w:rPr>
                <w:color w:val="000000" w:themeColor="text1"/>
                <w:szCs w:val="22"/>
                <w:lang w:val="en-US"/>
              </w:rPr>
              <w:t xml:space="preserve">Unassociated STA Comeback Before Exponent field </w:t>
            </w:r>
            <w:r>
              <w:rPr>
                <w:color w:val="000000" w:themeColor="text1"/>
                <w:szCs w:val="22"/>
                <w:lang w:val="en-US"/>
              </w:rPr>
              <w:t xml:space="preserve">of the </w:t>
            </w:r>
            <w:r w:rsidR="009812CB">
              <w:rPr>
                <w:color w:val="000000" w:themeColor="text1"/>
                <w:szCs w:val="22"/>
                <w:lang w:val="en-US"/>
              </w:rPr>
              <w:t>associated</w:t>
            </w:r>
            <w:r w:rsidR="00BB7D4A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t xml:space="preserve">Sensing </w:t>
            </w:r>
            <w:r w:rsidR="00BB7D4A" w:rsidRPr="00BB7D4A">
              <w:rPr>
                <w:color w:val="000000" w:themeColor="text1"/>
                <w:szCs w:val="22"/>
                <w:lang w:val="en-US"/>
              </w:rPr>
              <w:lastRenderedPageBreak/>
              <w:t>Measurement Request frame</w:t>
            </w:r>
          </w:p>
        </w:tc>
        <w:tc>
          <w:tcPr>
            <w:tcW w:w="4374" w:type="dxa"/>
          </w:tcPr>
          <w:p w14:paraId="4E5A90D2" w14:textId="77777777" w:rsidR="0033547F" w:rsidRDefault="0033547F" w:rsidP="0033547F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8E2D25">
              <w:rPr>
                <w:strike/>
                <w:color w:val="4472C4" w:themeColor="accent1"/>
                <w:szCs w:val="22"/>
                <w:lang w:val="en-US"/>
              </w:rPr>
              <w:lastRenderedPageBreak/>
              <w:t>Upon reception of a Sensing Measurement Request frame with Comeback field of the Sensing Comeback Info field set to 1, the unassociated non-AP STA should transmit a Sensing Measurement Query frame to the AP before this time (see 11.55.1.4 (Sensing measurement session)).</w:t>
            </w:r>
          </w:p>
          <w:p w14:paraId="3F3C5D01" w14:textId="1F0DBC8F" w:rsidR="008E2D25" w:rsidRPr="008E2D25" w:rsidRDefault="008E2D25" w:rsidP="0033547F">
            <w:pPr>
              <w:rPr>
                <w:strike/>
                <w:szCs w:val="22"/>
                <w:lang w:val="en-US"/>
              </w:rPr>
            </w:pPr>
            <w:r w:rsidRPr="001F1851">
              <w:rPr>
                <w:color w:val="4472C4" w:themeColor="accent1"/>
                <w:szCs w:val="22"/>
                <w:lang w:val="en-SG" w:eastAsia="en-SG"/>
              </w:rPr>
              <w:lastRenderedPageBreak/>
              <w:t xml:space="preserve">For an </w:t>
            </w:r>
            <w:proofErr w:type="spellStart"/>
            <w:r w:rsidR="009C5F05" w:rsidRPr="009C5F05">
              <w:rPr>
                <w:color w:val="4472C4" w:themeColor="accent1"/>
                <w:szCs w:val="22"/>
                <w:highlight w:val="yellow"/>
                <w:lang w:val="en-SG" w:eastAsia="en-SG"/>
              </w:rPr>
              <w:t>un</w:t>
            </w:r>
            <w:r w:rsidR="00D67864" w:rsidRPr="001F1851">
              <w:rPr>
                <w:color w:val="4472C4" w:themeColor="accent1"/>
                <w:szCs w:val="22"/>
                <w:lang w:val="en-SG" w:eastAsia="en-SG"/>
              </w:rPr>
              <w:t>associated</w:t>
            </w:r>
            <w:proofErr w:type="spellEnd"/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non-AP STA, the maximum time between the reception of a Sensing Measurement Request frame with the </w:t>
            </w:r>
            <w:r w:rsidR="00362491" w:rsidRPr="00362491">
              <w:rPr>
                <w:color w:val="4472C4" w:themeColor="accent1"/>
                <w:szCs w:val="22"/>
                <w:highlight w:val="yellow"/>
                <w:u w:val="single"/>
                <w:lang w:val="en-SG" w:eastAsia="en-SG"/>
              </w:rPr>
              <w:t>Comeback field within the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Sensing Comeback Info field equal to 1 and the </w:t>
            </w:r>
            <w:r w:rsidRPr="00362491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sending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="00362491" w:rsidRPr="00362491">
              <w:rPr>
                <w:color w:val="4472C4" w:themeColor="accent1"/>
                <w:szCs w:val="22"/>
                <w:highlight w:val="yellow"/>
                <w:u w:val="single"/>
                <w:lang w:val="en-SG" w:eastAsia="en-SG"/>
              </w:rPr>
              <w:t>transmission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of the corresponding Sensing Measurement </w:t>
            </w:r>
            <w:r w:rsidRPr="00623A68">
              <w:rPr>
                <w:strike/>
                <w:color w:val="4472C4" w:themeColor="accent1"/>
                <w:szCs w:val="22"/>
                <w:highlight w:val="yellow"/>
                <w:lang w:val="en-SG" w:eastAsia="en-SG"/>
              </w:rPr>
              <w:t>Setup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Query </w:t>
            </w:r>
            <w:proofErr w:type="gramStart"/>
            <w:r w:rsidRPr="001F1851">
              <w:rPr>
                <w:color w:val="4472C4" w:themeColor="accent1"/>
                <w:szCs w:val="22"/>
                <w:lang w:val="en-SG" w:eastAsia="en-SG"/>
              </w:rPr>
              <w:t>frame</w:t>
            </w:r>
            <w:r>
              <w:rPr>
                <w:color w:val="4472C4" w:themeColor="accent1"/>
                <w:szCs w:val="22"/>
                <w:lang w:val="en-SG" w:eastAsia="en-SG"/>
              </w:rPr>
              <w:t>(</w:t>
            </w:r>
            <w:proofErr w:type="gramEnd"/>
            <w:r>
              <w:rPr>
                <w:color w:val="4472C4" w:themeColor="accent1"/>
                <w:szCs w:val="22"/>
                <w:lang w:val="en-SG" w:eastAsia="en-SG"/>
              </w:rPr>
              <w:t>#1970)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.</w:t>
            </w:r>
          </w:p>
        </w:tc>
      </w:tr>
    </w:tbl>
    <w:p w14:paraId="3EA91A4D" w14:textId="77777777" w:rsidR="00E70B6F" w:rsidRPr="00821D84" w:rsidRDefault="00E70B6F" w:rsidP="00357CCC">
      <w:pPr>
        <w:rPr>
          <w:szCs w:val="22"/>
          <w:lang w:val="en-US"/>
        </w:rPr>
      </w:pPr>
    </w:p>
    <w:p w14:paraId="186C09CA" w14:textId="77777777" w:rsidR="00901B78" w:rsidRDefault="00353F52" w:rsidP="00821D84">
      <w:pPr>
        <w:rPr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</w:t>
      </w:r>
      <w:r w:rsidRPr="00353F52">
        <w:rPr>
          <w:b/>
          <w:bCs/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</w:p>
    <w:p w14:paraId="10C37E55" w14:textId="21E98288" w:rsidR="00222E3F" w:rsidRDefault="00BA34ED" w:rsidP="00901B78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Table 11-29a.</w:t>
      </w:r>
    </w:p>
    <w:p w14:paraId="2EA5CE94" w14:textId="06818DE1" w:rsidR="002C2A5E" w:rsidRPr="0097001B" w:rsidRDefault="002C2A5E" w:rsidP="00D202A5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7001B">
        <w:rPr>
          <w:szCs w:val="22"/>
          <w:lang w:val="en-US"/>
        </w:rPr>
        <w:t xml:space="preserve">Replace references to </w:t>
      </w:r>
      <w:r w:rsidR="004B3805" w:rsidRPr="0097001B">
        <w:rPr>
          <w:szCs w:val="22"/>
          <w:lang w:val="en-US"/>
        </w:rPr>
        <w:t xml:space="preserve">“Sensing Measurement Session Expiry value”, “Unassociated STA Comeback After value”, and </w:t>
      </w:r>
      <w:r w:rsidR="0097001B" w:rsidRPr="0097001B">
        <w:rPr>
          <w:szCs w:val="22"/>
          <w:lang w:val="en-US"/>
        </w:rPr>
        <w:t xml:space="preserve">“Unassociated STA Comeback Before value” with </w:t>
      </w:r>
      <w:proofErr w:type="spellStart"/>
      <w:r w:rsidR="009B640F">
        <w:rPr>
          <w:szCs w:val="22"/>
          <w:lang w:val="en-US"/>
        </w:rPr>
        <w:t>aMeasurementSessionExpiry</w:t>
      </w:r>
      <w:proofErr w:type="spellEnd"/>
      <w:r w:rsidR="0097001B" w:rsidRPr="0097001B">
        <w:rPr>
          <w:szCs w:val="22"/>
          <w:lang w:val="en-US"/>
        </w:rPr>
        <w:t xml:space="preserve">, </w:t>
      </w:r>
      <w:proofErr w:type="spellStart"/>
      <w:r w:rsidR="0097001B" w:rsidRPr="0097001B">
        <w:rPr>
          <w:szCs w:val="22"/>
          <w:lang w:val="en-US"/>
        </w:rPr>
        <w:t>aSensingComebackAfter</w:t>
      </w:r>
      <w:proofErr w:type="spellEnd"/>
      <w:r w:rsidR="0097001B" w:rsidRPr="0097001B">
        <w:rPr>
          <w:szCs w:val="22"/>
          <w:lang w:val="en-US"/>
        </w:rPr>
        <w:t xml:space="preserve">, and </w:t>
      </w:r>
      <w:proofErr w:type="spellStart"/>
      <w:r w:rsidR="0097001B" w:rsidRPr="0097001B">
        <w:rPr>
          <w:szCs w:val="22"/>
          <w:lang w:val="en-US"/>
        </w:rPr>
        <w:t>aSensingComebackBefore</w:t>
      </w:r>
      <w:proofErr w:type="spellEnd"/>
      <w:r w:rsidR="0097001B">
        <w:rPr>
          <w:szCs w:val="22"/>
          <w:lang w:val="en-US"/>
        </w:rPr>
        <w:t>, respectively.</w:t>
      </w:r>
    </w:p>
    <w:p w14:paraId="004BC23D" w14:textId="77777777" w:rsidR="00326B43" w:rsidRDefault="00326B43" w:rsidP="00326B43">
      <w:pPr>
        <w:rPr>
          <w:szCs w:val="22"/>
          <w:lang w:val="en-US"/>
        </w:rPr>
      </w:pPr>
    </w:p>
    <w:p w14:paraId="34DA1158" w14:textId="2CD82234" w:rsidR="00326B43" w:rsidRDefault="00326B4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64AF407E" w14:textId="179E866F" w:rsidR="00246249" w:rsidRDefault="00246249" w:rsidP="00246249">
      <w:pPr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Sensing Procedure</w:t>
      </w:r>
      <w:r w:rsidR="00EF6F66">
        <w:rPr>
          <w:b/>
          <w:szCs w:val="22"/>
          <w:lang w:val="en-US"/>
        </w:rPr>
        <w:t xml:space="preserve"> (Cont.)</w:t>
      </w:r>
    </w:p>
    <w:p w14:paraId="324A0C9F" w14:textId="77777777" w:rsidR="00246249" w:rsidRDefault="00246249" w:rsidP="00246249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 </w:t>
      </w:r>
      <w:proofErr w:type="spellStart"/>
      <w:r w:rsidRPr="00326B43">
        <w:rPr>
          <w:b/>
          <w:bCs/>
          <w:i/>
          <w:iCs/>
          <w:szCs w:val="22"/>
          <w:lang w:val="en-US"/>
        </w:rPr>
        <w:t>TGbf</w:t>
      </w:r>
      <w:proofErr w:type="spellEnd"/>
      <w:r w:rsidRPr="00326B43">
        <w:rPr>
          <w:b/>
          <w:bCs/>
          <w:i/>
          <w:iCs/>
          <w:szCs w:val="22"/>
          <w:lang w:val="en-US"/>
        </w:rPr>
        <w:t xml:space="preserve"> editor:</w:t>
      </w:r>
      <w:r>
        <w:rPr>
          <w:szCs w:val="22"/>
          <w:lang w:val="en-US"/>
        </w:rPr>
        <w:t xml:space="preserve"> </w:t>
      </w:r>
    </w:p>
    <w:p w14:paraId="207B65D0" w14:textId="77777777" w:rsidR="00EF6F66" w:rsidRDefault="00EF6F66" w:rsidP="00EF6F6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the dot11SENSReportSegmentSize entry from Annex C.</w:t>
      </w:r>
    </w:p>
    <w:p w14:paraId="117793D9" w14:textId="4A87C635" w:rsidR="00E4360D" w:rsidRPr="00901B78" w:rsidRDefault="00E4360D" w:rsidP="00EF6F6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>
        <w:rPr>
          <w:szCs w:val="22"/>
          <w:lang w:val="en-US"/>
        </w:rPr>
        <w:t>Change 11.55.1.5.3.4 as indicated below:</w:t>
      </w:r>
    </w:p>
    <w:p w14:paraId="32A0CB47" w14:textId="77777777" w:rsidR="00EF6F66" w:rsidRPr="00280ADF" w:rsidRDefault="00EF6F66" w:rsidP="00246249">
      <w:pPr>
        <w:rPr>
          <w:szCs w:val="22"/>
          <w:lang w:val="en-US"/>
        </w:rPr>
      </w:pPr>
    </w:p>
    <w:p w14:paraId="6215AD63" w14:textId="77777777" w:rsidR="00280ADF" w:rsidRPr="00280ADF" w:rsidRDefault="00280ADF" w:rsidP="00280ADF">
      <w:pPr>
        <w:autoSpaceDE w:val="0"/>
        <w:autoSpaceDN w:val="0"/>
        <w:adjustRightInd w:val="0"/>
        <w:rPr>
          <w:b/>
          <w:bCs/>
          <w:color w:val="000000"/>
          <w:szCs w:val="22"/>
          <w:lang w:val="en-US"/>
        </w:rPr>
      </w:pPr>
      <w:r w:rsidRPr="00280ADF">
        <w:rPr>
          <w:b/>
          <w:bCs/>
          <w:color w:val="000000"/>
          <w:szCs w:val="22"/>
          <w:lang w:val="en-US"/>
        </w:rPr>
        <w:t xml:space="preserve">11.55.1.5.3.4 Rules for generating segmented sensing measurement </w:t>
      </w:r>
      <w:proofErr w:type="gramStart"/>
      <w:r w:rsidRPr="00280ADF">
        <w:rPr>
          <w:b/>
          <w:bCs/>
          <w:color w:val="000000"/>
          <w:szCs w:val="22"/>
          <w:lang w:val="en-US"/>
        </w:rPr>
        <w:t>reports</w:t>
      </w:r>
      <w:proofErr w:type="gramEnd"/>
    </w:p>
    <w:p w14:paraId="27F4CCDF" w14:textId="3B43B575" w:rsidR="00280ADF" w:rsidRDefault="00280ADF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 xml:space="preserve">If a Sensing Measurement Report information exceeds </w:t>
      </w:r>
      <w:r w:rsidRPr="00E4360D">
        <w:rPr>
          <w:strike/>
          <w:color w:val="000000"/>
          <w:szCs w:val="22"/>
          <w:lang w:val="en-US"/>
        </w:rPr>
        <w:t>dot11SENSReportSegmentSize</w:t>
      </w:r>
      <w:r w:rsidR="00E4360D">
        <w:rPr>
          <w:color w:val="000000"/>
          <w:szCs w:val="22"/>
          <w:lang w:val="en-US"/>
        </w:rPr>
        <w:t xml:space="preserve"> </w:t>
      </w:r>
      <w:r w:rsidR="00E4360D" w:rsidRPr="00CD22C7">
        <w:rPr>
          <w:i/>
          <w:iCs/>
          <w:szCs w:val="22"/>
          <w:u w:val="single"/>
          <w:lang w:val="en-US"/>
        </w:rPr>
        <w:t>aSensingReportSegmentSize</w:t>
      </w:r>
      <w:r w:rsidRPr="00280ADF">
        <w:rPr>
          <w:color w:val="000000"/>
          <w:szCs w:val="22"/>
          <w:lang w:val="en-US"/>
        </w:rPr>
        <w:t>, then the Sensing</w:t>
      </w:r>
      <w:r w:rsidR="00392EAC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Measurement Report information shall be divided into up to 32 report segments.</w:t>
      </w:r>
    </w:p>
    <w:p w14:paraId="2C7B711A" w14:textId="77777777" w:rsidR="00BD6847" w:rsidRDefault="00BD6847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48D1D5DC" w14:textId="28A60C19" w:rsidR="00BD6847" w:rsidRPr="00D41880" w:rsidRDefault="00BD6847" w:rsidP="00280ADF">
      <w:pPr>
        <w:autoSpaceDE w:val="0"/>
        <w:autoSpaceDN w:val="0"/>
        <w:adjustRightInd w:val="0"/>
        <w:rPr>
          <w:color w:val="000000"/>
          <w:szCs w:val="22"/>
          <w:u w:val="single"/>
          <w:lang w:val="en-US"/>
        </w:rPr>
      </w:pPr>
      <w:r w:rsidRPr="00CD22C7">
        <w:rPr>
          <w:i/>
          <w:iCs/>
          <w:szCs w:val="22"/>
          <w:u w:val="single"/>
          <w:lang w:val="en-US"/>
        </w:rPr>
        <w:t>aSensingReportSegmentSize</w:t>
      </w:r>
      <w:r w:rsidR="00D41880">
        <w:rPr>
          <w:i/>
          <w:iCs/>
          <w:szCs w:val="22"/>
          <w:u w:val="single"/>
          <w:lang w:val="en-US"/>
        </w:rPr>
        <w:t xml:space="preserve"> </w:t>
      </w:r>
      <w:r w:rsidR="00FE4A5F">
        <w:rPr>
          <w:szCs w:val="22"/>
          <w:u w:val="single"/>
          <w:lang w:val="en-US"/>
        </w:rPr>
        <w:t>shall be</w:t>
      </w:r>
      <w:r w:rsidR="00D41880">
        <w:rPr>
          <w:szCs w:val="22"/>
          <w:u w:val="single"/>
          <w:lang w:val="en-US"/>
        </w:rPr>
        <w:t xml:space="preserve"> </w:t>
      </w:r>
      <w:r w:rsidR="00FD1874">
        <w:rPr>
          <w:szCs w:val="22"/>
          <w:u w:val="single"/>
          <w:lang w:val="en-US"/>
        </w:rPr>
        <w:t>3 750 octets.</w:t>
      </w:r>
    </w:p>
    <w:p w14:paraId="5BFC2377" w14:textId="77777777" w:rsidR="00EF33D0" w:rsidRPr="00280ADF" w:rsidRDefault="00EF33D0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538CD9DC" w14:textId="4CBA884D" w:rsidR="00280ADF" w:rsidRDefault="00280ADF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>Each report segment shall be included in a separate Sensing Measurement Report Container and shall contain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successive portions of the Sensing Measurement Report information. The Sensing Measurement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 shall be included in the Sensing Measurement Report Container that carries the first report segment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and the Report Control Present field in the Segmentation Control field shall be set to 1</w:t>
      </w:r>
      <w:r w:rsidRPr="00280ADF">
        <w:rPr>
          <w:color w:val="218A21"/>
          <w:szCs w:val="22"/>
          <w:lang w:val="en-US"/>
        </w:rPr>
        <w:t>(#1154)</w:t>
      </w:r>
      <w:r w:rsidRPr="00280ADF">
        <w:rPr>
          <w:color w:val="000000"/>
          <w:szCs w:val="22"/>
          <w:lang w:val="en-US"/>
        </w:rPr>
        <w:t>. The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Sensing Measurement Report Control field shall not be included in a Sensing Measurement Report Container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that does not carry the first report segment and the Report Control Present field in the Segmentation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 shall be set to 0</w:t>
      </w:r>
      <w:r w:rsidRPr="00280ADF">
        <w:rPr>
          <w:color w:val="218A21"/>
          <w:szCs w:val="22"/>
          <w:lang w:val="en-US"/>
        </w:rPr>
        <w:t>(#1154)</w:t>
      </w:r>
      <w:r w:rsidRPr="00280ADF">
        <w:rPr>
          <w:color w:val="000000"/>
          <w:szCs w:val="22"/>
          <w:lang w:val="en-US"/>
        </w:rPr>
        <w:t>. Each report segment shall be of equal length, the length of each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 xml:space="preserve">segment being equal to </w:t>
      </w:r>
      <w:r w:rsidR="00E4360D" w:rsidRPr="00E4360D">
        <w:rPr>
          <w:strike/>
          <w:color w:val="000000"/>
          <w:szCs w:val="22"/>
          <w:lang w:val="en-US"/>
        </w:rPr>
        <w:t>dot11SENSReportSegmentSize</w:t>
      </w:r>
      <w:r w:rsidR="00E4360D">
        <w:rPr>
          <w:color w:val="000000"/>
          <w:szCs w:val="22"/>
          <w:lang w:val="en-US"/>
        </w:rPr>
        <w:t xml:space="preserve"> </w:t>
      </w:r>
      <w:r w:rsidR="00E4360D" w:rsidRPr="00CD22C7">
        <w:rPr>
          <w:i/>
          <w:iCs/>
          <w:szCs w:val="22"/>
          <w:u w:val="single"/>
          <w:lang w:val="en-US"/>
        </w:rPr>
        <w:t>aSensingReportSegmentSize</w:t>
      </w:r>
      <w:r w:rsidRPr="00280ADF">
        <w:rPr>
          <w:color w:val="000000"/>
          <w:szCs w:val="22"/>
          <w:lang w:val="en-US"/>
        </w:rPr>
        <w:t>, except the last report segment that may be smaller.</w:t>
      </w:r>
    </w:p>
    <w:p w14:paraId="6BF436D5" w14:textId="77777777" w:rsidR="00EF33D0" w:rsidRPr="00280ADF" w:rsidRDefault="00EF33D0" w:rsidP="00280ADF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20DDEBF7" w14:textId="18319B4B" w:rsidR="00280ADF" w:rsidRDefault="00280ADF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 w:rsidRPr="00280ADF">
        <w:rPr>
          <w:color w:val="000000"/>
          <w:szCs w:val="22"/>
          <w:lang w:val="en-US"/>
        </w:rPr>
        <w:t>Each report segment is identified by the value of the Remaining Report Segments field and the First Report</w:t>
      </w:r>
      <w:r w:rsidR="00EF33D0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Segment field in the Sensing Measurement Report Control field as defined in Table 9-127f (Segmentation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Control field). The other non-reserved fields of the Segmentation Control field shall be the same for all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report segments. All report segments shall be sent in a single A-MPDU contained in a PPDU and shall be</w:t>
      </w:r>
      <w:r w:rsidR="005145D1">
        <w:rPr>
          <w:color w:val="000000"/>
          <w:szCs w:val="22"/>
          <w:lang w:val="en-US"/>
        </w:rPr>
        <w:t xml:space="preserve"> </w:t>
      </w:r>
      <w:r w:rsidRPr="00280ADF">
        <w:rPr>
          <w:color w:val="000000"/>
          <w:szCs w:val="22"/>
          <w:lang w:val="en-US"/>
        </w:rPr>
        <w:t>included in the A-MPDU in the descending order of the values of the Remaining Report Segments field.</w:t>
      </w:r>
    </w:p>
    <w:p w14:paraId="0DD9AE41" w14:textId="77777777" w:rsidR="00C61EDC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2ED2C9BA" w14:textId="77777777" w:rsidR="00C61EDC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</w:p>
    <w:p w14:paraId="5AE12F3B" w14:textId="35B739BE" w:rsidR="00C61EDC" w:rsidRPr="00280ADF" w:rsidRDefault="00C61EDC" w:rsidP="005145D1">
      <w:pPr>
        <w:autoSpaceDE w:val="0"/>
        <w:autoSpaceDN w:val="0"/>
        <w:adjustRightInd w:val="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Note:  Clause 12 example: “</w:t>
      </w:r>
      <w:r>
        <w:rPr>
          <w:rFonts w:ascii="TimesNewRoman" w:eastAsiaTheme="minorHAnsi" w:hAnsi="TimesNewRoman" w:cs="TimesNewRoman"/>
          <w14:ligatures w14:val="standardContextual"/>
        </w:rPr>
        <w:t>This authentication result shall be of fixed length of 128 octets”</w:t>
      </w:r>
    </w:p>
    <w:p w14:paraId="0378C2F7" w14:textId="77777777" w:rsidR="00280ADF" w:rsidRPr="00280ADF" w:rsidRDefault="00280ADF" w:rsidP="00280ADF">
      <w:pPr>
        <w:rPr>
          <w:szCs w:val="22"/>
          <w:lang w:val="en-US"/>
        </w:rPr>
      </w:pPr>
    </w:p>
    <w:p w14:paraId="1BD3BB77" w14:textId="24CB8F76" w:rsidR="00246249" w:rsidRDefault="00246249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13CE02D4" w14:textId="4CA61DD8" w:rsidR="009E5DBA" w:rsidRPr="009E5DBA" w:rsidRDefault="009E5DBA" w:rsidP="009E5DBA">
      <w:pPr>
        <w:jc w:val="center"/>
        <w:rPr>
          <w:b/>
          <w:bCs/>
          <w:szCs w:val="22"/>
          <w:lang w:val="en-US"/>
        </w:rPr>
      </w:pPr>
      <w:r w:rsidRPr="009E5DBA">
        <w:rPr>
          <w:b/>
          <w:bCs/>
          <w:szCs w:val="22"/>
          <w:lang w:val="en-US"/>
        </w:rPr>
        <w:lastRenderedPageBreak/>
        <w:t>SBP Procedure</w:t>
      </w:r>
    </w:p>
    <w:p w14:paraId="61BC6F8F" w14:textId="04F05A8A" w:rsidR="00243826" w:rsidRPr="00F67277" w:rsidRDefault="009E5DBA" w:rsidP="00243826">
      <w:pPr>
        <w:rPr>
          <w:b/>
          <w:bCs/>
          <w:szCs w:val="22"/>
          <w:lang w:val="en-US"/>
        </w:rPr>
      </w:pPr>
      <w:r w:rsidRPr="00F67277">
        <w:rPr>
          <w:b/>
          <w:bCs/>
          <w:szCs w:val="22"/>
          <w:lang w:val="en-US"/>
        </w:rPr>
        <w:t>Discussion:</w:t>
      </w:r>
    </w:p>
    <w:p w14:paraId="1998AD89" w14:textId="27B293F8" w:rsidR="009E5DBA" w:rsidRPr="00F67277" w:rsidRDefault="00F67277" w:rsidP="00F67277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 w:rsidRPr="00F67277">
        <w:rPr>
          <w:bCs/>
          <w:szCs w:val="22"/>
          <w:lang w:val="en-US"/>
        </w:rPr>
        <w:t>In addition</w:t>
      </w:r>
      <w:r w:rsidR="008C1812">
        <w:rPr>
          <w:bCs/>
          <w:szCs w:val="22"/>
          <w:lang w:val="en-US"/>
        </w:rPr>
        <w:t xml:space="preserve"> to the </w:t>
      </w:r>
      <w:r w:rsidR="008C1812" w:rsidRPr="00901B78">
        <w:rPr>
          <w:szCs w:val="22"/>
          <w:lang w:val="en-US"/>
        </w:rPr>
        <w:t>dot11</w:t>
      </w:r>
      <w:r w:rsidR="008C1812">
        <w:rPr>
          <w:szCs w:val="22"/>
          <w:lang w:val="en-US"/>
        </w:rPr>
        <w:t xml:space="preserve">SBPSetupExpiry attribute, a second timing-related parameter </w:t>
      </w:r>
      <w:r w:rsidR="00343717">
        <w:rPr>
          <w:szCs w:val="22"/>
          <w:lang w:val="en-US"/>
        </w:rPr>
        <w:t>is defined for SBP: SBP Procedure Expiry Exponent.</w:t>
      </w:r>
    </w:p>
    <w:p w14:paraId="245FB44F" w14:textId="77777777" w:rsidR="00F67277" w:rsidRDefault="00F67277" w:rsidP="00F67277">
      <w:pPr>
        <w:rPr>
          <w:b/>
          <w:szCs w:val="22"/>
          <w:lang w:val="en-US"/>
        </w:rPr>
      </w:pPr>
    </w:p>
    <w:p w14:paraId="570FDD60" w14:textId="16AC98E6" w:rsidR="008C1812" w:rsidRPr="008C1812" w:rsidRDefault="008C1812" w:rsidP="008C1812">
      <w:pPr>
        <w:jc w:val="center"/>
        <w:rPr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76726E0B" wp14:editId="1EF48892">
            <wp:extent cx="3282696" cy="1527048"/>
            <wp:effectExtent l="0" t="0" r="0" b="0"/>
            <wp:docPr id="1649643704" name="Picture 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43704" name="Picture 1" descr="A picture containing text, screenshot, font, lin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3960" w14:textId="77777777" w:rsidR="00EC2F8D" w:rsidRDefault="00EC2F8D" w:rsidP="00F67277">
      <w:pPr>
        <w:rPr>
          <w:b/>
          <w:szCs w:val="22"/>
          <w:lang w:val="en-US"/>
        </w:rPr>
      </w:pPr>
    </w:p>
    <w:p w14:paraId="5933977F" w14:textId="1C1E729A" w:rsidR="00F67277" w:rsidRPr="00EC2F8D" w:rsidRDefault="00EC2F8D" w:rsidP="00F67277">
      <w:pPr>
        <w:rPr>
          <w:bCs/>
          <w:szCs w:val="22"/>
          <w:lang w:val="en-US"/>
        </w:rPr>
      </w:pPr>
      <w:r w:rsidRPr="00EC2F8D">
        <w:rPr>
          <w:bCs/>
          <w:szCs w:val="22"/>
          <w:lang w:val="en-US"/>
        </w:rPr>
        <w:t>Note:  There is no normative text for this field in Clause 11.</w:t>
      </w:r>
    </w:p>
    <w:p w14:paraId="0FCFD2FC" w14:textId="77777777" w:rsidR="00EC2F8D" w:rsidRPr="00F67277" w:rsidRDefault="00EC2F8D" w:rsidP="00F67277">
      <w:pPr>
        <w:rPr>
          <w:b/>
          <w:szCs w:val="22"/>
          <w:lang w:val="en-US"/>
        </w:rPr>
      </w:pPr>
    </w:p>
    <w:p w14:paraId="5E8AA5CF" w14:textId="4BD1A74D" w:rsidR="009E5DBA" w:rsidRPr="009E5DBA" w:rsidRDefault="009E5DBA" w:rsidP="009E5DBA">
      <w:pPr>
        <w:rPr>
          <w:szCs w:val="22"/>
          <w:lang w:val="en-US"/>
        </w:rPr>
      </w:pPr>
      <w:r w:rsidRPr="009E5DBA">
        <w:rPr>
          <w:b/>
          <w:szCs w:val="22"/>
          <w:lang w:val="en-US"/>
        </w:rPr>
        <w:t>Modifications</w:t>
      </w:r>
      <w:r w:rsidRPr="009E5DBA">
        <w:rPr>
          <w:szCs w:val="22"/>
          <w:lang w:val="en-US"/>
        </w:rPr>
        <w:t xml:space="preserve">:  </w:t>
      </w:r>
      <w:proofErr w:type="spellStart"/>
      <w:r w:rsidRPr="009E5DBA">
        <w:rPr>
          <w:b/>
          <w:bCs/>
          <w:i/>
          <w:iCs/>
          <w:szCs w:val="22"/>
          <w:lang w:val="en-US"/>
        </w:rPr>
        <w:t>TGbf</w:t>
      </w:r>
      <w:proofErr w:type="spellEnd"/>
      <w:r w:rsidRPr="009E5DBA">
        <w:rPr>
          <w:b/>
          <w:bCs/>
          <w:i/>
          <w:iCs/>
          <w:szCs w:val="22"/>
          <w:lang w:val="en-US"/>
        </w:rPr>
        <w:t xml:space="preserve"> editor:</w:t>
      </w:r>
      <w:r w:rsidRPr="009E5DBA">
        <w:rPr>
          <w:szCs w:val="22"/>
          <w:lang w:val="en-US"/>
        </w:rPr>
        <w:t xml:space="preserve"> </w:t>
      </w:r>
    </w:p>
    <w:p w14:paraId="3042615B" w14:textId="6C1144DD" w:rsidR="00243826" w:rsidRPr="0096137B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11.55.2</w:t>
      </w:r>
      <w:r w:rsidR="00AD1B32">
        <w:rPr>
          <w:szCs w:val="22"/>
          <w:lang w:val="en-US"/>
        </w:rPr>
        <w:t>.1 (General)</w:t>
      </w:r>
    </w:p>
    <w:p w14:paraId="10ED0B70" w14:textId="77777777" w:rsidR="0034211F" w:rsidRDefault="0034211F" w:rsidP="00243826">
      <w:pPr>
        <w:rPr>
          <w:szCs w:val="22"/>
          <w:lang w:val="en-US"/>
        </w:rPr>
      </w:pPr>
    </w:p>
    <w:p w14:paraId="7F8560D3" w14:textId="35B58CF3" w:rsidR="001127A4" w:rsidRPr="006C59F0" w:rsidRDefault="001127A4" w:rsidP="00243826">
      <w:pPr>
        <w:rPr>
          <w:strike/>
          <w:color w:val="4472C4" w:themeColor="accent1"/>
          <w:szCs w:val="22"/>
          <w:lang w:val="en-US"/>
        </w:rPr>
      </w:pPr>
      <w:r w:rsidRPr="006C59F0">
        <w:rPr>
          <w:strike/>
          <w:color w:val="4472C4" w:themeColor="accent1"/>
          <w:szCs w:val="22"/>
          <w:lang w:val="en-US"/>
        </w:rPr>
        <w:t>Table X2</w:t>
      </w:r>
      <w:r w:rsidR="005D33FD" w:rsidRPr="006C59F0">
        <w:rPr>
          <w:strike/>
          <w:color w:val="4472C4" w:themeColor="accent1"/>
          <w:szCs w:val="22"/>
          <w:lang w:val="en-US"/>
        </w:rPr>
        <w:t xml:space="preserve"> defines timing-related </w:t>
      </w:r>
      <w:r w:rsidR="0034211F" w:rsidRPr="006C59F0">
        <w:rPr>
          <w:strike/>
          <w:color w:val="4472C4" w:themeColor="accent1"/>
          <w:szCs w:val="22"/>
          <w:lang w:val="en-US"/>
        </w:rPr>
        <w:t>parameters</w:t>
      </w:r>
      <w:r w:rsidR="005D33FD" w:rsidRPr="006C59F0">
        <w:rPr>
          <w:strike/>
          <w:color w:val="4472C4" w:themeColor="accent1"/>
          <w:szCs w:val="22"/>
          <w:lang w:val="en-US"/>
        </w:rPr>
        <w:t xml:space="preserve"> </w:t>
      </w:r>
      <w:r w:rsidR="00A56481" w:rsidRPr="006C59F0">
        <w:rPr>
          <w:strike/>
          <w:color w:val="4472C4" w:themeColor="accent1"/>
          <w:szCs w:val="22"/>
          <w:lang w:val="en-US"/>
        </w:rPr>
        <w:t>associated with</w:t>
      </w:r>
      <w:r w:rsidR="005D33FD" w:rsidRPr="006C59F0">
        <w:rPr>
          <w:strike/>
          <w:color w:val="4472C4" w:themeColor="accent1"/>
          <w:szCs w:val="22"/>
          <w:lang w:val="en-US"/>
        </w:rPr>
        <w:t xml:space="preserve"> the SBP procedure.</w:t>
      </w:r>
    </w:p>
    <w:p w14:paraId="1B7B6EE9" w14:textId="0EC18770" w:rsidR="00FA255A" w:rsidRPr="008F0BB3" w:rsidRDefault="00FA255A" w:rsidP="00FA255A">
      <w:pPr>
        <w:rPr>
          <w:color w:val="4472C4" w:themeColor="accent1"/>
          <w:szCs w:val="22"/>
          <w:lang w:val="en-US"/>
        </w:rPr>
      </w:pPr>
      <w:r w:rsidRPr="008F0BB3">
        <w:rPr>
          <w:color w:val="4472C4" w:themeColor="accent1"/>
          <w:szCs w:val="22"/>
          <w:lang w:val="en-US"/>
        </w:rPr>
        <w:t xml:space="preserve">A STA </w:t>
      </w:r>
      <w:r w:rsidR="00114555">
        <w:rPr>
          <w:color w:val="4472C4" w:themeColor="accent1"/>
          <w:szCs w:val="22"/>
          <w:lang w:val="en-US"/>
        </w:rPr>
        <w:t xml:space="preserve">that supports SBP </w:t>
      </w:r>
      <w:r w:rsidRPr="008F0BB3">
        <w:rPr>
          <w:color w:val="4472C4" w:themeColor="accent1"/>
          <w:szCs w:val="22"/>
          <w:lang w:val="en-US"/>
        </w:rPr>
        <w:t xml:space="preserve">should use the timing-related parameters defined in Table </w:t>
      </w:r>
      <w:r>
        <w:rPr>
          <w:color w:val="4472C4" w:themeColor="accent1"/>
          <w:szCs w:val="22"/>
          <w:lang w:val="en-US"/>
        </w:rPr>
        <w:t>X</w:t>
      </w:r>
      <w:r w:rsidR="00114555">
        <w:rPr>
          <w:color w:val="4472C4" w:themeColor="accent1"/>
          <w:szCs w:val="22"/>
          <w:lang w:val="en-US"/>
        </w:rPr>
        <w:t>2</w:t>
      </w:r>
      <w:r w:rsidRPr="008F0BB3">
        <w:rPr>
          <w:color w:val="4472C4" w:themeColor="accent1"/>
          <w:szCs w:val="22"/>
          <w:lang w:val="en-US"/>
        </w:rPr>
        <w:t>.</w:t>
      </w:r>
    </w:p>
    <w:p w14:paraId="4F9DBE41" w14:textId="77777777" w:rsidR="001127A4" w:rsidRDefault="001127A4" w:rsidP="00243826">
      <w:pPr>
        <w:rPr>
          <w:szCs w:val="22"/>
          <w:lang w:val="en-US"/>
        </w:rPr>
      </w:pPr>
    </w:p>
    <w:p w14:paraId="65123CD9" w14:textId="5DA29364" w:rsidR="00243826" w:rsidRDefault="00243826" w:rsidP="00243826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</w:t>
      </w:r>
      <w:r w:rsidR="001127A4">
        <w:rPr>
          <w:szCs w:val="22"/>
          <w:lang w:val="en-US"/>
        </w:rPr>
        <w:t>2</w:t>
      </w:r>
      <w:r w:rsidRPr="001A521E">
        <w:rPr>
          <w:szCs w:val="22"/>
          <w:lang w:val="en-US"/>
        </w:rPr>
        <w:t>—</w:t>
      </w:r>
      <w:r w:rsidR="00157699">
        <w:rPr>
          <w:szCs w:val="22"/>
          <w:lang w:val="en-US"/>
        </w:rPr>
        <w:t>SBP procedure</w:t>
      </w:r>
      <w:r w:rsidRPr="001A521E">
        <w:rPr>
          <w:szCs w:val="22"/>
          <w:lang w:val="en-US"/>
        </w:rPr>
        <w:t xml:space="preserve"> </w:t>
      </w:r>
      <w:r w:rsidR="00671256">
        <w:rPr>
          <w:szCs w:val="22"/>
          <w:lang w:val="en-US"/>
        </w:rPr>
        <w:t>timing-related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4675"/>
      </w:tblGrid>
      <w:tr w:rsidR="00243826" w14:paraId="6A056B4C" w14:textId="77777777" w:rsidTr="00970571">
        <w:tc>
          <w:tcPr>
            <w:tcW w:w="2425" w:type="dxa"/>
          </w:tcPr>
          <w:p w14:paraId="07B52E7F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Attribute</w:t>
            </w:r>
          </w:p>
        </w:tc>
        <w:tc>
          <w:tcPr>
            <w:tcW w:w="2250" w:type="dxa"/>
          </w:tcPr>
          <w:p w14:paraId="4CC5738F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4DEF2258" w14:textId="77777777" w:rsidR="00243826" w:rsidRPr="00C66274" w:rsidRDefault="00243826" w:rsidP="00567615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243826" w14:paraId="3A1A1477" w14:textId="77777777" w:rsidTr="00970571">
        <w:tc>
          <w:tcPr>
            <w:tcW w:w="2425" w:type="dxa"/>
          </w:tcPr>
          <w:p w14:paraId="6CF240F0" w14:textId="5B644F26" w:rsidR="00243826" w:rsidRPr="003D0F6F" w:rsidRDefault="00243826" w:rsidP="00567615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3D0F6F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 w:rsidR="00473E34" w:rsidRPr="003D0F6F">
              <w:rPr>
                <w:i/>
                <w:iCs/>
                <w:color w:val="000000" w:themeColor="text1"/>
                <w:szCs w:val="22"/>
                <w:lang w:val="en-US"/>
              </w:rPr>
              <w:t>SBPSetupExpiry</w:t>
            </w:r>
            <w:proofErr w:type="spellEnd"/>
          </w:p>
        </w:tc>
        <w:tc>
          <w:tcPr>
            <w:tcW w:w="2250" w:type="dxa"/>
          </w:tcPr>
          <w:p w14:paraId="24B21A78" w14:textId="504E1F64" w:rsidR="00243826" w:rsidRPr="003D0F6F" w:rsidRDefault="003D0F6F" w:rsidP="00567615">
            <w:pPr>
              <w:rPr>
                <w:color w:val="000000" w:themeColor="text1"/>
                <w:szCs w:val="22"/>
                <w:lang w:val="en-US"/>
              </w:rPr>
            </w:pPr>
            <w:r w:rsidRPr="003D0F6F">
              <w:rPr>
                <w:color w:val="000000" w:themeColor="text1"/>
                <w:szCs w:val="22"/>
                <w:lang w:val="en-US"/>
              </w:rPr>
              <w:t>100</w:t>
            </w:r>
            <w:r w:rsidR="00243826" w:rsidRPr="003D0F6F">
              <w:rPr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243826" w:rsidRPr="003D0F6F">
              <w:rPr>
                <w:color w:val="000000" w:themeColor="text1"/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675" w:type="dxa"/>
          </w:tcPr>
          <w:p w14:paraId="7BC4F541" w14:textId="77777777" w:rsidR="00243826" w:rsidRDefault="00EF515B" w:rsidP="00EF515B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D74BE6">
              <w:rPr>
                <w:strike/>
                <w:color w:val="4472C4" w:themeColor="accent1"/>
                <w:szCs w:val="22"/>
                <w:lang w:val="en-US"/>
              </w:rPr>
              <w:t xml:space="preserve">This parameter indicates the time limit the SBP responder </w:t>
            </w:r>
            <w:r w:rsidRPr="00D74BE6">
              <w:rPr>
                <w:strike/>
                <w:color w:val="4472C4" w:themeColor="accent1"/>
                <w:szCs w:val="22"/>
                <w:highlight w:val="yellow"/>
                <w:lang w:val="en-US"/>
              </w:rPr>
              <w:t>shall</w:t>
            </w:r>
            <w:r w:rsidRPr="00D74BE6">
              <w:rPr>
                <w:strike/>
                <w:color w:val="4472C4" w:themeColor="accent1"/>
                <w:szCs w:val="22"/>
                <w:lang w:val="en-US"/>
              </w:rPr>
              <w:t xml:space="preserve"> send an SBP Response frame after receiving an SBP Request.</w:t>
            </w:r>
          </w:p>
          <w:p w14:paraId="5FAE3AFE" w14:textId="1113BECD" w:rsidR="006F04C6" w:rsidRPr="00D74BE6" w:rsidRDefault="00D74BE6" w:rsidP="00B65748">
            <w:pPr>
              <w:rPr>
                <w:strike/>
                <w:color w:val="ED7D31" w:themeColor="accent2"/>
                <w:szCs w:val="22"/>
                <w:lang w:val="en-US"/>
              </w:rPr>
            </w:pPr>
            <w:r>
              <w:rPr>
                <w:color w:val="4472C4" w:themeColor="accent1"/>
                <w:szCs w:val="22"/>
                <w:lang w:val="en-SG" w:eastAsia="en-SG"/>
              </w:rPr>
              <w:t>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he maximum time </w:t>
            </w:r>
            <w:r w:rsidR="006F04C6">
              <w:rPr>
                <w:color w:val="4472C4" w:themeColor="accent1"/>
                <w:szCs w:val="22"/>
                <w:lang w:val="en-SG" w:eastAsia="en-SG"/>
              </w:rPr>
              <w:t xml:space="preserve">interval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between the reception of a</w:t>
            </w:r>
            <w:r>
              <w:rPr>
                <w:color w:val="4472C4" w:themeColor="accent1"/>
                <w:szCs w:val="22"/>
                <w:lang w:val="en-SG" w:eastAsia="en-SG"/>
              </w:rPr>
              <w:t>n SBP Request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 and the 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>transmission</w:t>
            </w:r>
            <w:r w:rsidR="00304677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of the corresponding </w:t>
            </w:r>
            <w:r>
              <w:rPr>
                <w:color w:val="4472C4" w:themeColor="accent1"/>
                <w:szCs w:val="22"/>
                <w:lang w:val="en-SG" w:eastAsia="en-SG"/>
              </w:rPr>
              <w:t>SBP Response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frame.</w:t>
            </w:r>
          </w:p>
        </w:tc>
      </w:tr>
      <w:tr w:rsidR="006E6711" w14:paraId="2769A5E5" w14:textId="77777777" w:rsidTr="00970571">
        <w:tc>
          <w:tcPr>
            <w:tcW w:w="2425" w:type="dxa"/>
          </w:tcPr>
          <w:p w14:paraId="2927D28B" w14:textId="406C6DAD" w:rsidR="006E6711" w:rsidRPr="003D0F6F" w:rsidRDefault="004B6DF1" w:rsidP="00567615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</w:t>
            </w:r>
            <w:r w:rsidR="00B51495">
              <w:rPr>
                <w:i/>
                <w:iCs/>
                <w:szCs w:val="22"/>
                <w:lang w:val="en-US"/>
              </w:rPr>
              <w:t>SBP</w:t>
            </w:r>
            <w:r w:rsidR="005000CB">
              <w:rPr>
                <w:i/>
                <w:iCs/>
                <w:szCs w:val="22"/>
                <w:lang w:val="en-US"/>
              </w:rPr>
              <w:t>ProcedureExpiry</w:t>
            </w:r>
            <w:proofErr w:type="spellEnd"/>
          </w:p>
        </w:tc>
        <w:tc>
          <w:tcPr>
            <w:tcW w:w="2250" w:type="dxa"/>
          </w:tcPr>
          <w:p w14:paraId="77C4F75C" w14:textId="78B12D50" w:rsidR="006E6711" w:rsidRPr="003D0F6F" w:rsidRDefault="009B640F" w:rsidP="00567615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strike/>
                <w:color w:val="4472C4" w:themeColor="accent1"/>
                <w:szCs w:val="22"/>
                <w:lang w:val="en-US"/>
              </w:rPr>
              <w:t>I</w:t>
            </w:r>
            <w:r w:rsidRPr="009B640F">
              <w:rPr>
                <w:strike/>
                <w:color w:val="4472C4" w:themeColor="accent1"/>
                <w:szCs w:val="22"/>
                <w:lang w:val="en-US"/>
              </w:rPr>
              <w:t>ndicated in</w:t>
            </w:r>
            <w:r>
              <w:rPr>
                <w:color w:val="000000" w:themeColor="text1"/>
                <w:szCs w:val="22"/>
                <w:lang w:val="en-US"/>
              </w:rPr>
              <w:t xml:space="preserve"> </w:t>
            </w:r>
            <w:r w:rsidRPr="009B640F">
              <w:rPr>
                <w:color w:val="4472C4" w:themeColor="accent1"/>
                <w:szCs w:val="22"/>
                <w:lang w:val="en-US"/>
              </w:rPr>
              <w:t xml:space="preserve">Set to the value derived from </w:t>
            </w:r>
            <w:r w:rsidR="00BE2BCA">
              <w:rPr>
                <w:color w:val="000000" w:themeColor="text1"/>
                <w:szCs w:val="22"/>
                <w:lang w:val="en-US"/>
              </w:rPr>
              <w:t xml:space="preserve">the </w:t>
            </w:r>
            <w:r w:rsidR="00BE2BCA" w:rsidRPr="00BE2BCA">
              <w:rPr>
                <w:color w:val="000000" w:themeColor="text1"/>
                <w:szCs w:val="22"/>
                <w:lang w:val="en-US"/>
              </w:rPr>
              <w:t>SBP Procedure Expiry Exponent field</w:t>
            </w:r>
            <w:r w:rsidR="00BE2BCA">
              <w:rPr>
                <w:color w:val="000000" w:themeColor="text1"/>
                <w:szCs w:val="22"/>
                <w:lang w:val="en-US"/>
              </w:rPr>
              <w:t xml:space="preserve"> within </w:t>
            </w:r>
            <w:r w:rsidR="003A3FFE">
              <w:rPr>
                <w:color w:val="000000" w:themeColor="text1"/>
                <w:szCs w:val="22"/>
                <w:lang w:val="en-US"/>
              </w:rPr>
              <w:t>a</w:t>
            </w:r>
            <w:r w:rsidR="009338F7">
              <w:rPr>
                <w:color w:val="000000" w:themeColor="text1"/>
                <w:szCs w:val="22"/>
                <w:lang w:val="en-US"/>
              </w:rPr>
              <w:t>n</w:t>
            </w:r>
            <w:r w:rsidR="003A3FFE">
              <w:rPr>
                <w:color w:val="000000" w:themeColor="text1"/>
                <w:szCs w:val="22"/>
                <w:lang w:val="en-US"/>
              </w:rPr>
              <w:t xml:space="preserve"> </w:t>
            </w:r>
            <w:r w:rsidR="003A3FFE" w:rsidRPr="003A3FFE">
              <w:rPr>
                <w:color w:val="000000" w:themeColor="text1"/>
                <w:szCs w:val="22"/>
                <w:lang w:val="en-US"/>
              </w:rPr>
              <w:t>SBP Request frame</w:t>
            </w:r>
            <w:r w:rsidR="003A3FFE">
              <w:rPr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20CA8DA3" w14:textId="77777777" w:rsidR="006E6711" w:rsidRPr="00717562" w:rsidRDefault="003A3FFE" w:rsidP="00EF515B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717562">
              <w:rPr>
                <w:strike/>
                <w:color w:val="4472C4" w:themeColor="accent1"/>
                <w:szCs w:val="22"/>
                <w:lang w:val="en-US"/>
              </w:rPr>
              <w:t>This parameter indicates the time after which the SBP procedure is terminated if there are no frame exchange sequences</w:t>
            </w:r>
            <w:r w:rsidR="005D5443" w:rsidRPr="00717562">
              <w:rPr>
                <w:strike/>
                <w:color w:val="4472C4" w:themeColor="accent1"/>
                <w:szCs w:val="22"/>
                <w:lang w:val="en-US"/>
              </w:rPr>
              <w:t>.</w:t>
            </w:r>
          </w:p>
          <w:p w14:paraId="5A526E98" w14:textId="6A5D7B86" w:rsidR="00F853B2" w:rsidRPr="00EF515B" w:rsidRDefault="00F853B2" w:rsidP="00717562">
            <w:pPr>
              <w:rPr>
                <w:color w:val="000000" w:themeColor="text1"/>
                <w:szCs w:val="22"/>
                <w:lang w:val="en-US"/>
              </w:rPr>
            </w:pPr>
            <w:r w:rsidRPr="00F853B2">
              <w:rPr>
                <w:color w:val="4472C4" w:themeColor="accent1"/>
                <w:szCs w:val="22"/>
                <w:lang w:val="en-US"/>
              </w:rPr>
              <w:t xml:space="preserve">The </w:t>
            </w:r>
            <w:r w:rsidR="00145674">
              <w:rPr>
                <w:color w:val="4472C4" w:themeColor="accent1"/>
                <w:szCs w:val="22"/>
                <w:lang w:val="en-US"/>
              </w:rPr>
              <w:t>time limit for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which an SBP procedure remains active if no frames are exchanged between </w:t>
            </w:r>
            <w:r w:rsidR="00212346">
              <w:rPr>
                <w:color w:val="4472C4" w:themeColor="accent1"/>
                <w:szCs w:val="22"/>
                <w:lang w:val="en-US"/>
              </w:rPr>
              <w:t>its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SBP initiator and SBP responder.</w:t>
            </w:r>
          </w:p>
        </w:tc>
      </w:tr>
    </w:tbl>
    <w:p w14:paraId="5F189872" w14:textId="77777777" w:rsidR="00243826" w:rsidRPr="00821D84" w:rsidRDefault="00243826" w:rsidP="00243826">
      <w:pPr>
        <w:rPr>
          <w:szCs w:val="22"/>
          <w:lang w:val="en-US"/>
        </w:rPr>
      </w:pPr>
    </w:p>
    <w:p w14:paraId="4D9D2947" w14:textId="77777777" w:rsidR="00243826" w:rsidRPr="00F67277" w:rsidRDefault="00243826" w:rsidP="00243826">
      <w:pPr>
        <w:rPr>
          <w:i/>
          <w:iCs/>
          <w:szCs w:val="22"/>
          <w:lang w:val="en-US"/>
        </w:rPr>
      </w:pPr>
      <w:proofErr w:type="spellStart"/>
      <w:r w:rsidRPr="00F67277">
        <w:rPr>
          <w:b/>
          <w:bCs/>
          <w:i/>
          <w:iCs/>
          <w:szCs w:val="22"/>
          <w:lang w:val="en-US"/>
        </w:rPr>
        <w:t>TGbf</w:t>
      </w:r>
      <w:proofErr w:type="spellEnd"/>
      <w:r w:rsidRPr="00F67277">
        <w:rPr>
          <w:b/>
          <w:bCs/>
          <w:i/>
          <w:iCs/>
          <w:szCs w:val="22"/>
          <w:lang w:val="en-US"/>
        </w:rPr>
        <w:t xml:space="preserve"> editor:</w:t>
      </w:r>
      <w:r w:rsidRPr="00F67277">
        <w:rPr>
          <w:i/>
          <w:iCs/>
          <w:szCs w:val="22"/>
          <w:lang w:val="en-US"/>
        </w:rPr>
        <w:t xml:space="preserve"> </w:t>
      </w:r>
    </w:p>
    <w:p w14:paraId="214556CC" w14:textId="27D2C183" w:rsidR="00243826" w:rsidRPr="00901B78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Replace </w:t>
      </w:r>
      <w:r w:rsidR="006402E8" w:rsidRPr="00901B78">
        <w:rPr>
          <w:szCs w:val="22"/>
          <w:lang w:val="en-US"/>
        </w:rPr>
        <w:t>dot11</w:t>
      </w:r>
      <w:r w:rsidR="006402E8">
        <w:rPr>
          <w:szCs w:val="22"/>
          <w:lang w:val="en-US"/>
        </w:rPr>
        <w:t>SBPSetupExpiry</w:t>
      </w:r>
      <w:r w:rsidRPr="00901B78">
        <w:rPr>
          <w:szCs w:val="22"/>
          <w:lang w:val="en-US"/>
        </w:rPr>
        <w:t xml:space="preserve"> </w:t>
      </w:r>
      <w:r w:rsidRPr="00956B00">
        <w:rPr>
          <w:color w:val="000000" w:themeColor="text1"/>
          <w:szCs w:val="22"/>
          <w:lang w:val="en-US"/>
        </w:rPr>
        <w:t xml:space="preserve">with </w:t>
      </w:r>
      <w:proofErr w:type="spellStart"/>
      <w:r w:rsidRPr="00956B00">
        <w:rPr>
          <w:i/>
          <w:iCs/>
          <w:color w:val="000000" w:themeColor="text1"/>
          <w:szCs w:val="22"/>
          <w:lang w:val="en-US"/>
        </w:rPr>
        <w:t>a</w:t>
      </w:r>
      <w:r w:rsidR="00F740C2" w:rsidRPr="00956B00">
        <w:rPr>
          <w:i/>
          <w:iCs/>
          <w:color w:val="000000" w:themeColor="text1"/>
          <w:szCs w:val="22"/>
          <w:lang w:val="en-US"/>
        </w:rPr>
        <w:t>SBPSetupExpiry</w:t>
      </w:r>
      <w:proofErr w:type="spellEnd"/>
      <w:r w:rsidRPr="00956B00">
        <w:rPr>
          <w:color w:val="000000" w:themeColor="text1"/>
          <w:szCs w:val="22"/>
          <w:lang w:val="en-US"/>
        </w:rPr>
        <w:t xml:space="preserve"> through </w:t>
      </w:r>
      <w:r w:rsidRPr="00901B78">
        <w:rPr>
          <w:szCs w:val="22"/>
          <w:lang w:val="en-US"/>
        </w:rPr>
        <w:t>the draft.</w:t>
      </w:r>
    </w:p>
    <w:p w14:paraId="7C1F86F4" w14:textId="398C2BA0" w:rsidR="00243826" w:rsidRDefault="00243826" w:rsidP="00243826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>Delete the dot11</w:t>
      </w:r>
      <w:r w:rsidR="006402E8">
        <w:rPr>
          <w:szCs w:val="22"/>
          <w:lang w:val="en-US"/>
        </w:rPr>
        <w:t>SBPSetupExpiry</w:t>
      </w:r>
      <w:r w:rsidRPr="00901B78">
        <w:rPr>
          <w:szCs w:val="22"/>
          <w:lang w:val="en-US"/>
        </w:rPr>
        <w:t xml:space="preserve"> entry from Annex C.</w:t>
      </w:r>
    </w:p>
    <w:p w14:paraId="42AE55E0" w14:textId="77777777" w:rsidR="00814753" w:rsidRDefault="00814753" w:rsidP="00814753">
      <w:pPr>
        <w:rPr>
          <w:szCs w:val="22"/>
          <w:lang w:val="en-US"/>
        </w:rPr>
      </w:pPr>
    </w:p>
    <w:p w14:paraId="1A93059D" w14:textId="77777777" w:rsidR="001B0745" w:rsidRDefault="001B0745" w:rsidP="00814753">
      <w:pPr>
        <w:rPr>
          <w:szCs w:val="22"/>
          <w:lang w:val="en-US"/>
        </w:rPr>
      </w:pPr>
    </w:p>
    <w:p w14:paraId="0C6B3B3E" w14:textId="08CC6A4E" w:rsidR="00814753" w:rsidRDefault="0081475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42AD149" w14:textId="16D19AEB" w:rsidR="009338F7" w:rsidRPr="009E5DBA" w:rsidRDefault="009338F7" w:rsidP="009338F7">
      <w:pPr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lastRenderedPageBreak/>
        <w:t>DMG Sensing</w:t>
      </w:r>
      <w:r w:rsidRPr="009E5DBA">
        <w:rPr>
          <w:b/>
          <w:bCs/>
          <w:szCs w:val="22"/>
          <w:lang w:val="en-US"/>
        </w:rPr>
        <w:t xml:space="preserve"> Procedure</w:t>
      </w:r>
    </w:p>
    <w:p w14:paraId="34A32DF7" w14:textId="77777777" w:rsidR="00502FFA" w:rsidRDefault="00502FFA" w:rsidP="00502FFA">
      <w:pPr>
        <w:rPr>
          <w:szCs w:val="22"/>
          <w:lang w:val="en-US"/>
        </w:rPr>
      </w:pPr>
    </w:p>
    <w:p w14:paraId="73271FF0" w14:textId="77777777" w:rsidR="00502FFA" w:rsidRPr="00EB333B" w:rsidRDefault="00502FFA" w:rsidP="00502FFA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3F0137C5" w14:textId="60D339D4" w:rsidR="00502FFA" w:rsidRPr="0096137B" w:rsidRDefault="00502FFA" w:rsidP="00502FFA">
      <w:pPr>
        <w:pStyle w:val="ListParagraph"/>
        <w:numPr>
          <w:ilvl w:val="0"/>
          <w:numId w:val="22"/>
        </w:numPr>
        <w:rPr>
          <w:szCs w:val="22"/>
          <w:u w:val="single"/>
          <w:lang w:val="en-US"/>
        </w:rPr>
      </w:pPr>
      <w:r w:rsidRPr="0096137B">
        <w:rPr>
          <w:szCs w:val="22"/>
          <w:lang w:val="en-US"/>
        </w:rPr>
        <w:t>Change the title of 11.55.</w:t>
      </w:r>
      <w:r w:rsidR="00150162">
        <w:rPr>
          <w:szCs w:val="22"/>
          <w:lang w:val="en-US"/>
        </w:rPr>
        <w:t>3</w:t>
      </w:r>
      <w:r w:rsidRPr="0096137B">
        <w:rPr>
          <w:szCs w:val="22"/>
          <w:lang w:val="en-US"/>
        </w:rPr>
        <w:t xml:space="preserve">.2 to </w:t>
      </w:r>
      <w:r>
        <w:rPr>
          <w:szCs w:val="22"/>
          <w:lang w:val="en-US"/>
        </w:rPr>
        <w:t>“</w:t>
      </w:r>
      <w:r w:rsidRPr="0096137B">
        <w:rPr>
          <w:szCs w:val="22"/>
          <w:lang w:val="en-US"/>
        </w:rPr>
        <w:t xml:space="preserve">Dependencies </w:t>
      </w:r>
      <w:r w:rsidRPr="0096137B">
        <w:rPr>
          <w:szCs w:val="22"/>
          <w:u w:val="single"/>
          <w:lang w:val="en-US"/>
        </w:rPr>
        <w:t xml:space="preserve">and </w:t>
      </w:r>
      <w:r>
        <w:rPr>
          <w:szCs w:val="22"/>
          <w:u w:val="single"/>
          <w:lang w:val="en-US"/>
        </w:rPr>
        <w:t>timing-related parameters</w:t>
      </w:r>
      <w:r w:rsidRPr="0096137B">
        <w:rPr>
          <w:szCs w:val="22"/>
          <w:lang w:val="en-US"/>
        </w:rPr>
        <w:t>”.</w:t>
      </w:r>
    </w:p>
    <w:p w14:paraId="2CC54487" w14:textId="176D8E1D" w:rsidR="00502FFA" w:rsidRPr="0096137B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</w:t>
      </w:r>
      <w:r w:rsidR="00150162">
        <w:rPr>
          <w:szCs w:val="22"/>
          <w:lang w:val="en-US"/>
        </w:rPr>
        <w:t>3</w:t>
      </w:r>
      <w:r w:rsidRPr="0096137B">
        <w:rPr>
          <w:szCs w:val="22"/>
          <w:lang w:val="en-US"/>
        </w:rPr>
        <w:t>.2</w:t>
      </w:r>
    </w:p>
    <w:p w14:paraId="26E2BF38" w14:textId="77777777" w:rsidR="00502FFA" w:rsidRDefault="00502FFA" w:rsidP="00502FFA">
      <w:pPr>
        <w:rPr>
          <w:szCs w:val="22"/>
          <w:lang w:val="en-US"/>
        </w:rPr>
      </w:pPr>
    </w:p>
    <w:p w14:paraId="63CE8874" w14:textId="546F2C15" w:rsidR="00502FFA" w:rsidRPr="00041A88" w:rsidRDefault="00502FFA" w:rsidP="00502FFA">
      <w:pPr>
        <w:rPr>
          <w:strike/>
          <w:color w:val="4472C4" w:themeColor="accent1"/>
          <w:szCs w:val="22"/>
          <w:lang w:val="en-US"/>
        </w:rPr>
      </w:pPr>
      <w:r w:rsidRPr="00041A88">
        <w:rPr>
          <w:strike/>
          <w:color w:val="4472C4" w:themeColor="accent1"/>
          <w:szCs w:val="22"/>
          <w:lang w:val="en-US"/>
        </w:rPr>
        <w:t>Table X</w:t>
      </w:r>
      <w:r w:rsidR="00150162" w:rsidRPr="00041A88">
        <w:rPr>
          <w:strike/>
          <w:color w:val="4472C4" w:themeColor="accent1"/>
          <w:szCs w:val="22"/>
          <w:lang w:val="en-US"/>
        </w:rPr>
        <w:t>3</w:t>
      </w:r>
      <w:r w:rsidRPr="00041A88">
        <w:rPr>
          <w:strike/>
          <w:color w:val="4472C4" w:themeColor="accent1"/>
          <w:szCs w:val="22"/>
          <w:lang w:val="en-US"/>
        </w:rPr>
        <w:t xml:space="preserve"> defines</w:t>
      </w:r>
      <w:r w:rsidR="005A1CE4" w:rsidRPr="00041A88">
        <w:rPr>
          <w:strike/>
          <w:color w:val="4472C4" w:themeColor="accent1"/>
          <w:szCs w:val="22"/>
          <w:lang w:val="en-US"/>
        </w:rPr>
        <w:t xml:space="preserve"> a </w:t>
      </w:r>
      <w:r w:rsidRPr="00041A88">
        <w:rPr>
          <w:strike/>
          <w:color w:val="4472C4" w:themeColor="accent1"/>
          <w:szCs w:val="22"/>
          <w:lang w:val="en-US"/>
        </w:rPr>
        <w:t xml:space="preserve">timing-related parameter associated with the </w:t>
      </w:r>
      <w:r w:rsidR="00AC5F4B" w:rsidRPr="00041A88">
        <w:rPr>
          <w:strike/>
          <w:color w:val="4472C4" w:themeColor="accent1"/>
          <w:szCs w:val="22"/>
          <w:lang w:val="en-US"/>
        </w:rPr>
        <w:t xml:space="preserve">DMG </w:t>
      </w:r>
      <w:r w:rsidRPr="00041A88">
        <w:rPr>
          <w:strike/>
          <w:color w:val="4472C4" w:themeColor="accent1"/>
          <w:szCs w:val="22"/>
          <w:lang w:val="en-US"/>
        </w:rPr>
        <w:t>sensing procedure.</w:t>
      </w:r>
    </w:p>
    <w:p w14:paraId="3FD3D0B3" w14:textId="66CFEFE6" w:rsidR="00041A88" w:rsidRPr="008F0BB3" w:rsidRDefault="00041A88" w:rsidP="00041A88">
      <w:pPr>
        <w:rPr>
          <w:color w:val="4472C4" w:themeColor="accent1"/>
          <w:szCs w:val="22"/>
          <w:lang w:val="en-US"/>
        </w:rPr>
      </w:pPr>
      <w:r w:rsidRPr="00041A88">
        <w:rPr>
          <w:color w:val="4472C4" w:themeColor="accent1"/>
          <w:szCs w:val="22"/>
          <w:lang w:val="en-US"/>
        </w:rPr>
        <w:t>A STA that supports DMG sensing</w:t>
      </w:r>
      <w:r>
        <w:rPr>
          <w:color w:val="4472C4" w:themeColor="accent1"/>
          <w:szCs w:val="22"/>
          <w:lang w:val="en-US"/>
        </w:rPr>
        <w:t xml:space="preserve"> </w:t>
      </w:r>
      <w:proofErr w:type="gramStart"/>
      <w:r w:rsidRPr="008F0BB3">
        <w:rPr>
          <w:color w:val="4472C4" w:themeColor="accent1"/>
          <w:szCs w:val="22"/>
          <w:lang w:val="en-US"/>
        </w:rPr>
        <w:t>use</w:t>
      </w:r>
      <w:proofErr w:type="gramEnd"/>
      <w:r w:rsidRPr="008F0BB3">
        <w:rPr>
          <w:color w:val="4472C4" w:themeColor="accent1"/>
          <w:szCs w:val="22"/>
          <w:lang w:val="en-US"/>
        </w:rPr>
        <w:t xml:space="preserve"> the timing-related parameters defined in Table </w:t>
      </w:r>
      <w:r>
        <w:rPr>
          <w:color w:val="4472C4" w:themeColor="accent1"/>
          <w:szCs w:val="22"/>
          <w:lang w:val="en-US"/>
        </w:rPr>
        <w:t>X</w:t>
      </w:r>
      <w:r w:rsidR="00326518">
        <w:rPr>
          <w:color w:val="4472C4" w:themeColor="accent1"/>
          <w:szCs w:val="22"/>
          <w:lang w:val="en-US"/>
        </w:rPr>
        <w:t>3</w:t>
      </w:r>
      <w:r w:rsidRPr="008F0BB3">
        <w:rPr>
          <w:color w:val="4472C4" w:themeColor="accent1"/>
          <w:szCs w:val="22"/>
          <w:lang w:val="en-US"/>
        </w:rPr>
        <w:t>.</w:t>
      </w:r>
    </w:p>
    <w:p w14:paraId="0555C46D" w14:textId="77777777" w:rsidR="00502FFA" w:rsidRDefault="00502FFA" w:rsidP="00502FFA">
      <w:pPr>
        <w:rPr>
          <w:szCs w:val="22"/>
          <w:lang w:val="en-US"/>
        </w:rPr>
      </w:pPr>
    </w:p>
    <w:p w14:paraId="465D4DDB" w14:textId="3A826C34" w:rsidR="00502FFA" w:rsidRDefault="00502FFA" w:rsidP="00502FFA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</w:t>
      </w:r>
      <w:r w:rsidR="00150162">
        <w:rPr>
          <w:szCs w:val="22"/>
          <w:lang w:val="en-US"/>
        </w:rPr>
        <w:t>3</w:t>
      </w:r>
      <w:r w:rsidRPr="001A521E">
        <w:rPr>
          <w:szCs w:val="22"/>
          <w:lang w:val="en-US"/>
        </w:rPr>
        <w:t>—</w:t>
      </w:r>
      <w:r w:rsidR="005A1CE4">
        <w:rPr>
          <w:szCs w:val="22"/>
          <w:lang w:val="en-US"/>
        </w:rPr>
        <w:t>DMG s</w:t>
      </w:r>
      <w:r>
        <w:rPr>
          <w:szCs w:val="22"/>
          <w:lang w:val="en-US"/>
        </w:rPr>
        <w:t>ensing</w:t>
      </w:r>
      <w:r w:rsidRPr="001A521E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procedure timing-related </w:t>
      </w:r>
      <w:proofErr w:type="gramStart"/>
      <w:r>
        <w:rPr>
          <w:szCs w:val="22"/>
          <w:lang w:val="en-US"/>
        </w:rPr>
        <w:t>parameter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675"/>
      </w:tblGrid>
      <w:tr w:rsidR="00502FFA" w14:paraId="56A242DD" w14:textId="77777777" w:rsidTr="00244B87">
        <w:tc>
          <w:tcPr>
            <w:tcW w:w="3325" w:type="dxa"/>
          </w:tcPr>
          <w:p w14:paraId="0480B69C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</w:t>
            </w:r>
          </w:p>
        </w:tc>
        <w:tc>
          <w:tcPr>
            <w:tcW w:w="1350" w:type="dxa"/>
          </w:tcPr>
          <w:p w14:paraId="58EA2F4D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2B257264" w14:textId="77777777" w:rsidR="00502FFA" w:rsidRPr="00C66274" w:rsidRDefault="00502FFA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502FFA" w14:paraId="341A4817" w14:textId="77777777" w:rsidTr="00244B87">
        <w:tc>
          <w:tcPr>
            <w:tcW w:w="3325" w:type="dxa"/>
          </w:tcPr>
          <w:p w14:paraId="29EBFEA4" w14:textId="672B0ACD" w:rsidR="00502FFA" w:rsidRPr="00901B78" w:rsidRDefault="00C34524" w:rsidP="00244B87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901B78">
              <w:rPr>
                <w:i/>
                <w:iCs/>
                <w:szCs w:val="22"/>
                <w:lang w:val="en-US"/>
              </w:rPr>
              <w:t>a</w:t>
            </w:r>
            <w:r>
              <w:rPr>
                <w:i/>
                <w:iCs/>
                <w:szCs w:val="22"/>
                <w:lang w:val="en-US"/>
              </w:rPr>
              <w:t>DMG</w:t>
            </w:r>
            <w:r w:rsidRPr="00901B78">
              <w:rPr>
                <w:i/>
                <w:iCs/>
                <w:szCs w:val="22"/>
                <w:lang w:val="en-US"/>
              </w:rPr>
              <w:t>Sensing</w:t>
            </w:r>
            <w:r>
              <w:rPr>
                <w:i/>
                <w:iCs/>
                <w:szCs w:val="22"/>
                <w:lang w:val="en-US"/>
              </w:rPr>
              <w:t>ProcedureExpiry</w:t>
            </w:r>
            <w:proofErr w:type="spellEnd"/>
          </w:p>
        </w:tc>
        <w:tc>
          <w:tcPr>
            <w:tcW w:w="1350" w:type="dxa"/>
          </w:tcPr>
          <w:p w14:paraId="5D9491B3" w14:textId="72FB9C4F" w:rsidR="00502FFA" w:rsidRDefault="00452460" w:rsidP="00244B8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  <w:r w:rsidR="00502FFA">
              <w:rPr>
                <w:szCs w:val="22"/>
                <w:lang w:val="en-US"/>
              </w:rPr>
              <w:t>0 s</w:t>
            </w:r>
          </w:p>
        </w:tc>
        <w:tc>
          <w:tcPr>
            <w:tcW w:w="4675" w:type="dxa"/>
          </w:tcPr>
          <w:p w14:paraId="56A2EB5B" w14:textId="77777777" w:rsidR="00502FFA" w:rsidRPr="003B6E89" w:rsidRDefault="00530A0E" w:rsidP="00530A0E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3B6E89">
              <w:rPr>
                <w:strike/>
                <w:color w:val="4472C4" w:themeColor="accent1"/>
                <w:szCs w:val="22"/>
                <w:lang w:val="en-US"/>
              </w:rPr>
              <w:t>This parameter indicates the time limit the sensing initiator and sensing responder terminate the DMG sensing measurement session if no handshake happens during the established DMG sensing measurement session.</w:t>
            </w:r>
          </w:p>
          <w:p w14:paraId="27A65BBE" w14:textId="3A466849" w:rsidR="00070357" w:rsidRDefault="000506FF" w:rsidP="00530A0E">
            <w:pPr>
              <w:rPr>
                <w:szCs w:val="22"/>
                <w:lang w:val="en-US"/>
              </w:rPr>
            </w:pPr>
            <w:r w:rsidRPr="00F853B2">
              <w:rPr>
                <w:color w:val="4472C4" w:themeColor="accent1"/>
                <w:szCs w:val="22"/>
                <w:lang w:val="en-US"/>
              </w:rPr>
              <w:t xml:space="preserve">The </w:t>
            </w:r>
            <w:r>
              <w:rPr>
                <w:color w:val="4472C4" w:themeColor="accent1"/>
                <w:szCs w:val="22"/>
                <w:lang w:val="en-US"/>
              </w:rPr>
              <w:t>time limit for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which </w:t>
            </w:r>
            <w:r w:rsidR="0018450A">
              <w:rPr>
                <w:color w:val="4472C4" w:themeColor="accent1"/>
                <w:szCs w:val="22"/>
                <w:lang w:val="en-US"/>
              </w:rPr>
              <w:t>a DMG sensing measurement session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remains active if no frames are exchanged between </w:t>
            </w:r>
            <w:r>
              <w:rPr>
                <w:color w:val="4472C4" w:themeColor="accent1"/>
                <w:szCs w:val="22"/>
                <w:lang w:val="en-US"/>
              </w:rPr>
              <w:t>its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</w:t>
            </w:r>
            <w:r w:rsidR="0018450A">
              <w:rPr>
                <w:color w:val="4472C4" w:themeColor="accent1"/>
                <w:szCs w:val="22"/>
                <w:lang w:val="en-US"/>
              </w:rPr>
              <w:t>sensing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initiator and </w:t>
            </w:r>
            <w:r w:rsidR="0018450A">
              <w:rPr>
                <w:color w:val="4472C4" w:themeColor="accent1"/>
                <w:szCs w:val="22"/>
                <w:lang w:val="en-US"/>
              </w:rPr>
              <w:t>sensing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responder.</w:t>
            </w:r>
          </w:p>
        </w:tc>
      </w:tr>
    </w:tbl>
    <w:p w14:paraId="175E521E" w14:textId="77777777" w:rsidR="00237248" w:rsidRPr="00821D84" w:rsidRDefault="00237248" w:rsidP="00502FFA">
      <w:pPr>
        <w:rPr>
          <w:szCs w:val="22"/>
          <w:lang w:val="en-US"/>
        </w:rPr>
      </w:pPr>
    </w:p>
    <w:p w14:paraId="452541E6" w14:textId="77777777" w:rsidR="00502FFA" w:rsidRPr="00EB333B" w:rsidRDefault="00502FFA" w:rsidP="00502FFA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415DE15B" w14:textId="744C0D2C" w:rsidR="00502FFA" w:rsidRPr="00901B78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Replace </w:t>
      </w:r>
      <w:r w:rsidR="0070297F" w:rsidRPr="0070297F">
        <w:rPr>
          <w:szCs w:val="22"/>
          <w:lang w:val="en-US"/>
        </w:rPr>
        <w:t>dot11DMGSensingProcedureExpiry</w:t>
      </w:r>
      <w:r w:rsidRPr="00901B78">
        <w:rPr>
          <w:szCs w:val="22"/>
          <w:lang w:val="en-US"/>
        </w:rPr>
        <w:t xml:space="preserve"> with </w:t>
      </w:r>
      <w:proofErr w:type="spellStart"/>
      <w:r w:rsidRPr="00901B78">
        <w:rPr>
          <w:i/>
          <w:iCs/>
          <w:szCs w:val="22"/>
          <w:lang w:val="en-US"/>
        </w:rPr>
        <w:t>a</w:t>
      </w:r>
      <w:r w:rsidR="00C34524">
        <w:rPr>
          <w:i/>
          <w:iCs/>
          <w:szCs w:val="22"/>
          <w:lang w:val="en-US"/>
        </w:rPr>
        <w:t>DMG</w:t>
      </w:r>
      <w:r w:rsidRPr="00901B78">
        <w:rPr>
          <w:i/>
          <w:iCs/>
          <w:szCs w:val="22"/>
          <w:lang w:val="en-US"/>
        </w:rPr>
        <w:t>Sensing</w:t>
      </w:r>
      <w:r w:rsidR="00C34524">
        <w:rPr>
          <w:i/>
          <w:iCs/>
          <w:szCs w:val="22"/>
          <w:lang w:val="en-US"/>
        </w:rPr>
        <w:t>ProcedureExpiry</w:t>
      </w:r>
      <w:proofErr w:type="spellEnd"/>
      <w:r w:rsidRPr="00901B78">
        <w:rPr>
          <w:szCs w:val="22"/>
          <w:lang w:val="en-US"/>
        </w:rPr>
        <w:t xml:space="preserve"> through the draft.</w:t>
      </w:r>
    </w:p>
    <w:p w14:paraId="499B40DE" w14:textId="6D6FAD13" w:rsidR="00502FFA" w:rsidRPr="00901B78" w:rsidRDefault="00502FFA" w:rsidP="00502FFA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01B78">
        <w:rPr>
          <w:szCs w:val="22"/>
          <w:lang w:val="en-US"/>
        </w:rPr>
        <w:t xml:space="preserve">Delete the </w:t>
      </w:r>
      <w:r w:rsidR="0070297F" w:rsidRPr="0070297F">
        <w:rPr>
          <w:szCs w:val="22"/>
          <w:lang w:val="en-US"/>
        </w:rPr>
        <w:t>dot11DMGSensingProcedureExpiry</w:t>
      </w:r>
      <w:r w:rsidRPr="00901B78">
        <w:rPr>
          <w:szCs w:val="22"/>
          <w:lang w:val="en-US"/>
        </w:rPr>
        <w:t xml:space="preserve"> entry from Annex C.</w:t>
      </w:r>
    </w:p>
    <w:p w14:paraId="10FF7E76" w14:textId="77777777" w:rsidR="00502FFA" w:rsidRDefault="00502FFA" w:rsidP="00353F52">
      <w:pPr>
        <w:rPr>
          <w:color w:val="FF0000"/>
          <w:szCs w:val="22"/>
          <w:lang w:val="en-US"/>
        </w:rPr>
      </w:pPr>
    </w:p>
    <w:p w14:paraId="49CAE38B" w14:textId="645F1220" w:rsidR="009338F7" w:rsidRDefault="009338F7">
      <w:pPr>
        <w:rPr>
          <w:color w:val="FF0000"/>
          <w:szCs w:val="22"/>
          <w:lang w:val="en-US"/>
        </w:rPr>
      </w:pPr>
      <w:r>
        <w:rPr>
          <w:color w:val="FF0000"/>
          <w:szCs w:val="22"/>
          <w:lang w:val="en-US"/>
        </w:rPr>
        <w:br w:type="page"/>
      </w:r>
    </w:p>
    <w:p w14:paraId="2E473742" w14:textId="6DD86D0B" w:rsidR="009338F7" w:rsidRPr="009338F7" w:rsidRDefault="009338F7" w:rsidP="009338F7">
      <w:pPr>
        <w:jc w:val="center"/>
        <w:rPr>
          <w:b/>
          <w:bCs/>
          <w:color w:val="000000" w:themeColor="text1"/>
          <w:szCs w:val="22"/>
          <w:lang w:val="en-US"/>
        </w:rPr>
      </w:pPr>
      <w:r w:rsidRPr="009338F7">
        <w:rPr>
          <w:b/>
          <w:bCs/>
          <w:color w:val="000000" w:themeColor="text1"/>
          <w:szCs w:val="22"/>
          <w:lang w:val="en-US"/>
        </w:rPr>
        <w:lastRenderedPageBreak/>
        <w:t>DMG SBP Procedure</w:t>
      </w:r>
    </w:p>
    <w:p w14:paraId="0B5559B4" w14:textId="77777777" w:rsidR="009338F7" w:rsidRPr="00E27460" w:rsidRDefault="009338F7" w:rsidP="00353F52">
      <w:pPr>
        <w:rPr>
          <w:szCs w:val="22"/>
          <w:lang w:val="en-US"/>
        </w:rPr>
      </w:pPr>
    </w:p>
    <w:p w14:paraId="7D8F111E" w14:textId="77777777" w:rsidR="00D65A48" w:rsidRPr="00EB333B" w:rsidRDefault="00D65A48" w:rsidP="00D65A48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7490A9A0" w14:textId="46CB5693" w:rsidR="00D65A48" w:rsidRPr="0096137B" w:rsidRDefault="00D65A48" w:rsidP="00D65A48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 w:rsidRPr="0096137B">
        <w:rPr>
          <w:szCs w:val="22"/>
          <w:lang w:val="en-US"/>
        </w:rPr>
        <w:t>Add the following at the end of 11.55.</w:t>
      </w:r>
      <w:r>
        <w:rPr>
          <w:szCs w:val="22"/>
          <w:lang w:val="en-US"/>
        </w:rPr>
        <w:t>4.1 (General)</w:t>
      </w:r>
    </w:p>
    <w:p w14:paraId="6CC85788" w14:textId="77777777" w:rsidR="00D65A48" w:rsidRDefault="00D65A48" w:rsidP="00D65A48">
      <w:pPr>
        <w:rPr>
          <w:szCs w:val="22"/>
          <w:lang w:val="en-US"/>
        </w:rPr>
      </w:pPr>
    </w:p>
    <w:p w14:paraId="5CD2F8B6" w14:textId="44FE1A98" w:rsidR="00D65A48" w:rsidRPr="00E27460" w:rsidRDefault="00D65A48" w:rsidP="00D65A48">
      <w:pPr>
        <w:rPr>
          <w:strike/>
          <w:color w:val="4472C4" w:themeColor="accent1"/>
          <w:szCs w:val="22"/>
          <w:lang w:val="en-US"/>
        </w:rPr>
      </w:pPr>
      <w:r w:rsidRPr="00E27460">
        <w:rPr>
          <w:strike/>
          <w:color w:val="4472C4" w:themeColor="accent1"/>
          <w:szCs w:val="22"/>
          <w:lang w:val="en-US"/>
        </w:rPr>
        <w:t xml:space="preserve">Table X4 defines timing-related parameters associated with the </w:t>
      </w:r>
      <w:r w:rsidR="00AC5F4B" w:rsidRPr="00E27460">
        <w:rPr>
          <w:strike/>
          <w:color w:val="4472C4" w:themeColor="accent1"/>
          <w:szCs w:val="22"/>
          <w:lang w:val="en-US"/>
        </w:rPr>
        <w:t xml:space="preserve">DMG </w:t>
      </w:r>
      <w:r w:rsidRPr="00E27460">
        <w:rPr>
          <w:strike/>
          <w:color w:val="4472C4" w:themeColor="accent1"/>
          <w:szCs w:val="22"/>
          <w:lang w:val="en-US"/>
        </w:rPr>
        <w:t>SBP procedure.</w:t>
      </w:r>
    </w:p>
    <w:p w14:paraId="77B018AE" w14:textId="31060011" w:rsidR="00E27460" w:rsidRPr="008F0BB3" w:rsidRDefault="00E27460" w:rsidP="00E27460">
      <w:pPr>
        <w:rPr>
          <w:color w:val="4472C4" w:themeColor="accent1"/>
          <w:szCs w:val="22"/>
          <w:lang w:val="en-US"/>
        </w:rPr>
      </w:pPr>
      <w:r w:rsidRPr="00E27460">
        <w:rPr>
          <w:color w:val="4472C4" w:themeColor="accent1"/>
          <w:szCs w:val="22"/>
          <w:lang w:val="en-US"/>
        </w:rPr>
        <w:t>A DMG STA that supports DMG SBP procedure</w:t>
      </w:r>
      <w:r>
        <w:rPr>
          <w:color w:val="4472C4" w:themeColor="accent1"/>
          <w:szCs w:val="22"/>
          <w:lang w:val="en-US"/>
        </w:rPr>
        <w:t xml:space="preserve"> </w:t>
      </w:r>
      <w:r w:rsidRPr="008F0BB3">
        <w:rPr>
          <w:color w:val="4472C4" w:themeColor="accent1"/>
          <w:szCs w:val="22"/>
          <w:lang w:val="en-US"/>
        </w:rPr>
        <w:t xml:space="preserve">should use the timing-related parameters defined in Table </w:t>
      </w:r>
      <w:r>
        <w:rPr>
          <w:color w:val="4472C4" w:themeColor="accent1"/>
          <w:szCs w:val="22"/>
          <w:lang w:val="en-US"/>
        </w:rPr>
        <w:t>X4</w:t>
      </w:r>
      <w:r w:rsidRPr="008F0BB3">
        <w:rPr>
          <w:color w:val="4472C4" w:themeColor="accent1"/>
          <w:szCs w:val="22"/>
          <w:lang w:val="en-US"/>
        </w:rPr>
        <w:t>.</w:t>
      </w:r>
    </w:p>
    <w:p w14:paraId="249C4525" w14:textId="77777777" w:rsidR="00D65A48" w:rsidRDefault="00D65A48" w:rsidP="00D65A48">
      <w:pPr>
        <w:rPr>
          <w:szCs w:val="22"/>
          <w:lang w:val="en-US"/>
        </w:rPr>
      </w:pPr>
    </w:p>
    <w:p w14:paraId="1A156CEB" w14:textId="3D6351E7" w:rsidR="00D65A48" w:rsidRDefault="00D65A48" w:rsidP="00D65A48">
      <w:pPr>
        <w:jc w:val="center"/>
        <w:rPr>
          <w:szCs w:val="22"/>
          <w:lang w:val="en-US"/>
        </w:rPr>
      </w:pPr>
      <w:r w:rsidRPr="001A521E">
        <w:rPr>
          <w:szCs w:val="22"/>
          <w:lang w:val="en-US"/>
        </w:rPr>
        <w:t xml:space="preserve">Table </w:t>
      </w:r>
      <w:r>
        <w:rPr>
          <w:szCs w:val="22"/>
          <w:lang w:val="en-US"/>
        </w:rPr>
        <w:t>X4</w:t>
      </w:r>
      <w:r w:rsidRPr="001A521E">
        <w:rPr>
          <w:szCs w:val="22"/>
          <w:lang w:val="en-US"/>
        </w:rPr>
        <w:t>—</w:t>
      </w:r>
      <w:r>
        <w:rPr>
          <w:szCs w:val="22"/>
          <w:lang w:val="en-US"/>
        </w:rPr>
        <w:t>DMG SBP procedure</w:t>
      </w:r>
      <w:r w:rsidRPr="001A521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timing-related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90"/>
        <w:gridCol w:w="4675"/>
      </w:tblGrid>
      <w:tr w:rsidR="00D65A48" w14:paraId="7EE7AE6D" w14:textId="77777777" w:rsidTr="00BD4DD1">
        <w:tc>
          <w:tcPr>
            <w:tcW w:w="2785" w:type="dxa"/>
          </w:tcPr>
          <w:p w14:paraId="430029FE" w14:textId="119FFCB3" w:rsidR="00D65A48" w:rsidRPr="00C66274" w:rsidRDefault="00074149" w:rsidP="00244B87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Parameters</w:t>
            </w:r>
          </w:p>
        </w:tc>
        <w:tc>
          <w:tcPr>
            <w:tcW w:w="1890" w:type="dxa"/>
          </w:tcPr>
          <w:p w14:paraId="7857DF12" w14:textId="77777777" w:rsidR="00D65A48" w:rsidRPr="00C66274" w:rsidRDefault="00D65A48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Value</w:t>
            </w:r>
          </w:p>
        </w:tc>
        <w:tc>
          <w:tcPr>
            <w:tcW w:w="4675" w:type="dxa"/>
          </w:tcPr>
          <w:p w14:paraId="5E15A1A9" w14:textId="77777777" w:rsidR="00D65A48" w:rsidRPr="00C66274" w:rsidRDefault="00D65A48" w:rsidP="00244B87">
            <w:pPr>
              <w:rPr>
                <w:b/>
                <w:bCs/>
                <w:szCs w:val="22"/>
                <w:lang w:val="en-US"/>
              </w:rPr>
            </w:pPr>
            <w:r w:rsidRPr="00C66274">
              <w:rPr>
                <w:b/>
                <w:bCs/>
                <w:szCs w:val="22"/>
                <w:lang w:val="en-US"/>
              </w:rPr>
              <w:t>Description</w:t>
            </w:r>
          </w:p>
        </w:tc>
      </w:tr>
      <w:tr w:rsidR="00D65A48" w14:paraId="46305E21" w14:textId="77777777" w:rsidTr="00BD4DD1">
        <w:tc>
          <w:tcPr>
            <w:tcW w:w="2785" w:type="dxa"/>
          </w:tcPr>
          <w:p w14:paraId="191B8A3B" w14:textId="7AC509EE" w:rsidR="00D65A48" w:rsidRPr="003D0F6F" w:rsidRDefault="0023539B" w:rsidP="00244B87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DC6AFC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DMG</w:t>
            </w:r>
            <w:r w:rsidRPr="00DC6AFC">
              <w:rPr>
                <w:i/>
                <w:iCs/>
                <w:color w:val="000000" w:themeColor="text1"/>
                <w:szCs w:val="22"/>
                <w:lang w:val="en-US"/>
              </w:rPr>
              <w:t>SBPSetupExpiry</w:t>
            </w:r>
            <w:proofErr w:type="spellEnd"/>
          </w:p>
        </w:tc>
        <w:tc>
          <w:tcPr>
            <w:tcW w:w="1890" w:type="dxa"/>
          </w:tcPr>
          <w:p w14:paraId="5092AC02" w14:textId="3E689680" w:rsidR="00D65A48" w:rsidRPr="003D0F6F" w:rsidRDefault="00BD4DD1" w:rsidP="00244B87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 xml:space="preserve">200 </w:t>
            </w:r>
            <w:proofErr w:type="spellStart"/>
            <w:r>
              <w:rPr>
                <w:color w:val="000000" w:themeColor="text1"/>
                <w:szCs w:val="22"/>
                <w:lang w:val="en-US"/>
              </w:rPr>
              <w:t>ms</w:t>
            </w:r>
            <w:proofErr w:type="spellEnd"/>
          </w:p>
        </w:tc>
        <w:tc>
          <w:tcPr>
            <w:tcW w:w="4675" w:type="dxa"/>
          </w:tcPr>
          <w:p w14:paraId="2F48BD57" w14:textId="77777777" w:rsidR="00D65A48" w:rsidRDefault="001421D0" w:rsidP="001421D0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6A3DD9">
              <w:rPr>
                <w:strike/>
                <w:color w:val="4472C4" w:themeColor="accent1"/>
                <w:szCs w:val="22"/>
                <w:lang w:val="en-US"/>
              </w:rPr>
              <w:t xml:space="preserve">This parameter indicates the time limit the SBP </w:t>
            </w:r>
            <w:r w:rsidRPr="001A17DD">
              <w:rPr>
                <w:strike/>
                <w:color w:val="4472C4" w:themeColor="accent1"/>
                <w:szCs w:val="22"/>
                <w:lang w:val="en-US"/>
              </w:rPr>
              <w:t>responder shall send</w:t>
            </w:r>
            <w:r w:rsidRPr="006A3DD9">
              <w:rPr>
                <w:strike/>
                <w:color w:val="4472C4" w:themeColor="accent1"/>
                <w:szCs w:val="22"/>
                <w:lang w:val="en-US"/>
              </w:rPr>
              <w:t xml:space="preserve"> a DMG SBP Response frame after receiving a DMG SBP Request.</w:t>
            </w:r>
          </w:p>
          <w:p w14:paraId="25DDB9DF" w14:textId="298A6729" w:rsidR="006A3DD9" w:rsidRPr="006A3DD9" w:rsidRDefault="006A3DD9" w:rsidP="006A3DD9">
            <w:pPr>
              <w:rPr>
                <w:strike/>
                <w:color w:val="000000" w:themeColor="text1"/>
                <w:szCs w:val="22"/>
                <w:lang w:val="en-US"/>
              </w:rPr>
            </w:pPr>
            <w:r>
              <w:rPr>
                <w:color w:val="4472C4" w:themeColor="accent1"/>
                <w:szCs w:val="22"/>
                <w:lang w:val="en-SG" w:eastAsia="en-SG"/>
              </w:rPr>
              <w:t>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he maximum time </w:t>
            </w:r>
            <w:r>
              <w:rPr>
                <w:color w:val="4472C4" w:themeColor="accent1"/>
                <w:szCs w:val="22"/>
                <w:lang w:val="en-SG" w:eastAsia="en-SG"/>
              </w:rPr>
              <w:t xml:space="preserve">interval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>between the reception of a</w:t>
            </w:r>
            <w:r w:rsidR="001A17DD">
              <w:rPr>
                <w:color w:val="4472C4" w:themeColor="accent1"/>
                <w:szCs w:val="22"/>
                <w:lang w:val="en-SG" w:eastAsia="en-SG"/>
              </w:rPr>
              <w:t xml:space="preserve"> DMG</w:t>
            </w:r>
            <w:r>
              <w:rPr>
                <w:color w:val="4472C4" w:themeColor="accent1"/>
                <w:szCs w:val="22"/>
                <w:lang w:val="en-SG" w:eastAsia="en-SG"/>
              </w:rPr>
              <w:t xml:space="preserve"> SBP Request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 and the </w:t>
            </w:r>
            <w:r w:rsidR="00362491">
              <w:rPr>
                <w:color w:val="4472C4" w:themeColor="accent1"/>
                <w:szCs w:val="22"/>
                <w:lang w:val="en-SG" w:eastAsia="en-SG"/>
              </w:rPr>
              <w:t>transmission</w:t>
            </w:r>
            <w:r w:rsidR="0027404A">
              <w:rPr>
                <w:color w:val="4472C4" w:themeColor="accent1"/>
                <w:szCs w:val="22"/>
                <w:lang w:val="en-SG" w:eastAsia="en-SG"/>
              </w:rPr>
              <w:t xml:space="preserve"> 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of the corresponding </w:t>
            </w:r>
            <w:r w:rsidR="001A17DD">
              <w:rPr>
                <w:color w:val="4472C4" w:themeColor="accent1"/>
                <w:szCs w:val="22"/>
                <w:lang w:val="en-SG" w:eastAsia="en-SG"/>
              </w:rPr>
              <w:t xml:space="preserve">DMG </w:t>
            </w:r>
            <w:r>
              <w:rPr>
                <w:color w:val="4472C4" w:themeColor="accent1"/>
                <w:szCs w:val="22"/>
                <w:lang w:val="en-SG" w:eastAsia="en-SG"/>
              </w:rPr>
              <w:t>SBP Response</w:t>
            </w:r>
            <w:r w:rsidRPr="001F1851">
              <w:rPr>
                <w:color w:val="4472C4" w:themeColor="accent1"/>
                <w:szCs w:val="22"/>
                <w:lang w:val="en-SG" w:eastAsia="en-SG"/>
              </w:rPr>
              <w:t xml:space="preserve"> frame.</w:t>
            </w:r>
          </w:p>
        </w:tc>
      </w:tr>
      <w:tr w:rsidR="00AC5F4B" w14:paraId="2D6ABBC8" w14:textId="77777777" w:rsidTr="00BD4DD1">
        <w:tc>
          <w:tcPr>
            <w:tcW w:w="2785" w:type="dxa"/>
          </w:tcPr>
          <w:p w14:paraId="2AAA7A95" w14:textId="1ED56C8A" w:rsidR="00AC5F4B" w:rsidRPr="003D0F6F" w:rsidRDefault="0023539B" w:rsidP="00244B87">
            <w:pPr>
              <w:rPr>
                <w:i/>
                <w:iCs/>
                <w:color w:val="000000" w:themeColor="text1"/>
                <w:szCs w:val="22"/>
                <w:lang w:val="en-US"/>
              </w:rPr>
            </w:pPr>
            <w:proofErr w:type="spellStart"/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a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DMG</w:t>
            </w:r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SBP</w:t>
            </w:r>
            <w:r>
              <w:rPr>
                <w:i/>
                <w:iCs/>
                <w:color w:val="000000" w:themeColor="text1"/>
                <w:szCs w:val="22"/>
                <w:lang w:val="en-US"/>
              </w:rPr>
              <w:t>Procedure</w:t>
            </w:r>
            <w:r w:rsidRPr="00956B00">
              <w:rPr>
                <w:i/>
                <w:iCs/>
                <w:color w:val="000000" w:themeColor="text1"/>
                <w:szCs w:val="22"/>
                <w:lang w:val="en-US"/>
              </w:rPr>
              <w:t>Expiry</w:t>
            </w:r>
            <w:proofErr w:type="spellEnd"/>
          </w:p>
        </w:tc>
        <w:tc>
          <w:tcPr>
            <w:tcW w:w="1890" w:type="dxa"/>
          </w:tcPr>
          <w:p w14:paraId="692D625E" w14:textId="4C346A9C" w:rsidR="00AC5F4B" w:rsidRPr="003D0F6F" w:rsidRDefault="00BD4DD1" w:rsidP="00244B87">
            <w:pPr>
              <w:rPr>
                <w:color w:val="000000" w:themeColor="text1"/>
                <w:szCs w:val="22"/>
                <w:lang w:val="en-US"/>
              </w:rPr>
            </w:pPr>
            <w:r>
              <w:rPr>
                <w:color w:val="000000" w:themeColor="text1"/>
                <w:szCs w:val="22"/>
                <w:lang w:val="en-US"/>
              </w:rPr>
              <w:t>10 s</w:t>
            </w:r>
          </w:p>
        </w:tc>
        <w:tc>
          <w:tcPr>
            <w:tcW w:w="4675" w:type="dxa"/>
          </w:tcPr>
          <w:p w14:paraId="3D13398A" w14:textId="77777777" w:rsidR="00AC5F4B" w:rsidRPr="006A3DD9" w:rsidRDefault="00EA5BCB" w:rsidP="00244B87">
            <w:pPr>
              <w:rPr>
                <w:strike/>
                <w:color w:val="4472C4" w:themeColor="accent1"/>
                <w:szCs w:val="22"/>
                <w:lang w:val="en-US"/>
              </w:rPr>
            </w:pPr>
            <w:r w:rsidRPr="006A3DD9">
              <w:rPr>
                <w:strike/>
                <w:color w:val="4472C4" w:themeColor="accent1"/>
                <w:szCs w:val="22"/>
                <w:lang w:val="en-US"/>
              </w:rPr>
              <w:t>This attribute indicates the time limit the DMG SBP initiator and the DMG SBP responder terminate the DMG SBP procedure if no SBP reporting happens within the time.</w:t>
            </w:r>
          </w:p>
          <w:p w14:paraId="0D23B1DA" w14:textId="6CF7D4E2" w:rsidR="00E82338" w:rsidRPr="00BF2BFF" w:rsidRDefault="00E82338" w:rsidP="00244B87">
            <w:pPr>
              <w:rPr>
                <w:color w:val="000000" w:themeColor="text1"/>
                <w:szCs w:val="22"/>
                <w:lang w:val="en-US"/>
              </w:rPr>
            </w:pPr>
            <w:r w:rsidRPr="00F853B2">
              <w:rPr>
                <w:color w:val="4472C4" w:themeColor="accent1"/>
                <w:szCs w:val="22"/>
                <w:lang w:val="en-US"/>
              </w:rPr>
              <w:t xml:space="preserve">The </w:t>
            </w:r>
            <w:r>
              <w:rPr>
                <w:color w:val="4472C4" w:themeColor="accent1"/>
                <w:szCs w:val="22"/>
                <w:lang w:val="en-US"/>
              </w:rPr>
              <w:t>time limit for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which a</w:t>
            </w:r>
            <w:r w:rsidR="0043062E">
              <w:rPr>
                <w:color w:val="4472C4" w:themeColor="accent1"/>
                <w:szCs w:val="22"/>
                <w:lang w:val="en-US"/>
              </w:rPr>
              <w:t xml:space="preserve"> DMG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SBP procedure remains active if no frames are exchanged between </w:t>
            </w:r>
            <w:r>
              <w:rPr>
                <w:color w:val="4472C4" w:themeColor="accent1"/>
                <w:szCs w:val="22"/>
                <w:lang w:val="en-US"/>
              </w:rPr>
              <w:t>its</w:t>
            </w:r>
            <w:r w:rsidRPr="00F853B2">
              <w:rPr>
                <w:color w:val="4472C4" w:themeColor="accent1"/>
                <w:szCs w:val="22"/>
                <w:lang w:val="en-US"/>
              </w:rPr>
              <w:t xml:space="preserve"> SBP initiator and SBP responder.</w:t>
            </w:r>
          </w:p>
        </w:tc>
      </w:tr>
    </w:tbl>
    <w:p w14:paraId="4897E1B8" w14:textId="77777777" w:rsidR="00D65A48" w:rsidRPr="00821D84" w:rsidRDefault="00D65A48" w:rsidP="00D65A48">
      <w:pPr>
        <w:rPr>
          <w:szCs w:val="22"/>
          <w:lang w:val="en-US"/>
        </w:rPr>
      </w:pPr>
    </w:p>
    <w:p w14:paraId="05BB1F7F" w14:textId="77777777" w:rsidR="00D65A48" w:rsidRPr="00EB333B" w:rsidRDefault="00D65A48" w:rsidP="00D65A48">
      <w:pPr>
        <w:rPr>
          <w:i/>
          <w:iCs/>
          <w:szCs w:val="22"/>
          <w:lang w:val="en-US"/>
        </w:rPr>
      </w:pPr>
      <w:proofErr w:type="spellStart"/>
      <w:r w:rsidRPr="00EB333B">
        <w:rPr>
          <w:b/>
          <w:bCs/>
          <w:i/>
          <w:iCs/>
          <w:szCs w:val="22"/>
          <w:lang w:val="en-US"/>
        </w:rPr>
        <w:t>TGbf</w:t>
      </w:r>
      <w:proofErr w:type="spellEnd"/>
      <w:r w:rsidRPr="00EB333B">
        <w:rPr>
          <w:b/>
          <w:bCs/>
          <w:i/>
          <w:iCs/>
          <w:szCs w:val="22"/>
          <w:lang w:val="en-US"/>
        </w:rPr>
        <w:t xml:space="preserve"> editor:</w:t>
      </w:r>
      <w:r w:rsidRPr="00EB333B">
        <w:rPr>
          <w:i/>
          <w:iCs/>
          <w:szCs w:val="22"/>
          <w:lang w:val="en-US"/>
        </w:rPr>
        <w:t xml:space="preserve"> </w:t>
      </w:r>
    </w:p>
    <w:p w14:paraId="76B401D5" w14:textId="051EAD60" w:rsidR="00D65A48" w:rsidRPr="00BF2BFF" w:rsidRDefault="00D65A48" w:rsidP="00DC6AFC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Replace </w:t>
      </w:r>
      <w:r w:rsidR="00853897" w:rsidRPr="00BF2BFF">
        <w:rPr>
          <w:color w:val="000000" w:themeColor="text1"/>
          <w:szCs w:val="22"/>
          <w:lang w:val="en-US"/>
        </w:rPr>
        <w:t>dot11DMGSBPSetupExpiry</w:t>
      </w:r>
      <w:r w:rsidR="00DC6AFC" w:rsidRPr="00BF2BFF">
        <w:rPr>
          <w:color w:val="000000" w:themeColor="text1"/>
          <w:szCs w:val="22"/>
          <w:lang w:val="en-US"/>
        </w:rPr>
        <w:t xml:space="preserve"> </w:t>
      </w:r>
      <w:r w:rsidRPr="00BF2BFF">
        <w:rPr>
          <w:color w:val="000000" w:themeColor="text1"/>
          <w:szCs w:val="22"/>
          <w:lang w:val="en-US"/>
        </w:rPr>
        <w:t xml:space="preserve">with </w:t>
      </w:r>
      <w:proofErr w:type="spellStart"/>
      <w:r w:rsidRPr="00BF2BFF">
        <w:rPr>
          <w:i/>
          <w:iCs/>
          <w:color w:val="000000" w:themeColor="text1"/>
          <w:szCs w:val="22"/>
          <w:lang w:val="en-US"/>
        </w:rPr>
        <w:t>a</w:t>
      </w:r>
      <w:r w:rsidR="00DC6AFC" w:rsidRPr="00BF2BFF">
        <w:rPr>
          <w:i/>
          <w:iCs/>
          <w:color w:val="000000" w:themeColor="text1"/>
          <w:szCs w:val="22"/>
          <w:lang w:val="en-US"/>
        </w:rPr>
        <w:t>DMG</w:t>
      </w:r>
      <w:r w:rsidRPr="00BF2BFF">
        <w:rPr>
          <w:i/>
          <w:iCs/>
          <w:color w:val="000000" w:themeColor="text1"/>
          <w:szCs w:val="22"/>
          <w:lang w:val="en-US"/>
        </w:rPr>
        <w:t>SBPSetupExpiry</w:t>
      </w:r>
      <w:proofErr w:type="spellEnd"/>
      <w:r w:rsidRPr="00BF2BFF">
        <w:rPr>
          <w:color w:val="000000" w:themeColor="text1"/>
          <w:szCs w:val="22"/>
          <w:lang w:val="en-US"/>
        </w:rPr>
        <w:t xml:space="preserve"> through the draft.</w:t>
      </w:r>
    </w:p>
    <w:p w14:paraId="276BF69E" w14:textId="2FB2E8C1" w:rsidR="00853897" w:rsidRPr="00BF2BFF" w:rsidRDefault="00853897" w:rsidP="00853897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Replace </w:t>
      </w:r>
      <w:r w:rsidR="00DC6AFC" w:rsidRPr="00BF2BFF">
        <w:rPr>
          <w:color w:val="000000" w:themeColor="text1"/>
          <w:szCs w:val="22"/>
          <w:lang w:val="en-US"/>
        </w:rPr>
        <w:t>dot11DMGSBPProcedureExpiry</w:t>
      </w:r>
      <w:r w:rsidRPr="00BF2BFF">
        <w:rPr>
          <w:color w:val="000000" w:themeColor="text1"/>
          <w:szCs w:val="22"/>
          <w:lang w:val="en-US"/>
        </w:rPr>
        <w:t xml:space="preserve"> with </w:t>
      </w:r>
      <w:proofErr w:type="spellStart"/>
      <w:r w:rsidRPr="00BF2BFF">
        <w:rPr>
          <w:i/>
          <w:iCs/>
          <w:color w:val="000000" w:themeColor="text1"/>
          <w:szCs w:val="22"/>
          <w:lang w:val="en-US"/>
        </w:rPr>
        <w:t>a</w:t>
      </w:r>
      <w:r w:rsidR="00DC6AFC" w:rsidRPr="00BF2BFF">
        <w:rPr>
          <w:i/>
          <w:iCs/>
          <w:color w:val="000000" w:themeColor="text1"/>
          <w:szCs w:val="22"/>
          <w:lang w:val="en-US"/>
        </w:rPr>
        <w:t>DMG</w:t>
      </w:r>
      <w:r w:rsidRPr="00BF2BFF">
        <w:rPr>
          <w:i/>
          <w:iCs/>
          <w:color w:val="000000" w:themeColor="text1"/>
          <w:szCs w:val="22"/>
          <w:lang w:val="en-US"/>
        </w:rPr>
        <w:t>SBP</w:t>
      </w:r>
      <w:r w:rsidR="0023539B" w:rsidRPr="00BF2BFF">
        <w:rPr>
          <w:i/>
          <w:iCs/>
          <w:color w:val="000000" w:themeColor="text1"/>
          <w:szCs w:val="22"/>
          <w:lang w:val="en-US"/>
        </w:rPr>
        <w:t>Procedure</w:t>
      </w:r>
      <w:r w:rsidRPr="00BF2BFF">
        <w:rPr>
          <w:i/>
          <w:iCs/>
          <w:color w:val="000000" w:themeColor="text1"/>
          <w:szCs w:val="22"/>
          <w:lang w:val="en-US"/>
        </w:rPr>
        <w:t>Expiry</w:t>
      </w:r>
      <w:proofErr w:type="spellEnd"/>
      <w:r w:rsidRPr="00BF2BFF">
        <w:rPr>
          <w:color w:val="000000" w:themeColor="text1"/>
          <w:szCs w:val="22"/>
          <w:lang w:val="en-US"/>
        </w:rPr>
        <w:t xml:space="preserve"> through the draft.</w:t>
      </w:r>
    </w:p>
    <w:p w14:paraId="72B73925" w14:textId="34EF4B0B" w:rsidR="00D65A48" w:rsidRPr="00BF2BFF" w:rsidRDefault="00D65A48" w:rsidP="00D65A48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BF2BFF">
        <w:rPr>
          <w:color w:val="000000" w:themeColor="text1"/>
          <w:szCs w:val="22"/>
          <w:lang w:val="en-US"/>
        </w:rPr>
        <w:t xml:space="preserve">Delete the </w:t>
      </w:r>
      <w:r w:rsidR="00C16A00" w:rsidRPr="00BF2BFF">
        <w:rPr>
          <w:color w:val="000000" w:themeColor="text1"/>
          <w:szCs w:val="22"/>
          <w:lang w:val="en-US"/>
        </w:rPr>
        <w:t>dot11DMGSBPSetupExpiry</w:t>
      </w:r>
      <w:r w:rsidRPr="00BF2BFF">
        <w:rPr>
          <w:color w:val="000000" w:themeColor="text1"/>
          <w:szCs w:val="22"/>
          <w:lang w:val="en-US"/>
        </w:rPr>
        <w:t xml:space="preserve"> </w:t>
      </w:r>
      <w:r w:rsidR="00853897" w:rsidRPr="00BF2BFF">
        <w:rPr>
          <w:color w:val="000000" w:themeColor="text1"/>
          <w:szCs w:val="22"/>
          <w:lang w:val="en-US"/>
        </w:rPr>
        <w:t xml:space="preserve">and </w:t>
      </w:r>
      <w:r w:rsidR="00C16A00" w:rsidRPr="00BF2BFF">
        <w:rPr>
          <w:color w:val="000000" w:themeColor="text1"/>
          <w:szCs w:val="22"/>
          <w:lang w:val="en-US"/>
        </w:rPr>
        <w:t>dot11DMGSBPProcedureExpiry</w:t>
      </w:r>
      <w:r w:rsidR="00853897" w:rsidRPr="00BF2BFF">
        <w:rPr>
          <w:color w:val="000000" w:themeColor="text1"/>
          <w:szCs w:val="22"/>
          <w:lang w:val="en-US"/>
        </w:rPr>
        <w:t xml:space="preserve"> </w:t>
      </w:r>
      <w:r w:rsidRPr="00BF2BFF">
        <w:rPr>
          <w:color w:val="000000" w:themeColor="text1"/>
          <w:szCs w:val="22"/>
          <w:lang w:val="en-US"/>
        </w:rPr>
        <w:t>entr</w:t>
      </w:r>
      <w:r w:rsidR="00853897" w:rsidRPr="00BF2BFF">
        <w:rPr>
          <w:color w:val="000000" w:themeColor="text1"/>
          <w:szCs w:val="22"/>
          <w:lang w:val="en-US"/>
        </w:rPr>
        <w:t>ies</w:t>
      </w:r>
      <w:r w:rsidRPr="00BF2BFF">
        <w:rPr>
          <w:color w:val="000000" w:themeColor="text1"/>
          <w:szCs w:val="22"/>
          <w:lang w:val="en-US"/>
        </w:rPr>
        <w:t xml:space="preserve"> from Annex C.</w:t>
      </w:r>
    </w:p>
    <w:p w14:paraId="6F7AE981" w14:textId="77777777" w:rsidR="00473E34" w:rsidRPr="00821D84" w:rsidRDefault="00473E34" w:rsidP="00357CCC">
      <w:pPr>
        <w:rPr>
          <w:szCs w:val="22"/>
          <w:lang w:val="en-US"/>
        </w:rPr>
      </w:pPr>
    </w:p>
    <w:sectPr w:rsidR="00473E34" w:rsidRPr="00821D84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3C0" w14:textId="77777777" w:rsidR="003C1869" w:rsidRDefault="003C1869">
      <w:r>
        <w:separator/>
      </w:r>
    </w:p>
  </w:endnote>
  <w:endnote w:type="continuationSeparator" w:id="0">
    <w:p w14:paraId="0A6D5025" w14:textId="77777777" w:rsidR="003C1869" w:rsidRDefault="003C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2740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FB6B" w14:textId="77777777" w:rsidR="003C1869" w:rsidRDefault="003C1869">
      <w:r>
        <w:separator/>
      </w:r>
    </w:p>
  </w:footnote>
  <w:footnote w:type="continuationSeparator" w:id="0">
    <w:p w14:paraId="796E2DE9" w14:textId="77777777" w:rsidR="003C1869" w:rsidRDefault="003C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1A9011E5" w:rsidR="0029020B" w:rsidRDefault="0027404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B15CB">
      <w:t>Ma</w:t>
    </w:r>
    <w:r w:rsidR="002D552F">
      <w:t>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</w:t>
    </w:r>
    <w:r w:rsidR="00056555">
      <w:t>3</w:t>
    </w:r>
    <w:r w:rsidR="00876365">
      <w:t>/</w:t>
    </w:r>
    <w:r w:rsidR="00FC02DE">
      <w:t>0</w:t>
    </w:r>
    <w:r w:rsidR="007B35B9">
      <w:t>814</w:t>
    </w:r>
    <w:r w:rsidR="00354981">
      <w:t>r</w:t>
    </w:r>
    <w:r w:rsidR="00515304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57843"/>
    <w:multiLevelType w:val="hybridMultilevel"/>
    <w:tmpl w:val="F828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6BB1"/>
    <w:multiLevelType w:val="hybridMultilevel"/>
    <w:tmpl w:val="84BA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20"/>
  </w:num>
  <w:num w:numId="5" w16cid:durableId="1865513496">
    <w:abstractNumId w:val="16"/>
  </w:num>
  <w:num w:numId="6" w16cid:durableId="2000188557">
    <w:abstractNumId w:val="14"/>
  </w:num>
  <w:num w:numId="7" w16cid:durableId="1754624615">
    <w:abstractNumId w:val="17"/>
  </w:num>
  <w:num w:numId="8" w16cid:durableId="1102726160">
    <w:abstractNumId w:val="2"/>
  </w:num>
  <w:num w:numId="9" w16cid:durableId="1386637072">
    <w:abstractNumId w:val="19"/>
  </w:num>
  <w:num w:numId="10" w16cid:durableId="1318071142">
    <w:abstractNumId w:val="21"/>
  </w:num>
  <w:num w:numId="11" w16cid:durableId="1926962864">
    <w:abstractNumId w:val="18"/>
  </w:num>
  <w:num w:numId="12" w16cid:durableId="462382036">
    <w:abstractNumId w:val="4"/>
  </w:num>
  <w:num w:numId="13" w16cid:durableId="1815485402">
    <w:abstractNumId w:val="15"/>
  </w:num>
  <w:num w:numId="14" w16cid:durableId="734469726">
    <w:abstractNumId w:val="7"/>
  </w:num>
  <w:num w:numId="15" w16cid:durableId="50543963">
    <w:abstractNumId w:val="22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3"/>
  </w:num>
  <w:num w:numId="22" w16cid:durableId="1022363627">
    <w:abstractNumId w:val="12"/>
  </w:num>
  <w:num w:numId="23" w16cid:durableId="1291321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1A88"/>
    <w:rsid w:val="00042675"/>
    <w:rsid w:val="0004291D"/>
    <w:rsid w:val="000436B3"/>
    <w:rsid w:val="000454BF"/>
    <w:rsid w:val="000458DB"/>
    <w:rsid w:val="00047CEB"/>
    <w:rsid w:val="00050155"/>
    <w:rsid w:val="00050235"/>
    <w:rsid w:val="000506FF"/>
    <w:rsid w:val="00050F3A"/>
    <w:rsid w:val="00053F27"/>
    <w:rsid w:val="00056179"/>
    <w:rsid w:val="00056555"/>
    <w:rsid w:val="00057ADF"/>
    <w:rsid w:val="00060B85"/>
    <w:rsid w:val="00061C93"/>
    <w:rsid w:val="00061D9E"/>
    <w:rsid w:val="00062AE1"/>
    <w:rsid w:val="00063377"/>
    <w:rsid w:val="00063C02"/>
    <w:rsid w:val="00065C25"/>
    <w:rsid w:val="00067D70"/>
    <w:rsid w:val="0007026A"/>
    <w:rsid w:val="00070357"/>
    <w:rsid w:val="0007265F"/>
    <w:rsid w:val="00072E30"/>
    <w:rsid w:val="00073A53"/>
    <w:rsid w:val="00074149"/>
    <w:rsid w:val="00081A4E"/>
    <w:rsid w:val="000844EA"/>
    <w:rsid w:val="0008660E"/>
    <w:rsid w:val="00086FC6"/>
    <w:rsid w:val="00087104"/>
    <w:rsid w:val="000914EF"/>
    <w:rsid w:val="000933FE"/>
    <w:rsid w:val="00094185"/>
    <w:rsid w:val="00094829"/>
    <w:rsid w:val="00097195"/>
    <w:rsid w:val="000A023C"/>
    <w:rsid w:val="000A0D6C"/>
    <w:rsid w:val="000A3C10"/>
    <w:rsid w:val="000A4331"/>
    <w:rsid w:val="000A4C2E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258"/>
    <w:rsid w:val="000C0432"/>
    <w:rsid w:val="000C2589"/>
    <w:rsid w:val="000C4FB1"/>
    <w:rsid w:val="000C7731"/>
    <w:rsid w:val="000D1633"/>
    <w:rsid w:val="000D3094"/>
    <w:rsid w:val="000D40D9"/>
    <w:rsid w:val="000D4608"/>
    <w:rsid w:val="000D48A5"/>
    <w:rsid w:val="000D5CD7"/>
    <w:rsid w:val="000D60E0"/>
    <w:rsid w:val="000D69BF"/>
    <w:rsid w:val="000D7F9E"/>
    <w:rsid w:val="000E18B3"/>
    <w:rsid w:val="000E2182"/>
    <w:rsid w:val="000E237B"/>
    <w:rsid w:val="000E2844"/>
    <w:rsid w:val="000E579C"/>
    <w:rsid w:val="000E7FD8"/>
    <w:rsid w:val="000F1FD8"/>
    <w:rsid w:val="000F2D57"/>
    <w:rsid w:val="000F42FB"/>
    <w:rsid w:val="000F5AE5"/>
    <w:rsid w:val="00100CA5"/>
    <w:rsid w:val="0010187D"/>
    <w:rsid w:val="001022A3"/>
    <w:rsid w:val="00103B08"/>
    <w:rsid w:val="00103B7F"/>
    <w:rsid w:val="00105054"/>
    <w:rsid w:val="00105955"/>
    <w:rsid w:val="00105EB2"/>
    <w:rsid w:val="001078D5"/>
    <w:rsid w:val="001108BD"/>
    <w:rsid w:val="001111EE"/>
    <w:rsid w:val="0011264F"/>
    <w:rsid w:val="001127A4"/>
    <w:rsid w:val="001128AA"/>
    <w:rsid w:val="00112DBE"/>
    <w:rsid w:val="00114555"/>
    <w:rsid w:val="00115385"/>
    <w:rsid w:val="00115874"/>
    <w:rsid w:val="00116E35"/>
    <w:rsid w:val="0012103D"/>
    <w:rsid w:val="001221B1"/>
    <w:rsid w:val="00122A6B"/>
    <w:rsid w:val="001260B6"/>
    <w:rsid w:val="00126B58"/>
    <w:rsid w:val="00126F28"/>
    <w:rsid w:val="00127AF5"/>
    <w:rsid w:val="001311FF"/>
    <w:rsid w:val="00131580"/>
    <w:rsid w:val="00134CF4"/>
    <w:rsid w:val="0013531D"/>
    <w:rsid w:val="0013568F"/>
    <w:rsid w:val="00136803"/>
    <w:rsid w:val="00136C5D"/>
    <w:rsid w:val="00141AC9"/>
    <w:rsid w:val="001421D0"/>
    <w:rsid w:val="00142BC6"/>
    <w:rsid w:val="001439C2"/>
    <w:rsid w:val="00143D76"/>
    <w:rsid w:val="00145674"/>
    <w:rsid w:val="00146306"/>
    <w:rsid w:val="00147FFC"/>
    <w:rsid w:val="00150162"/>
    <w:rsid w:val="00152024"/>
    <w:rsid w:val="00153192"/>
    <w:rsid w:val="00153BC1"/>
    <w:rsid w:val="0015406E"/>
    <w:rsid w:val="00157699"/>
    <w:rsid w:val="001600CD"/>
    <w:rsid w:val="0016087D"/>
    <w:rsid w:val="00164FC4"/>
    <w:rsid w:val="0016564A"/>
    <w:rsid w:val="001657A9"/>
    <w:rsid w:val="00166682"/>
    <w:rsid w:val="00171905"/>
    <w:rsid w:val="00172D03"/>
    <w:rsid w:val="001759A7"/>
    <w:rsid w:val="00177C1D"/>
    <w:rsid w:val="001817A8"/>
    <w:rsid w:val="00182A46"/>
    <w:rsid w:val="0018341E"/>
    <w:rsid w:val="0018450A"/>
    <w:rsid w:val="00185E99"/>
    <w:rsid w:val="0018652F"/>
    <w:rsid w:val="00187645"/>
    <w:rsid w:val="00187ADB"/>
    <w:rsid w:val="0019589B"/>
    <w:rsid w:val="0019706A"/>
    <w:rsid w:val="001972D1"/>
    <w:rsid w:val="001A0FF7"/>
    <w:rsid w:val="001A17DD"/>
    <w:rsid w:val="001A298A"/>
    <w:rsid w:val="001A2CAB"/>
    <w:rsid w:val="001A2FAB"/>
    <w:rsid w:val="001A5139"/>
    <w:rsid w:val="001A521E"/>
    <w:rsid w:val="001A5947"/>
    <w:rsid w:val="001A7FB5"/>
    <w:rsid w:val="001B0167"/>
    <w:rsid w:val="001B0745"/>
    <w:rsid w:val="001B19B2"/>
    <w:rsid w:val="001B2149"/>
    <w:rsid w:val="001B23DD"/>
    <w:rsid w:val="001B51EA"/>
    <w:rsid w:val="001C01D2"/>
    <w:rsid w:val="001C0BD6"/>
    <w:rsid w:val="001C0FE9"/>
    <w:rsid w:val="001C1224"/>
    <w:rsid w:val="001C1CBD"/>
    <w:rsid w:val="001C1DF3"/>
    <w:rsid w:val="001C52DA"/>
    <w:rsid w:val="001D10C0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487"/>
    <w:rsid w:val="001E3AD0"/>
    <w:rsid w:val="001E4FEF"/>
    <w:rsid w:val="001E5B5E"/>
    <w:rsid w:val="001E6896"/>
    <w:rsid w:val="001F1851"/>
    <w:rsid w:val="001F1A31"/>
    <w:rsid w:val="001F2D11"/>
    <w:rsid w:val="001F319C"/>
    <w:rsid w:val="001F59D5"/>
    <w:rsid w:val="001F71C6"/>
    <w:rsid w:val="00204843"/>
    <w:rsid w:val="00206EFC"/>
    <w:rsid w:val="00207D38"/>
    <w:rsid w:val="00212346"/>
    <w:rsid w:val="0021286A"/>
    <w:rsid w:val="00217430"/>
    <w:rsid w:val="00217F55"/>
    <w:rsid w:val="002209FB"/>
    <w:rsid w:val="00221AA2"/>
    <w:rsid w:val="00222256"/>
    <w:rsid w:val="002229BB"/>
    <w:rsid w:val="00222E3F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45BE"/>
    <w:rsid w:val="0023539B"/>
    <w:rsid w:val="0023560E"/>
    <w:rsid w:val="0023651D"/>
    <w:rsid w:val="00237248"/>
    <w:rsid w:val="002374F2"/>
    <w:rsid w:val="0024117D"/>
    <w:rsid w:val="00241992"/>
    <w:rsid w:val="0024205F"/>
    <w:rsid w:val="00243826"/>
    <w:rsid w:val="002440B8"/>
    <w:rsid w:val="00244EE4"/>
    <w:rsid w:val="00245E1B"/>
    <w:rsid w:val="00246249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6717C"/>
    <w:rsid w:val="00273DC4"/>
    <w:rsid w:val="0027404A"/>
    <w:rsid w:val="002745B7"/>
    <w:rsid w:val="00275570"/>
    <w:rsid w:val="0027675C"/>
    <w:rsid w:val="002767A6"/>
    <w:rsid w:val="002769AE"/>
    <w:rsid w:val="002776EC"/>
    <w:rsid w:val="00280ADF"/>
    <w:rsid w:val="00280AF5"/>
    <w:rsid w:val="00282989"/>
    <w:rsid w:val="00285A19"/>
    <w:rsid w:val="0028618E"/>
    <w:rsid w:val="0028642B"/>
    <w:rsid w:val="00286DCB"/>
    <w:rsid w:val="0029020B"/>
    <w:rsid w:val="00291019"/>
    <w:rsid w:val="0029118A"/>
    <w:rsid w:val="002940DD"/>
    <w:rsid w:val="00296714"/>
    <w:rsid w:val="002A0971"/>
    <w:rsid w:val="002A3D9A"/>
    <w:rsid w:val="002A43CF"/>
    <w:rsid w:val="002A4648"/>
    <w:rsid w:val="002A6793"/>
    <w:rsid w:val="002A7ACA"/>
    <w:rsid w:val="002B0654"/>
    <w:rsid w:val="002B447B"/>
    <w:rsid w:val="002C0CEB"/>
    <w:rsid w:val="002C0E97"/>
    <w:rsid w:val="002C11A5"/>
    <w:rsid w:val="002C21C0"/>
    <w:rsid w:val="002C2A5E"/>
    <w:rsid w:val="002C379D"/>
    <w:rsid w:val="002C6186"/>
    <w:rsid w:val="002C6992"/>
    <w:rsid w:val="002D0A76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0F73"/>
    <w:rsid w:val="00301182"/>
    <w:rsid w:val="00301667"/>
    <w:rsid w:val="0030296C"/>
    <w:rsid w:val="00303AD4"/>
    <w:rsid w:val="00303FD2"/>
    <w:rsid w:val="00304242"/>
    <w:rsid w:val="00304677"/>
    <w:rsid w:val="003101E4"/>
    <w:rsid w:val="003125A8"/>
    <w:rsid w:val="003144EF"/>
    <w:rsid w:val="00315982"/>
    <w:rsid w:val="0032146E"/>
    <w:rsid w:val="003224EE"/>
    <w:rsid w:val="0032326F"/>
    <w:rsid w:val="00324382"/>
    <w:rsid w:val="00324CA7"/>
    <w:rsid w:val="00326207"/>
    <w:rsid w:val="00326518"/>
    <w:rsid w:val="00326B43"/>
    <w:rsid w:val="003278FD"/>
    <w:rsid w:val="00327F5C"/>
    <w:rsid w:val="003301AE"/>
    <w:rsid w:val="003311E6"/>
    <w:rsid w:val="0033276A"/>
    <w:rsid w:val="0033547F"/>
    <w:rsid w:val="00337737"/>
    <w:rsid w:val="003404F1"/>
    <w:rsid w:val="0034211F"/>
    <w:rsid w:val="003430FA"/>
    <w:rsid w:val="00343717"/>
    <w:rsid w:val="00344594"/>
    <w:rsid w:val="00344F0C"/>
    <w:rsid w:val="003465A0"/>
    <w:rsid w:val="0035170B"/>
    <w:rsid w:val="003527C6"/>
    <w:rsid w:val="00353849"/>
    <w:rsid w:val="00353F52"/>
    <w:rsid w:val="00354981"/>
    <w:rsid w:val="00357CCC"/>
    <w:rsid w:val="00357E9C"/>
    <w:rsid w:val="003602DC"/>
    <w:rsid w:val="00361113"/>
    <w:rsid w:val="00361EE9"/>
    <w:rsid w:val="00362392"/>
    <w:rsid w:val="00362491"/>
    <w:rsid w:val="00362C73"/>
    <w:rsid w:val="00364680"/>
    <w:rsid w:val="00366190"/>
    <w:rsid w:val="00366FF9"/>
    <w:rsid w:val="00367206"/>
    <w:rsid w:val="003721BD"/>
    <w:rsid w:val="00372482"/>
    <w:rsid w:val="0037312C"/>
    <w:rsid w:val="00373170"/>
    <w:rsid w:val="00375264"/>
    <w:rsid w:val="00376D91"/>
    <w:rsid w:val="0037708C"/>
    <w:rsid w:val="00381BCF"/>
    <w:rsid w:val="003832D8"/>
    <w:rsid w:val="00383463"/>
    <w:rsid w:val="003847B3"/>
    <w:rsid w:val="00386456"/>
    <w:rsid w:val="0038769C"/>
    <w:rsid w:val="00387AF4"/>
    <w:rsid w:val="00390100"/>
    <w:rsid w:val="003901E3"/>
    <w:rsid w:val="003904EC"/>
    <w:rsid w:val="00390A49"/>
    <w:rsid w:val="00390BAC"/>
    <w:rsid w:val="0039106D"/>
    <w:rsid w:val="0039171A"/>
    <w:rsid w:val="00392EAC"/>
    <w:rsid w:val="00393FF9"/>
    <w:rsid w:val="00396E60"/>
    <w:rsid w:val="003A2BB6"/>
    <w:rsid w:val="003A3FFE"/>
    <w:rsid w:val="003A5432"/>
    <w:rsid w:val="003B1038"/>
    <w:rsid w:val="003B231F"/>
    <w:rsid w:val="003B4849"/>
    <w:rsid w:val="003B49A9"/>
    <w:rsid w:val="003B6E89"/>
    <w:rsid w:val="003B7DD9"/>
    <w:rsid w:val="003C1859"/>
    <w:rsid w:val="003C1869"/>
    <w:rsid w:val="003C46A1"/>
    <w:rsid w:val="003C62EB"/>
    <w:rsid w:val="003D00F5"/>
    <w:rsid w:val="003D0F6F"/>
    <w:rsid w:val="003D5AB2"/>
    <w:rsid w:val="003D7AB7"/>
    <w:rsid w:val="003D7FBE"/>
    <w:rsid w:val="003E38FF"/>
    <w:rsid w:val="003E5E68"/>
    <w:rsid w:val="003E797F"/>
    <w:rsid w:val="003E7C17"/>
    <w:rsid w:val="003E7C28"/>
    <w:rsid w:val="003F3BF1"/>
    <w:rsid w:val="003F3C33"/>
    <w:rsid w:val="003F5F6E"/>
    <w:rsid w:val="003F6182"/>
    <w:rsid w:val="003F7072"/>
    <w:rsid w:val="00400DCD"/>
    <w:rsid w:val="0040199A"/>
    <w:rsid w:val="00403C53"/>
    <w:rsid w:val="004049C5"/>
    <w:rsid w:val="0040547B"/>
    <w:rsid w:val="00405725"/>
    <w:rsid w:val="0040653A"/>
    <w:rsid w:val="004076CE"/>
    <w:rsid w:val="00410B17"/>
    <w:rsid w:val="00411562"/>
    <w:rsid w:val="004117B9"/>
    <w:rsid w:val="004202D2"/>
    <w:rsid w:val="00420516"/>
    <w:rsid w:val="004236B6"/>
    <w:rsid w:val="00426951"/>
    <w:rsid w:val="004271FE"/>
    <w:rsid w:val="0043062E"/>
    <w:rsid w:val="00432A70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460"/>
    <w:rsid w:val="00452A90"/>
    <w:rsid w:val="00453524"/>
    <w:rsid w:val="00456D93"/>
    <w:rsid w:val="00456DA4"/>
    <w:rsid w:val="00456E72"/>
    <w:rsid w:val="00457022"/>
    <w:rsid w:val="00457484"/>
    <w:rsid w:val="00457A4F"/>
    <w:rsid w:val="004607C5"/>
    <w:rsid w:val="00464474"/>
    <w:rsid w:val="0046476B"/>
    <w:rsid w:val="00464E68"/>
    <w:rsid w:val="00466706"/>
    <w:rsid w:val="004675C8"/>
    <w:rsid w:val="00471132"/>
    <w:rsid w:val="00473E34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8AB"/>
    <w:rsid w:val="00491EF6"/>
    <w:rsid w:val="0049419E"/>
    <w:rsid w:val="00494B64"/>
    <w:rsid w:val="00496EA5"/>
    <w:rsid w:val="004A0B8B"/>
    <w:rsid w:val="004A2CEE"/>
    <w:rsid w:val="004A383A"/>
    <w:rsid w:val="004A3DB0"/>
    <w:rsid w:val="004A3E65"/>
    <w:rsid w:val="004A4CCB"/>
    <w:rsid w:val="004A6547"/>
    <w:rsid w:val="004B064B"/>
    <w:rsid w:val="004B2154"/>
    <w:rsid w:val="004B3805"/>
    <w:rsid w:val="004B5800"/>
    <w:rsid w:val="004B6DF1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E2951"/>
    <w:rsid w:val="004E48F8"/>
    <w:rsid w:val="004E7628"/>
    <w:rsid w:val="004F034B"/>
    <w:rsid w:val="004F339C"/>
    <w:rsid w:val="004F3496"/>
    <w:rsid w:val="004F3B3A"/>
    <w:rsid w:val="005000CB"/>
    <w:rsid w:val="005007F2"/>
    <w:rsid w:val="00501FE3"/>
    <w:rsid w:val="00502F0E"/>
    <w:rsid w:val="00502FFA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45D1"/>
    <w:rsid w:val="00515304"/>
    <w:rsid w:val="00515CE2"/>
    <w:rsid w:val="00521297"/>
    <w:rsid w:val="00521961"/>
    <w:rsid w:val="005236F5"/>
    <w:rsid w:val="0052506B"/>
    <w:rsid w:val="00530A0E"/>
    <w:rsid w:val="00532E75"/>
    <w:rsid w:val="005339CC"/>
    <w:rsid w:val="00534936"/>
    <w:rsid w:val="005356F9"/>
    <w:rsid w:val="00535F54"/>
    <w:rsid w:val="00536FF9"/>
    <w:rsid w:val="00537254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05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1F4"/>
    <w:rsid w:val="00596801"/>
    <w:rsid w:val="00596A91"/>
    <w:rsid w:val="00597006"/>
    <w:rsid w:val="00597B59"/>
    <w:rsid w:val="00597D81"/>
    <w:rsid w:val="005A1208"/>
    <w:rsid w:val="005A1B9A"/>
    <w:rsid w:val="005A1CE4"/>
    <w:rsid w:val="005A7BAF"/>
    <w:rsid w:val="005B013F"/>
    <w:rsid w:val="005B0C37"/>
    <w:rsid w:val="005B15CB"/>
    <w:rsid w:val="005B192B"/>
    <w:rsid w:val="005B20C5"/>
    <w:rsid w:val="005B3DE9"/>
    <w:rsid w:val="005B4BDB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C72F0"/>
    <w:rsid w:val="005D324C"/>
    <w:rsid w:val="005D32BD"/>
    <w:rsid w:val="005D33FD"/>
    <w:rsid w:val="005D3A8B"/>
    <w:rsid w:val="005D5443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1895"/>
    <w:rsid w:val="00611CC8"/>
    <w:rsid w:val="00613127"/>
    <w:rsid w:val="00613A4A"/>
    <w:rsid w:val="00614503"/>
    <w:rsid w:val="00614B12"/>
    <w:rsid w:val="00616DDF"/>
    <w:rsid w:val="00617270"/>
    <w:rsid w:val="006172FB"/>
    <w:rsid w:val="0062249A"/>
    <w:rsid w:val="00623350"/>
    <w:rsid w:val="00623A68"/>
    <w:rsid w:val="00623C74"/>
    <w:rsid w:val="00623CF2"/>
    <w:rsid w:val="0062440B"/>
    <w:rsid w:val="00634166"/>
    <w:rsid w:val="006402E8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1256"/>
    <w:rsid w:val="00671E2F"/>
    <w:rsid w:val="00672B43"/>
    <w:rsid w:val="00672C24"/>
    <w:rsid w:val="006737C4"/>
    <w:rsid w:val="00675A26"/>
    <w:rsid w:val="00675D7C"/>
    <w:rsid w:val="00675ED0"/>
    <w:rsid w:val="00677528"/>
    <w:rsid w:val="006806ED"/>
    <w:rsid w:val="00682605"/>
    <w:rsid w:val="00682C97"/>
    <w:rsid w:val="006841C6"/>
    <w:rsid w:val="006854E7"/>
    <w:rsid w:val="006870B2"/>
    <w:rsid w:val="00691FB8"/>
    <w:rsid w:val="006936C1"/>
    <w:rsid w:val="006955A6"/>
    <w:rsid w:val="006958F7"/>
    <w:rsid w:val="00696490"/>
    <w:rsid w:val="00697C25"/>
    <w:rsid w:val="006A011F"/>
    <w:rsid w:val="006A2253"/>
    <w:rsid w:val="006A3DD9"/>
    <w:rsid w:val="006A4872"/>
    <w:rsid w:val="006A5C92"/>
    <w:rsid w:val="006A5EB6"/>
    <w:rsid w:val="006A649A"/>
    <w:rsid w:val="006B0003"/>
    <w:rsid w:val="006B114C"/>
    <w:rsid w:val="006B6DD5"/>
    <w:rsid w:val="006B7A02"/>
    <w:rsid w:val="006C0125"/>
    <w:rsid w:val="006C0727"/>
    <w:rsid w:val="006C1A73"/>
    <w:rsid w:val="006C1B8F"/>
    <w:rsid w:val="006C2075"/>
    <w:rsid w:val="006C22D0"/>
    <w:rsid w:val="006C3700"/>
    <w:rsid w:val="006C4A43"/>
    <w:rsid w:val="006C59F0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E6711"/>
    <w:rsid w:val="006F04C6"/>
    <w:rsid w:val="006F1720"/>
    <w:rsid w:val="006F2FF1"/>
    <w:rsid w:val="006F3B9A"/>
    <w:rsid w:val="006F63B6"/>
    <w:rsid w:val="006F7217"/>
    <w:rsid w:val="00700AF6"/>
    <w:rsid w:val="00700DF2"/>
    <w:rsid w:val="00701E23"/>
    <w:rsid w:val="00701FC2"/>
    <w:rsid w:val="0070297F"/>
    <w:rsid w:val="00704A24"/>
    <w:rsid w:val="00705034"/>
    <w:rsid w:val="00710F8D"/>
    <w:rsid w:val="00711234"/>
    <w:rsid w:val="00711665"/>
    <w:rsid w:val="00711990"/>
    <w:rsid w:val="00712359"/>
    <w:rsid w:val="00712C7F"/>
    <w:rsid w:val="00714156"/>
    <w:rsid w:val="00714755"/>
    <w:rsid w:val="00714DAA"/>
    <w:rsid w:val="00715EA2"/>
    <w:rsid w:val="00716885"/>
    <w:rsid w:val="00716E82"/>
    <w:rsid w:val="00717562"/>
    <w:rsid w:val="007226EF"/>
    <w:rsid w:val="00723547"/>
    <w:rsid w:val="00726A2C"/>
    <w:rsid w:val="007310E6"/>
    <w:rsid w:val="007311EA"/>
    <w:rsid w:val="007334B0"/>
    <w:rsid w:val="00734AF2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8A3"/>
    <w:rsid w:val="00753D2C"/>
    <w:rsid w:val="00754219"/>
    <w:rsid w:val="00755B75"/>
    <w:rsid w:val="0075661B"/>
    <w:rsid w:val="00756E7B"/>
    <w:rsid w:val="00757B13"/>
    <w:rsid w:val="00760F1F"/>
    <w:rsid w:val="00760FD0"/>
    <w:rsid w:val="00764873"/>
    <w:rsid w:val="00764B30"/>
    <w:rsid w:val="00764E3B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2E8"/>
    <w:rsid w:val="007953EB"/>
    <w:rsid w:val="00797BB2"/>
    <w:rsid w:val="007A1BAB"/>
    <w:rsid w:val="007A35E8"/>
    <w:rsid w:val="007A435A"/>
    <w:rsid w:val="007A740E"/>
    <w:rsid w:val="007B01D7"/>
    <w:rsid w:val="007B2E50"/>
    <w:rsid w:val="007B35B9"/>
    <w:rsid w:val="007B618C"/>
    <w:rsid w:val="007B76EF"/>
    <w:rsid w:val="007C0983"/>
    <w:rsid w:val="007C147F"/>
    <w:rsid w:val="007C1B74"/>
    <w:rsid w:val="007C1CA4"/>
    <w:rsid w:val="007C4E74"/>
    <w:rsid w:val="007C72DB"/>
    <w:rsid w:val="007C74E9"/>
    <w:rsid w:val="007C7A4A"/>
    <w:rsid w:val="007C7D90"/>
    <w:rsid w:val="007D265F"/>
    <w:rsid w:val="007D4308"/>
    <w:rsid w:val="007D4AEA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4922"/>
    <w:rsid w:val="00805E12"/>
    <w:rsid w:val="00806421"/>
    <w:rsid w:val="00806671"/>
    <w:rsid w:val="00807802"/>
    <w:rsid w:val="00812E13"/>
    <w:rsid w:val="00814753"/>
    <w:rsid w:val="00815E91"/>
    <w:rsid w:val="008162E1"/>
    <w:rsid w:val="00821147"/>
    <w:rsid w:val="00821D84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EA8"/>
    <w:rsid w:val="00853897"/>
    <w:rsid w:val="00854D7D"/>
    <w:rsid w:val="00860B2D"/>
    <w:rsid w:val="0086167B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2DF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1812"/>
    <w:rsid w:val="008C3827"/>
    <w:rsid w:val="008C39E1"/>
    <w:rsid w:val="008C4B34"/>
    <w:rsid w:val="008C4C85"/>
    <w:rsid w:val="008C6E38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1C80"/>
    <w:rsid w:val="008E20AD"/>
    <w:rsid w:val="008E2D25"/>
    <w:rsid w:val="008E77B4"/>
    <w:rsid w:val="008F0BB3"/>
    <w:rsid w:val="008F34E1"/>
    <w:rsid w:val="008F35AB"/>
    <w:rsid w:val="008F5886"/>
    <w:rsid w:val="008F77E1"/>
    <w:rsid w:val="00901AB4"/>
    <w:rsid w:val="00901B78"/>
    <w:rsid w:val="009028CC"/>
    <w:rsid w:val="00902C19"/>
    <w:rsid w:val="009031BA"/>
    <w:rsid w:val="009060FB"/>
    <w:rsid w:val="009109BF"/>
    <w:rsid w:val="00912462"/>
    <w:rsid w:val="0091254D"/>
    <w:rsid w:val="0091541D"/>
    <w:rsid w:val="0091551A"/>
    <w:rsid w:val="00915BD0"/>
    <w:rsid w:val="00916C8F"/>
    <w:rsid w:val="00917697"/>
    <w:rsid w:val="009215CA"/>
    <w:rsid w:val="00924E5E"/>
    <w:rsid w:val="00926180"/>
    <w:rsid w:val="00932485"/>
    <w:rsid w:val="00932720"/>
    <w:rsid w:val="00932BED"/>
    <w:rsid w:val="00932C41"/>
    <w:rsid w:val="009338F7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36AF"/>
    <w:rsid w:val="009546D8"/>
    <w:rsid w:val="00955079"/>
    <w:rsid w:val="00956990"/>
    <w:rsid w:val="00956B00"/>
    <w:rsid w:val="0096137B"/>
    <w:rsid w:val="009635A8"/>
    <w:rsid w:val="00964355"/>
    <w:rsid w:val="00964AAA"/>
    <w:rsid w:val="009650D0"/>
    <w:rsid w:val="0096553A"/>
    <w:rsid w:val="0097001B"/>
    <w:rsid w:val="00970571"/>
    <w:rsid w:val="00970FFE"/>
    <w:rsid w:val="00972741"/>
    <w:rsid w:val="00975C23"/>
    <w:rsid w:val="00976A81"/>
    <w:rsid w:val="00976C44"/>
    <w:rsid w:val="00976CC4"/>
    <w:rsid w:val="009812CB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B640F"/>
    <w:rsid w:val="009C02DA"/>
    <w:rsid w:val="009C099F"/>
    <w:rsid w:val="009C3B2D"/>
    <w:rsid w:val="009C4553"/>
    <w:rsid w:val="009C5372"/>
    <w:rsid w:val="009C5F05"/>
    <w:rsid w:val="009D13C5"/>
    <w:rsid w:val="009D14BE"/>
    <w:rsid w:val="009D3617"/>
    <w:rsid w:val="009D40DD"/>
    <w:rsid w:val="009D4199"/>
    <w:rsid w:val="009D485A"/>
    <w:rsid w:val="009D54E7"/>
    <w:rsid w:val="009D5795"/>
    <w:rsid w:val="009E135F"/>
    <w:rsid w:val="009E1F84"/>
    <w:rsid w:val="009E4A52"/>
    <w:rsid w:val="009E5DBA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0730B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5D7E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56481"/>
    <w:rsid w:val="00A571EB"/>
    <w:rsid w:val="00A60825"/>
    <w:rsid w:val="00A64BDB"/>
    <w:rsid w:val="00A6511F"/>
    <w:rsid w:val="00A65409"/>
    <w:rsid w:val="00A65AEF"/>
    <w:rsid w:val="00A67C1C"/>
    <w:rsid w:val="00A70B1A"/>
    <w:rsid w:val="00A717EF"/>
    <w:rsid w:val="00A71F1D"/>
    <w:rsid w:val="00A7686A"/>
    <w:rsid w:val="00A7730D"/>
    <w:rsid w:val="00A83C5C"/>
    <w:rsid w:val="00A84DBA"/>
    <w:rsid w:val="00A85991"/>
    <w:rsid w:val="00A944D8"/>
    <w:rsid w:val="00A94B95"/>
    <w:rsid w:val="00A950B0"/>
    <w:rsid w:val="00A9586D"/>
    <w:rsid w:val="00A96598"/>
    <w:rsid w:val="00A97F5D"/>
    <w:rsid w:val="00AA0466"/>
    <w:rsid w:val="00AA06FE"/>
    <w:rsid w:val="00AA2380"/>
    <w:rsid w:val="00AA23D6"/>
    <w:rsid w:val="00AA427C"/>
    <w:rsid w:val="00AA5A89"/>
    <w:rsid w:val="00AA619C"/>
    <w:rsid w:val="00AB387A"/>
    <w:rsid w:val="00AB5057"/>
    <w:rsid w:val="00AB58D2"/>
    <w:rsid w:val="00AB5BE3"/>
    <w:rsid w:val="00AB6848"/>
    <w:rsid w:val="00AB6C96"/>
    <w:rsid w:val="00AB6F11"/>
    <w:rsid w:val="00AB7F98"/>
    <w:rsid w:val="00AC2466"/>
    <w:rsid w:val="00AC2DC3"/>
    <w:rsid w:val="00AC5F4B"/>
    <w:rsid w:val="00AD1B32"/>
    <w:rsid w:val="00AD3EFF"/>
    <w:rsid w:val="00AD41D6"/>
    <w:rsid w:val="00AD4483"/>
    <w:rsid w:val="00AD595D"/>
    <w:rsid w:val="00AD5B7C"/>
    <w:rsid w:val="00AD61CF"/>
    <w:rsid w:val="00AD6320"/>
    <w:rsid w:val="00AD6B60"/>
    <w:rsid w:val="00AD6DE8"/>
    <w:rsid w:val="00AE041B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13E69"/>
    <w:rsid w:val="00B207BD"/>
    <w:rsid w:val="00B21ED3"/>
    <w:rsid w:val="00B2201D"/>
    <w:rsid w:val="00B239C7"/>
    <w:rsid w:val="00B23AED"/>
    <w:rsid w:val="00B25E54"/>
    <w:rsid w:val="00B26146"/>
    <w:rsid w:val="00B31225"/>
    <w:rsid w:val="00B32F73"/>
    <w:rsid w:val="00B33FDB"/>
    <w:rsid w:val="00B363DA"/>
    <w:rsid w:val="00B371B8"/>
    <w:rsid w:val="00B377FA"/>
    <w:rsid w:val="00B40315"/>
    <w:rsid w:val="00B406A9"/>
    <w:rsid w:val="00B41BBE"/>
    <w:rsid w:val="00B42006"/>
    <w:rsid w:val="00B444C9"/>
    <w:rsid w:val="00B45B17"/>
    <w:rsid w:val="00B467E3"/>
    <w:rsid w:val="00B46C9E"/>
    <w:rsid w:val="00B474CA"/>
    <w:rsid w:val="00B51495"/>
    <w:rsid w:val="00B53601"/>
    <w:rsid w:val="00B54BBA"/>
    <w:rsid w:val="00B56735"/>
    <w:rsid w:val="00B6046C"/>
    <w:rsid w:val="00B60DCF"/>
    <w:rsid w:val="00B6207A"/>
    <w:rsid w:val="00B62258"/>
    <w:rsid w:val="00B6419B"/>
    <w:rsid w:val="00B65748"/>
    <w:rsid w:val="00B66586"/>
    <w:rsid w:val="00B66A58"/>
    <w:rsid w:val="00B71038"/>
    <w:rsid w:val="00B721A7"/>
    <w:rsid w:val="00B7292A"/>
    <w:rsid w:val="00B73D64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7AD"/>
    <w:rsid w:val="00B86C00"/>
    <w:rsid w:val="00B879AE"/>
    <w:rsid w:val="00B9221B"/>
    <w:rsid w:val="00B93876"/>
    <w:rsid w:val="00B976C1"/>
    <w:rsid w:val="00BA2259"/>
    <w:rsid w:val="00BA26E9"/>
    <w:rsid w:val="00BA34ED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B7D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0B7F"/>
    <w:rsid w:val="00BD1FE5"/>
    <w:rsid w:val="00BD4969"/>
    <w:rsid w:val="00BD4C81"/>
    <w:rsid w:val="00BD4DD1"/>
    <w:rsid w:val="00BD5115"/>
    <w:rsid w:val="00BD6847"/>
    <w:rsid w:val="00BE016A"/>
    <w:rsid w:val="00BE2BCA"/>
    <w:rsid w:val="00BE6286"/>
    <w:rsid w:val="00BE68C2"/>
    <w:rsid w:val="00BF0546"/>
    <w:rsid w:val="00BF0BD8"/>
    <w:rsid w:val="00BF1FF3"/>
    <w:rsid w:val="00BF22E6"/>
    <w:rsid w:val="00BF2955"/>
    <w:rsid w:val="00BF29B3"/>
    <w:rsid w:val="00BF2BFF"/>
    <w:rsid w:val="00BF511F"/>
    <w:rsid w:val="00BF51AC"/>
    <w:rsid w:val="00BF5C9C"/>
    <w:rsid w:val="00BF5DB7"/>
    <w:rsid w:val="00BF6EE4"/>
    <w:rsid w:val="00C0088C"/>
    <w:rsid w:val="00C01DBF"/>
    <w:rsid w:val="00C03BC6"/>
    <w:rsid w:val="00C05E5B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6A00"/>
    <w:rsid w:val="00C171CB"/>
    <w:rsid w:val="00C17A09"/>
    <w:rsid w:val="00C17A2E"/>
    <w:rsid w:val="00C201A5"/>
    <w:rsid w:val="00C20304"/>
    <w:rsid w:val="00C226CA"/>
    <w:rsid w:val="00C23E6B"/>
    <w:rsid w:val="00C25C37"/>
    <w:rsid w:val="00C27E85"/>
    <w:rsid w:val="00C27F06"/>
    <w:rsid w:val="00C31432"/>
    <w:rsid w:val="00C319AA"/>
    <w:rsid w:val="00C34524"/>
    <w:rsid w:val="00C36337"/>
    <w:rsid w:val="00C40DFC"/>
    <w:rsid w:val="00C43EC6"/>
    <w:rsid w:val="00C449CF"/>
    <w:rsid w:val="00C46D0B"/>
    <w:rsid w:val="00C5093B"/>
    <w:rsid w:val="00C5147B"/>
    <w:rsid w:val="00C53ECD"/>
    <w:rsid w:val="00C541BD"/>
    <w:rsid w:val="00C54939"/>
    <w:rsid w:val="00C5587D"/>
    <w:rsid w:val="00C615DB"/>
    <w:rsid w:val="00C61EDC"/>
    <w:rsid w:val="00C626FF"/>
    <w:rsid w:val="00C6587A"/>
    <w:rsid w:val="00C65C7D"/>
    <w:rsid w:val="00C66274"/>
    <w:rsid w:val="00C67859"/>
    <w:rsid w:val="00C70E12"/>
    <w:rsid w:val="00C72E0F"/>
    <w:rsid w:val="00C74B02"/>
    <w:rsid w:val="00C74C07"/>
    <w:rsid w:val="00C7530B"/>
    <w:rsid w:val="00C75812"/>
    <w:rsid w:val="00C77766"/>
    <w:rsid w:val="00C800C7"/>
    <w:rsid w:val="00C80568"/>
    <w:rsid w:val="00C8153D"/>
    <w:rsid w:val="00C83A4A"/>
    <w:rsid w:val="00C8568B"/>
    <w:rsid w:val="00C901AE"/>
    <w:rsid w:val="00C91D75"/>
    <w:rsid w:val="00C92D79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2E4"/>
    <w:rsid w:val="00CA28CA"/>
    <w:rsid w:val="00CA7B35"/>
    <w:rsid w:val="00CA7F11"/>
    <w:rsid w:val="00CB1B72"/>
    <w:rsid w:val="00CB487B"/>
    <w:rsid w:val="00CB53D8"/>
    <w:rsid w:val="00CC005F"/>
    <w:rsid w:val="00CC178C"/>
    <w:rsid w:val="00CC2EA9"/>
    <w:rsid w:val="00CC419F"/>
    <w:rsid w:val="00CC4433"/>
    <w:rsid w:val="00CC4F3F"/>
    <w:rsid w:val="00CC5FBE"/>
    <w:rsid w:val="00CD106A"/>
    <w:rsid w:val="00CD17FF"/>
    <w:rsid w:val="00CD1829"/>
    <w:rsid w:val="00CD22C7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0578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4AF2"/>
    <w:rsid w:val="00D1577A"/>
    <w:rsid w:val="00D1590A"/>
    <w:rsid w:val="00D17F20"/>
    <w:rsid w:val="00D20055"/>
    <w:rsid w:val="00D22D76"/>
    <w:rsid w:val="00D25386"/>
    <w:rsid w:val="00D26851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1880"/>
    <w:rsid w:val="00D46E56"/>
    <w:rsid w:val="00D473C1"/>
    <w:rsid w:val="00D47A0B"/>
    <w:rsid w:val="00D521AB"/>
    <w:rsid w:val="00D55EBE"/>
    <w:rsid w:val="00D6360B"/>
    <w:rsid w:val="00D63AC3"/>
    <w:rsid w:val="00D65091"/>
    <w:rsid w:val="00D65330"/>
    <w:rsid w:val="00D65A48"/>
    <w:rsid w:val="00D660D8"/>
    <w:rsid w:val="00D67864"/>
    <w:rsid w:val="00D67BFB"/>
    <w:rsid w:val="00D7080E"/>
    <w:rsid w:val="00D73B09"/>
    <w:rsid w:val="00D73FE3"/>
    <w:rsid w:val="00D74BE6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5696"/>
    <w:rsid w:val="00D96EFA"/>
    <w:rsid w:val="00D9714B"/>
    <w:rsid w:val="00DA02E8"/>
    <w:rsid w:val="00DA1487"/>
    <w:rsid w:val="00DA2D54"/>
    <w:rsid w:val="00DA417C"/>
    <w:rsid w:val="00DB0D08"/>
    <w:rsid w:val="00DB3974"/>
    <w:rsid w:val="00DB3CF9"/>
    <w:rsid w:val="00DB6FB4"/>
    <w:rsid w:val="00DC2064"/>
    <w:rsid w:val="00DC29C5"/>
    <w:rsid w:val="00DC326B"/>
    <w:rsid w:val="00DC4DE3"/>
    <w:rsid w:val="00DC503E"/>
    <w:rsid w:val="00DC5A7B"/>
    <w:rsid w:val="00DC5D22"/>
    <w:rsid w:val="00DC6AFC"/>
    <w:rsid w:val="00DC77E1"/>
    <w:rsid w:val="00DD0A17"/>
    <w:rsid w:val="00DD17C6"/>
    <w:rsid w:val="00DD25BC"/>
    <w:rsid w:val="00DD2BA4"/>
    <w:rsid w:val="00DD4CDA"/>
    <w:rsid w:val="00DD522A"/>
    <w:rsid w:val="00DE07BF"/>
    <w:rsid w:val="00DE145D"/>
    <w:rsid w:val="00DE5381"/>
    <w:rsid w:val="00DE6BBF"/>
    <w:rsid w:val="00DF0ADB"/>
    <w:rsid w:val="00DF3FC7"/>
    <w:rsid w:val="00DF4D84"/>
    <w:rsid w:val="00DF5220"/>
    <w:rsid w:val="00DF6D65"/>
    <w:rsid w:val="00E01BF0"/>
    <w:rsid w:val="00E02882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27460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4360D"/>
    <w:rsid w:val="00E50519"/>
    <w:rsid w:val="00E52203"/>
    <w:rsid w:val="00E5316C"/>
    <w:rsid w:val="00E5513C"/>
    <w:rsid w:val="00E557C8"/>
    <w:rsid w:val="00E56108"/>
    <w:rsid w:val="00E57CEC"/>
    <w:rsid w:val="00E60380"/>
    <w:rsid w:val="00E61CB8"/>
    <w:rsid w:val="00E67F8B"/>
    <w:rsid w:val="00E70579"/>
    <w:rsid w:val="00E70B6F"/>
    <w:rsid w:val="00E70FF6"/>
    <w:rsid w:val="00E71DB7"/>
    <w:rsid w:val="00E72050"/>
    <w:rsid w:val="00E7495E"/>
    <w:rsid w:val="00E803A1"/>
    <w:rsid w:val="00E81E13"/>
    <w:rsid w:val="00E82338"/>
    <w:rsid w:val="00E829AF"/>
    <w:rsid w:val="00E82D23"/>
    <w:rsid w:val="00E85528"/>
    <w:rsid w:val="00E90E75"/>
    <w:rsid w:val="00E914E9"/>
    <w:rsid w:val="00E9204B"/>
    <w:rsid w:val="00E948EB"/>
    <w:rsid w:val="00E96B27"/>
    <w:rsid w:val="00E97343"/>
    <w:rsid w:val="00EA0FAE"/>
    <w:rsid w:val="00EA20E3"/>
    <w:rsid w:val="00EA2E78"/>
    <w:rsid w:val="00EA3229"/>
    <w:rsid w:val="00EA4068"/>
    <w:rsid w:val="00EA43F5"/>
    <w:rsid w:val="00EA50F5"/>
    <w:rsid w:val="00EA5A63"/>
    <w:rsid w:val="00EA5BCB"/>
    <w:rsid w:val="00EA7055"/>
    <w:rsid w:val="00EA713F"/>
    <w:rsid w:val="00EA7F6E"/>
    <w:rsid w:val="00EB072A"/>
    <w:rsid w:val="00EB1031"/>
    <w:rsid w:val="00EB333B"/>
    <w:rsid w:val="00EB4823"/>
    <w:rsid w:val="00EB6460"/>
    <w:rsid w:val="00EB729A"/>
    <w:rsid w:val="00EC2F8D"/>
    <w:rsid w:val="00EC4089"/>
    <w:rsid w:val="00EC51A2"/>
    <w:rsid w:val="00EC733E"/>
    <w:rsid w:val="00ED5AE5"/>
    <w:rsid w:val="00ED6440"/>
    <w:rsid w:val="00ED64E7"/>
    <w:rsid w:val="00ED666D"/>
    <w:rsid w:val="00EE0380"/>
    <w:rsid w:val="00EE09FC"/>
    <w:rsid w:val="00EE2184"/>
    <w:rsid w:val="00EE38A2"/>
    <w:rsid w:val="00EE4DA5"/>
    <w:rsid w:val="00EE4DCB"/>
    <w:rsid w:val="00EE56F5"/>
    <w:rsid w:val="00EE75CD"/>
    <w:rsid w:val="00EF0848"/>
    <w:rsid w:val="00EF21A6"/>
    <w:rsid w:val="00EF2CE7"/>
    <w:rsid w:val="00EF30B8"/>
    <w:rsid w:val="00EF33D0"/>
    <w:rsid w:val="00EF379A"/>
    <w:rsid w:val="00EF3BDD"/>
    <w:rsid w:val="00EF515B"/>
    <w:rsid w:val="00EF6DAD"/>
    <w:rsid w:val="00EF6F66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1143"/>
    <w:rsid w:val="00F21708"/>
    <w:rsid w:val="00F26261"/>
    <w:rsid w:val="00F274BE"/>
    <w:rsid w:val="00F30701"/>
    <w:rsid w:val="00F3105A"/>
    <w:rsid w:val="00F31688"/>
    <w:rsid w:val="00F31C49"/>
    <w:rsid w:val="00F321C5"/>
    <w:rsid w:val="00F33E63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459CA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277"/>
    <w:rsid w:val="00F673E1"/>
    <w:rsid w:val="00F722AA"/>
    <w:rsid w:val="00F726F6"/>
    <w:rsid w:val="00F740C2"/>
    <w:rsid w:val="00F74C16"/>
    <w:rsid w:val="00F74D77"/>
    <w:rsid w:val="00F74FF6"/>
    <w:rsid w:val="00F755D7"/>
    <w:rsid w:val="00F75A05"/>
    <w:rsid w:val="00F803E3"/>
    <w:rsid w:val="00F82220"/>
    <w:rsid w:val="00F83BE6"/>
    <w:rsid w:val="00F853B2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55A"/>
    <w:rsid w:val="00FA2855"/>
    <w:rsid w:val="00FA2B83"/>
    <w:rsid w:val="00FB09E8"/>
    <w:rsid w:val="00FB1F66"/>
    <w:rsid w:val="00FB6998"/>
    <w:rsid w:val="00FC02DE"/>
    <w:rsid w:val="00FC0913"/>
    <w:rsid w:val="00FC0E4D"/>
    <w:rsid w:val="00FC23F3"/>
    <w:rsid w:val="00FC40AD"/>
    <w:rsid w:val="00FC69F8"/>
    <w:rsid w:val="00FD12A1"/>
    <w:rsid w:val="00FD1874"/>
    <w:rsid w:val="00FD3060"/>
    <w:rsid w:val="00FD33C7"/>
    <w:rsid w:val="00FD3FDF"/>
    <w:rsid w:val="00FD47DE"/>
    <w:rsid w:val="00FD5944"/>
    <w:rsid w:val="00FD65E5"/>
    <w:rsid w:val="00FD771D"/>
    <w:rsid w:val="00FD7B98"/>
    <w:rsid w:val="00FE4A5F"/>
    <w:rsid w:val="00FF275D"/>
    <w:rsid w:val="00FF3689"/>
    <w:rsid w:val="00FF3813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2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355-13-0arc-mib-truthvalue-usage-patterns.docx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ntor.ieee.org/802.11/dcn/09/11-09-0533-01-0arc-recomendation-re-mib-types-and-usage.pp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373</TotalTime>
  <Pages>11</Pages>
  <Words>1797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80</cp:revision>
  <cp:lastPrinted>1900-01-01T08:00:00Z</cp:lastPrinted>
  <dcterms:created xsi:type="dcterms:W3CDTF">2023-05-26T03:50:00Z</dcterms:created>
  <dcterms:modified xsi:type="dcterms:W3CDTF">2023-06-01T20:04:00Z</dcterms:modified>
</cp:coreProperties>
</file>