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7688C3B3"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D96075">
              <w:rPr>
                <w:b w:val="0"/>
                <w:sz w:val="20"/>
              </w:rPr>
              <w:t>03</w:t>
            </w:r>
            <w:r w:rsidR="004C39DB">
              <w:rPr>
                <w:b w:val="0"/>
                <w:sz w:val="20"/>
              </w:rPr>
              <w:t>-</w:t>
            </w:r>
            <w:r w:rsidR="00D96075">
              <w:rPr>
                <w:b w:val="0"/>
                <w:sz w:val="20"/>
              </w:rPr>
              <w:t>1</w:t>
            </w:r>
            <w:r w:rsidR="00761954">
              <w:rPr>
                <w:b w:val="0"/>
                <w:sz w:val="20"/>
              </w:rPr>
              <w:t>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DF24BA" w:rsidRDefault="00DF24BA">
                            <w:pPr>
                              <w:pStyle w:val="T1"/>
                              <w:spacing w:after="120"/>
                            </w:pPr>
                            <w:r>
                              <w:t>Abstract</w:t>
                            </w:r>
                          </w:p>
                          <w:p w14:paraId="62DD9F26" w14:textId="75CC5DF7" w:rsidR="00DF24BA" w:rsidRDefault="00DF24BA"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F24BA" w:rsidRPr="001B4791" w:rsidRDefault="00DF24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DF24BA" w:rsidRDefault="00DF24BA">
                      <w:pPr>
                        <w:pStyle w:val="T1"/>
                        <w:spacing w:after="120"/>
                      </w:pPr>
                      <w:r>
                        <w:t>Abstract</w:t>
                      </w:r>
                    </w:p>
                    <w:p w14:paraId="62DD9F26" w14:textId="75CC5DF7" w:rsidR="00DF24BA" w:rsidRDefault="00DF24BA"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F24BA" w:rsidRPr="001B4791" w:rsidRDefault="00DF24BA">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bookmarkStart w:id="0" w:name="_GoBack"/>
        <w:bookmarkEnd w:id="0"/>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rsidRPr="00B57615">
        <w:rPr>
          <w:highlight w:val="green"/>
        </w:rPr>
        <w:t>REJECT</w:t>
      </w:r>
      <w:r w:rsidR="00AD5AF4" w:rsidRPr="00B57615">
        <w:rPr>
          <w:highlight w:val="green"/>
        </w:rPr>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C115C1F" w:rsidR="00FB6F5F" w:rsidRDefault="00FB6F5F" w:rsidP="00FB6F5F">
      <w:pPr>
        <w:rPr>
          <w:u w:val="single"/>
        </w:rPr>
      </w:pPr>
    </w:p>
    <w:p w14:paraId="6107D332" w14:textId="008F5396" w:rsidR="00D25CFB" w:rsidRPr="00D25CFB" w:rsidRDefault="009958A9" w:rsidP="00FB6F5F">
      <w:r>
        <w:t>Change the indicated subclauses as shown:</w:t>
      </w:r>
    </w:p>
    <w:p w14:paraId="1654AC9E" w14:textId="77777777" w:rsidR="00D25CFB" w:rsidRDefault="00D25CFB"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2FE01897" w:rsidR="00FB6F5F" w:rsidRPr="009958A9" w:rsidRDefault="00FB6F5F" w:rsidP="00FB6F5F">
      <w:r w:rsidRPr="009958A9">
        <w:t>18.3.2.4: The format</w:t>
      </w:r>
      <w:r w:rsidR="00D25CFB" w:rsidRPr="009958A9">
        <w:rPr>
          <w:strike/>
        </w:rPr>
        <w:t xml:space="preserve">, preamble, and headers for the </w:t>
      </w:r>
      <w:r w:rsidR="009958A9" w:rsidRPr="009958A9">
        <w:rPr>
          <w:u w:val="single"/>
        </w:rPr>
        <w:t xml:space="preserve"> of an</w:t>
      </w:r>
      <w:r w:rsidR="009958A9" w:rsidRPr="009958A9">
        <w:t xml:space="preserve"> E</w:t>
      </w:r>
      <w:r w:rsidR="00D25CFB" w:rsidRPr="009958A9">
        <w:t>RP-OFDM PPDU</w:t>
      </w:r>
      <w:r w:rsidR="00D25CFB" w:rsidRPr="009958A9">
        <w:rPr>
          <w:strike/>
        </w:rPr>
        <w:t xml:space="preserve"> are</w:t>
      </w:r>
      <w:r w:rsidR="00D25CFB" w:rsidRPr="009958A9">
        <w:rPr>
          <w:u w:val="single"/>
        </w:rPr>
        <w:t xml:space="preserve"> is</w:t>
      </w:r>
      <w:r w:rsidRPr="009958A9">
        <w:t xml:space="preserve"> described in 17.3.2 (PPDU format) to 17.3.5 (DATA field).</w:t>
      </w:r>
      <w:r w:rsidRPr="009958A9">
        <w:rPr>
          <w:strike/>
        </w:rPr>
        <w:t xml:space="preserve"> For ERP-OFDM PPDUs, the DATA field that contains the SERVICE field, the PSDU, the TAIL bits, and the PAD bits shall follow 17.3.5 (DATA field).</w:t>
      </w:r>
    </w:p>
    <w:p w14:paraId="3EADADA4" w14:textId="78E2FCD0" w:rsidR="00FB6F5F" w:rsidRDefault="009958A9" w:rsidP="00FB6F5F">
      <w:r w:rsidRPr="009958A9">
        <w:rPr>
          <w:strike/>
        </w:rPr>
        <w:t xml:space="preserve">For ERP-OFDM modes, an ERP </w:t>
      </w:r>
      <w:r w:rsidR="00FB6F5F" w:rsidRPr="009958A9">
        <w:rPr>
          <w:u w:val="single"/>
        </w:rPr>
        <w:t xml:space="preserve">An ERP-OFDM </w:t>
      </w:r>
      <w:r w:rsidR="00FB6F5F" w:rsidRPr="009958A9">
        <w:t>PPDU is (#14)immediately followed by a period of no</w:t>
      </w:r>
      <w:r w:rsidR="00FB6F5F">
        <w:t xml:space="preserve"> transmission with a duration of aSignalExtension(#14)</w:t>
      </w:r>
    </w:p>
    <w:p w14:paraId="27EB32B6" w14:textId="77777777" w:rsidR="00FB6F5F" w:rsidRDefault="00FB6F5F" w:rsidP="00FB6F5F"/>
    <w:p w14:paraId="05054A8F" w14:textId="5DEFB973" w:rsidR="00FB6F5F" w:rsidRDefault="00FB6F5F" w:rsidP="00FB6F5F">
      <w:r w:rsidRPr="00222269">
        <w:lastRenderedPageBreak/>
        <w:t xml:space="preserve">18.4.7.3: The transmit spectral mask for </w:t>
      </w:r>
      <w:r w:rsidR="009958A9" w:rsidRPr="00222269">
        <w:rPr>
          <w:strike/>
        </w:rPr>
        <w:t xml:space="preserve">the </w:t>
      </w:r>
      <w:r w:rsidRPr="00222269">
        <w:t xml:space="preserve">ERP-OFDM </w:t>
      </w:r>
      <w:r w:rsidR="009958A9" w:rsidRPr="00222269">
        <w:rPr>
          <w:strike/>
        </w:rPr>
        <w:t>modes</w:t>
      </w:r>
      <w:r w:rsidRPr="00222269">
        <w:rPr>
          <w:u w:val="single"/>
        </w:rPr>
        <w:t>PPDUs</w:t>
      </w:r>
      <w:r w:rsidRPr="00222269">
        <w:t xml:space="preserve"> shall follow 17.3.9.3 (Transmit spectrum mask) and is shown in Figure 17-13 (Transmit spectrum mask for 20 MHz transmission) therein. The transmit spectral mask for </w:t>
      </w:r>
      <w:r w:rsidR="00222269" w:rsidRPr="00222269">
        <w:rPr>
          <w:strike/>
        </w:rPr>
        <w:t xml:space="preserve">the </w:t>
      </w:r>
      <w:r w:rsidRPr="00222269">
        <w:t>ERP-DSSS</w:t>
      </w:r>
      <w:r w:rsidR="00222269" w:rsidRPr="00222269">
        <w:rPr>
          <w:u w:val="single"/>
        </w:rPr>
        <w:t>/CCK</w:t>
      </w:r>
      <w:r w:rsidRPr="00222269">
        <w:t xml:space="preserve"> </w:t>
      </w:r>
      <w:r w:rsidR="00222269" w:rsidRPr="00222269">
        <w:rPr>
          <w:strike/>
        </w:rPr>
        <w:t>modes</w:t>
      </w:r>
      <w:r w:rsidRPr="00222269">
        <w:t xml:space="preserve">PPDUs shall follow </w:t>
      </w:r>
      <w:commentRangeStart w:id="5"/>
      <w:r w:rsidRPr="00222269">
        <w:t>16.3.7.4 (Transmit spectrum mask) and is</w:t>
      </w:r>
      <w:r>
        <w:t xml:space="preserve"> shown in Figure 16-8 (Transmit spectrum mask)</w:t>
      </w:r>
      <w:commentRangeEnd w:id="5"/>
      <w:r w:rsidR="00337CB6">
        <w:rPr>
          <w:rStyle w:val="CommentReference"/>
        </w:rPr>
        <w:commentReference w:id="5"/>
      </w:r>
      <w:r>
        <w:t xml:space="preserve"> therein.</w:t>
      </w:r>
    </w:p>
    <w:p w14:paraId="370A0CA4" w14:textId="77777777" w:rsidR="00FB6F5F" w:rsidRDefault="00FB6F5F" w:rsidP="00FB6F5F"/>
    <w:p w14:paraId="1793CE5D" w14:textId="5853CDDD" w:rsidR="00FB6F5F" w:rsidRDefault="00FB6F5F" w:rsidP="00FB6F5F">
      <w:r>
        <w:t xml:space="preserve">18.4.8.1: Subclause 18.4.8 (PHY receive specifications) describes the receive specifications for the PHY sublayer. The receive specification for </w:t>
      </w:r>
      <w:r w:rsidR="00222269" w:rsidRPr="00222269">
        <w:rPr>
          <w:strike/>
        </w:rPr>
        <w:t xml:space="preserve">the </w:t>
      </w:r>
      <w:r w:rsidR="00222269" w:rsidRPr="00222269">
        <w:t xml:space="preserve">ERP-OFDM </w:t>
      </w:r>
      <w:r w:rsidR="00222269" w:rsidRPr="00222269">
        <w:rPr>
          <w:strike/>
        </w:rPr>
        <w:t>modes</w:t>
      </w:r>
      <w:r w:rsidR="00222269" w:rsidRPr="00222269">
        <w:rPr>
          <w:u w:val="single"/>
        </w:rPr>
        <w:t>PPDUs</w:t>
      </w:r>
      <w:r>
        <w:t xml:space="preserve"> shall follow 17.3.10 (PHY receiver specifications) with the exception of the receiver maximum input level (17.3.10.5 (Receiver maximum input level)) and the adjacent channel rejection (17.3.10.3 (Adjacent channel rejection)). The receive </w:t>
      </w:r>
      <w:r w:rsidRPr="00222269">
        <w:t>specification</w:t>
      </w:r>
      <w:r w:rsidR="00222269" w:rsidRPr="00222269">
        <w:rPr>
          <w:strike/>
          <w:highlight w:val="cyan"/>
        </w:rPr>
        <w:t>s</w:t>
      </w:r>
      <w:r>
        <w:t xml:space="preserve"> for </w:t>
      </w:r>
      <w:r w:rsidR="00222269" w:rsidRPr="00222269">
        <w:rPr>
          <w:strike/>
        </w:rPr>
        <w:t xml:space="preserve">the </w:t>
      </w:r>
      <w:r w:rsidR="00222269" w:rsidRPr="00222269">
        <w:t>ERP-DSSS</w:t>
      </w:r>
      <w:r w:rsidR="00222269" w:rsidRPr="00222269">
        <w:rPr>
          <w:u w:val="single"/>
        </w:rPr>
        <w:t>/CCK</w:t>
      </w:r>
      <w:r w:rsidR="00222269" w:rsidRPr="00222269">
        <w:t xml:space="preserve"> </w:t>
      </w:r>
      <w:r w:rsidR="00222269" w:rsidRPr="00222269">
        <w:rPr>
          <w:strike/>
        </w:rPr>
        <w:t>modes</w:t>
      </w:r>
      <w:r w:rsidR="00222269" w:rsidRPr="00222269">
        <w:t>PPDUs</w:t>
      </w:r>
      <w:r w:rsidRPr="00222269">
        <w:t xml:space="preserve"> shall follow </w:t>
      </w:r>
      <w:commentRangeStart w:id="6"/>
      <w:r w:rsidRPr="00222269">
        <w:t>16.3.8 (PHY receiver specifications) with the exception of the rec</w:t>
      </w:r>
      <w:r>
        <w:t>eiver maximum input level (16.3.8.3 (Receiver maximum input level)).</w:t>
      </w:r>
      <w:commentRangeEnd w:id="6"/>
      <w:r w:rsidR="00337CB6">
        <w:rPr>
          <w:rStyle w:val="CommentReference"/>
        </w:rPr>
        <w:commentReference w:id="6"/>
      </w:r>
    </w:p>
    <w:p w14:paraId="1C609703" w14:textId="77777777" w:rsidR="00FB6F5F" w:rsidRDefault="00FB6F5F" w:rsidP="00FB6F5F"/>
    <w:p w14:paraId="27BD2B25" w14:textId="7CF94BC9" w:rsidR="00C56355" w:rsidRDefault="00FB6F5F" w:rsidP="00C56355">
      <w:r>
        <w:t xml:space="preserve">18.4.8.2: The PER </w:t>
      </w:r>
      <w:r w:rsidR="00222269">
        <w:rPr>
          <w:strike/>
        </w:rPr>
        <w:t>of t</w:t>
      </w:r>
      <w:r w:rsidR="00222269" w:rsidRPr="00222269">
        <w:rPr>
          <w:strike/>
        </w:rPr>
        <w:t xml:space="preserve">he </w:t>
      </w:r>
      <w:r w:rsidR="00222269" w:rsidRPr="00222269">
        <w:rPr>
          <w:u w:val="single"/>
        </w:rPr>
        <w:t xml:space="preserve">for </w:t>
      </w:r>
      <w:r w:rsidR="00222269" w:rsidRPr="00222269">
        <w:t xml:space="preserve">ERP-OFDM </w:t>
      </w:r>
      <w:r w:rsidR="00222269" w:rsidRPr="00222269">
        <w:rPr>
          <w:strike/>
        </w:rPr>
        <w:t>modes</w:t>
      </w:r>
      <w:r w:rsidR="00222269" w:rsidRPr="00222269">
        <w:rPr>
          <w:u w:val="single"/>
        </w:rPr>
        <w:t>PPDUs</w:t>
      </w:r>
      <w:r>
        <w:t xml:space="preserve"> shall be less than 10% at a PSDU length of 1000 octets for the input levels of Table 17-18 (Receiver performance requirements) of 17.3.10 (PHY receiver specifications).</w:t>
      </w:r>
      <w:r w:rsidR="00C56355">
        <w:t xml:space="preserve"> […] The PER for </w:t>
      </w:r>
      <w:r w:rsidR="00974ECD">
        <w:t>ERP-</w:t>
      </w:r>
      <w:r w:rsidR="00C56355">
        <w:t xml:space="preserve">CCK </w:t>
      </w:r>
      <w:r w:rsidR="00C56355" w:rsidRPr="00222269">
        <w:rPr>
          <w:u w:val="single"/>
        </w:rPr>
        <w:t xml:space="preserve">PPDUs </w:t>
      </w:r>
      <w:r w:rsidR="00C56355">
        <w:t>shall be as specified in 16.3.8.2 (Receiver minimum input level sensitivity).</w:t>
      </w:r>
      <w:r w:rsidR="00974ECD">
        <w:t xml:space="preserve"> </w:t>
      </w:r>
      <w:r w:rsidR="00974ECD" w:rsidRPr="00974ECD">
        <w:rPr>
          <w:u w:val="single"/>
        </w:rPr>
        <w:t>The PER for ERP-</w:t>
      </w:r>
      <w:r w:rsidR="00974ECD">
        <w:rPr>
          <w:u w:val="single"/>
        </w:rPr>
        <w:t>DSSS</w:t>
      </w:r>
      <w:r w:rsidR="00974ECD" w:rsidRPr="00974ECD">
        <w:rPr>
          <w:u w:val="single"/>
        </w:rPr>
        <w:t xml:space="preserve"> PPDUs shall be as specified in 15.4.6.2 </w:t>
      </w:r>
      <w:r w:rsidR="00974ECD">
        <w:rPr>
          <w:u w:val="single"/>
        </w:rPr>
        <w:t>(</w:t>
      </w:r>
      <w:r w:rsidR="00974ECD" w:rsidRPr="00974ECD">
        <w:rPr>
          <w:u w:val="single"/>
        </w:rPr>
        <w:t>Receiver minimum input level sensitivity</w:t>
      </w:r>
      <w:r w:rsidR="00974ECD">
        <w:rPr>
          <w:u w:val="single"/>
        </w:rPr>
        <w:t>)</w:t>
      </w:r>
      <w:r w:rsidR="00974ECD" w:rsidRPr="00974ECD">
        <w:rPr>
          <w:u w:val="single"/>
        </w:rPr>
        <w:t>.</w:t>
      </w:r>
    </w:p>
    <w:p w14:paraId="22497013" w14:textId="77777777" w:rsidR="00FB6F5F" w:rsidRDefault="00FB6F5F" w:rsidP="00FB6F5F"/>
    <w:p w14:paraId="2988F562" w14:textId="77777777" w:rsidR="00F119B0" w:rsidRPr="00974ECD" w:rsidRDefault="00FB6F5F" w:rsidP="0061794F">
      <w:r>
        <w:t xml:space="preserve">18.4.8.3: </w:t>
      </w:r>
      <w:r w:rsidR="00F119B0">
        <w:t>A</w:t>
      </w:r>
      <w:r w:rsidR="0061794F">
        <w:t xml:space="preserve">djacent channels at 2.4 GHz are defined to be at ± 25 MHz spacing. </w:t>
      </w:r>
      <w:r w:rsidR="00F119B0" w:rsidRPr="0057732C">
        <w:rPr>
          <w:b/>
          <w:i/>
          <w:u w:val="single"/>
        </w:rPr>
        <w:t>&lt;para break&gt;</w:t>
      </w:r>
    </w:p>
    <w:p w14:paraId="73891D10" w14:textId="7815E455" w:rsidR="0061794F" w:rsidRDefault="00F119B0" w:rsidP="0061794F">
      <w:r w:rsidRPr="00974ECD">
        <w:rPr>
          <w:u w:val="single"/>
        </w:rPr>
        <w:t>For ERP-OFDM PPDUs, t</w:t>
      </w:r>
      <w:r w:rsidR="00974ECD" w:rsidRPr="00974ECD">
        <w:rPr>
          <w:strike/>
        </w:rPr>
        <w:t>T</w:t>
      </w:r>
      <w:r w:rsidR="0061794F" w:rsidRPr="00974ECD">
        <w:t>he adjacent channel rejection shall be measured by s</w:t>
      </w:r>
      <w:r w:rsidR="0061794F">
        <w:t>etting the desired signal’s strength 3 dB above the rate-dependent sensitivity specified in Table 17-18 (Receiver performance requirements) of 17.3.10 (PHY receiver specifications) […]</w:t>
      </w:r>
    </w:p>
    <w:p w14:paraId="7C9B1525" w14:textId="52F89920" w:rsidR="00FB6F5F" w:rsidRPr="00FB6F5F" w:rsidRDefault="00974ECD" w:rsidP="00FB6F5F">
      <w:r w:rsidRPr="00974ECD">
        <w:rPr>
          <w:u w:val="single"/>
        </w:rPr>
        <w:t>For ERP-</w:t>
      </w:r>
      <w:r w:rsidR="00D00AF1">
        <w:rPr>
          <w:u w:val="single"/>
        </w:rPr>
        <w:t>DSSS/</w:t>
      </w:r>
      <w:r w:rsidR="001C66CA">
        <w:rPr>
          <w:u w:val="single"/>
        </w:rPr>
        <w:t>CCK</w:t>
      </w:r>
      <w:r w:rsidRPr="00974ECD">
        <w:rPr>
          <w:u w:val="single"/>
        </w:rPr>
        <w:t xml:space="preserve"> PPDUs, t</w:t>
      </w:r>
      <w:r w:rsidR="00FB6F5F" w:rsidRPr="00974ECD">
        <w:rPr>
          <w:strike/>
        </w:rPr>
        <w:t>T</w:t>
      </w:r>
      <w:r w:rsidR="00FB6F5F">
        <w:t>he adjacent channel rejection</w:t>
      </w:r>
      <w:r w:rsidR="00FB6F5F" w:rsidRPr="00974ECD">
        <w:rPr>
          <w:strike/>
        </w:rPr>
        <w:t xml:space="preserve"> for ERP-DSSS PPDUs</w:t>
      </w:r>
      <w:r w:rsidR="00FB6F5F">
        <w:t xml:space="preserve"> shall follow 16.3.8.4 (Receiver adjacent channel</w:t>
      </w:r>
      <w:r>
        <w:t xml:space="preserve"> </w:t>
      </w:r>
      <w:r w:rsidR="00FB6F5F">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rsidRPr="00F23AFB">
        <w:rPr>
          <w:highlight w:val="green"/>
        </w:rP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7"/>
      <w:r>
        <w:t>{ the STA's MAC address }</w:t>
      </w:r>
      <w:commentRangeEnd w:id="7"/>
      <w:r w:rsidR="00F13D90">
        <w:rPr>
          <w:rStyle w:val="CommentReference"/>
        </w:rPr>
        <w:commentReference w:id="7"/>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8"/>
      <w:r>
        <w:t>{ dot11BeaconPeriod / 4 }</w:t>
      </w:r>
      <w:commentRangeEnd w:id="8"/>
      <w:r w:rsidR="00F13D90">
        <w:rPr>
          <w:rStyle w:val="CommentReference"/>
        </w:rPr>
        <w:commentReference w:id="8"/>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rsidRPr="00DF24BA">
        <w:rPr>
          <w:highlight w:val="green"/>
        </w:rP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7413E7" w:rsidRDefault="00FD0C1D" w:rsidP="00FD0C1D">
      <w:pPr>
        <w:ind w:left="720" w:firstLine="720"/>
        <w:rPr>
          <w:i/>
        </w:rPr>
      </w:pPr>
      <w:r w:rsidRPr="007413E7">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9"/>
      <w:r>
        <w:t>MIC</w:t>
      </w:r>
      <w:commentRangeEnd w:id="9"/>
      <w:r w:rsidR="00AA4A5E">
        <w:rPr>
          <w:rStyle w:val="CommentReference"/>
        </w:rPr>
        <w:commentReference w:id="9"/>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rsidRPr="00215C30">
        <w:rPr>
          <w:highlight w:val="green"/>
        </w:rP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915A41">
        <w:rPr>
          <w:highlight w:val="green"/>
        </w:rPr>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0"/>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0"/>
            <w:r w:rsidR="000C3871">
              <w:rPr>
                <w:rStyle w:val="CommentReference"/>
                <w:color w:val="auto"/>
                <w:w w:val="100"/>
                <w:lang w:val="en-GB" w:eastAsia="en-US"/>
              </w:rPr>
              <w:commentReference w:id="10"/>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1"/>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1"/>
      <w:r w:rsidR="00966607">
        <w:rPr>
          <w:rStyle w:val="CommentReference"/>
        </w:rPr>
        <w:commentReference w:id="11"/>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rsidRPr="00310532">
        <w:rPr>
          <w:highlight w:val="green"/>
        </w:rP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2"/>
      <w:r>
        <w:t>indicate</w:t>
      </w:r>
      <w:r>
        <w:rPr>
          <w:u w:val="single"/>
        </w:rPr>
        <w:t xml:space="preserve"> </w:t>
      </w:r>
      <w:r w:rsidR="0005255A">
        <w:rPr>
          <w:u w:val="single"/>
        </w:rPr>
        <w:t>an</w:t>
      </w:r>
      <w:r>
        <w:t xml:space="preserve"> AKM of TPK handshake (suite type 00-0F-AC:7)</w:t>
      </w:r>
      <w:commentRangeEnd w:id="12"/>
      <w:r w:rsidR="0005255A">
        <w:rPr>
          <w:rStyle w:val="CommentReference"/>
        </w:rPr>
        <w:commentReference w:id="12"/>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3"/>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3"/>
      <w:r w:rsidR="008B7D82">
        <w:rPr>
          <w:rStyle w:val="CommentReference"/>
        </w:rPr>
        <w:commentReference w:id="13"/>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rsidRPr="00A022D1">
        <w:rPr>
          <w:highlight w:val="green"/>
        </w:rP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rsidRPr="00915A41">
        <w:rPr>
          <w:highlight w:val="green"/>
        </w:rP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rsidRPr="00430754">
        <w:rPr>
          <w:highlight w:val="green"/>
        </w:rPr>
        <w:t>REVISED</w:t>
      </w:r>
    </w:p>
    <w:p w14:paraId="649882A1" w14:textId="62606506" w:rsidR="00717B85" w:rsidRDefault="00717B85" w:rsidP="00717B85"/>
    <w:p w14:paraId="271091B0" w14:textId="3F901B25" w:rsidR="002530A1" w:rsidRDefault="0063231D" w:rsidP="00717B85">
      <w:r>
        <w:t>In Annex</w:t>
      </w:r>
      <w:r w:rsidR="006C6403">
        <w:t xml:space="preserve"> A</w:t>
      </w:r>
      <w:r w:rsidR="002530A1">
        <w:t xml:space="preserve">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4"/>
      <w:r>
        <w:t>italicising the title.</w:t>
      </w:r>
      <w:commentRangeEnd w:id="14"/>
      <w:r>
        <w:rPr>
          <w:rStyle w:val="CommentReference"/>
        </w:rPr>
        <w:commentReference w:id="14"/>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51FB2986" w:rsidR="00A51238" w:rsidRDefault="00A51238" w:rsidP="00717B85"/>
    <w:p w14:paraId="2B74D9F7" w14:textId="15D05FDD" w:rsidR="002B4F67" w:rsidRDefault="002B4F67" w:rsidP="00717B85">
      <w:r>
        <w:t>Also, re BIP’s “</w:t>
      </w:r>
      <w:r w:rsidRPr="002B4F67">
        <w:t>If dot11RSNAProtectedManagementFramesActivated is true and dot11MeshSecurityActivated is true</w:t>
      </w:r>
      <w:r>
        <w:t>”, MFP only applies if both sides support it, but it is not dependent on mesh operation.</w:t>
      </w:r>
    </w:p>
    <w:p w14:paraId="75FA6372" w14:textId="196E3348" w:rsidR="002B4F67" w:rsidRDefault="002B4F67" w:rsidP="00717B85"/>
    <w:p w14:paraId="33B221A1" w14:textId="667C2FB3" w:rsidR="002B4F67" w:rsidRDefault="002B4F67" w:rsidP="00717B85">
      <w:r>
        <w:t>And re “The receiver shall discard MSDUs and MMPDUs whose constituent MPDU PN values are not incrementing in steps of 1”, this obviously only applies to fragmented DUs, but also applies to fragmented A-MSDUs (where supported).</w:t>
      </w:r>
    </w:p>
    <w:p w14:paraId="622920F0" w14:textId="3AE7BE3C" w:rsidR="002B4F67" w:rsidRDefault="002B4F67" w:rsidP="00717B85"/>
    <w:p w14:paraId="6779D731" w14:textId="0F6F5977" w:rsidR="00194B5A" w:rsidRDefault="00194B5A" w:rsidP="00717B85">
      <w:r>
        <w:t xml:space="preserve">Note GCMP does not need changes for PV1, because </w:t>
      </w:r>
      <w:r w:rsidRPr="00194B5A">
        <w:t>“An S1G STA shall not use PV1 frames when using G</w:t>
      </w:r>
      <w:r>
        <w:t>CMP encapsulation.” in 12.5.4.1</w:t>
      </w:r>
      <w:r w:rsidRPr="00194B5A">
        <w:t>.</w:t>
      </w:r>
    </w:p>
    <w:p w14:paraId="56986A71" w14:textId="77777777" w:rsidR="00194B5A" w:rsidRDefault="00194B5A"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239B3FA0" w:rsidR="0057286E" w:rsidRDefault="0057286E" w:rsidP="00717B85"/>
    <w:p w14:paraId="613D7396" w14:textId="206F16FC" w:rsidR="00E51CEC" w:rsidRPr="00E51CEC" w:rsidRDefault="00E51CEC" w:rsidP="00E51CEC">
      <w:pPr>
        <w:ind w:left="720"/>
        <w:rPr>
          <w:strike/>
        </w:rPr>
      </w:pPr>
      <w:r>
        <w:t>b) For each PTKSA, (#166)TPKSA, GTKSA, (#1627)mesh PTKSA, and mesh GTKSA(#239), the recipient shall maintain a separate replay counter for each TID, subject to the limitation of the number of supported replay counters indicated in the RSN Capabilities field (see 9.4.2.24 (RSNE))</w:t>
      </w:r>
      <w:commentRangeStart w:id="15"/>
      <w:r w:rsidRPr="008860AD">
        <w:rPr>
          <w:strike/>
        </w:rPr>
        <w:t>, and shall use the PN from a received frame to detect replayed frames</w:t>
      </w:r>
      <w:r>
        <w:t>.</w:t>
      </w:r>
      <w:r w:rsidRPr="00E51CEC">
        <w:rPr>
          <w:strike/>
        </w:rPr>
        <w:t xml:space="preserve"> A replayed frame occurs when the PN from a received frame is less than or equal to the current replay counter value for the frame’s MSDU or A-MSDU priority and frame type.</w:t>
      </w:r>
      <w:commentRangeEnd w:id="15"/>
      <w:r w:rsidR="008860AD">
        <w:rPr>
          <w:rStyle w:val="CommentReference"/>
        </w:rPr>
        <w:commentReference w:id="15"/>
      </w:r>
    </w:p>
    <w:p w14:paraId="60D18FB2" w14:textId="77777777" w:rsidR="00E51CEC" w:rsidRDefault="00E51CEC" w:rsidP="00E51CEC">
      <w:pPr>
        <w:ind w:left="720"/>
      </w:pPr>
    </w:p>
    <w:p w14:paraId="15E4940D" w14:textId="36AB5328" w:rsidR="00E51CEC" w:rsidRDefault="00E51CEC" w:rsidP="00E51CEC">
      <w:pPr>
        <w:ind w:left="720"/>
      </w:pPr>
      <w:r>
        <w:t>(#171)NOTE 2—For the purpose of replay detection, non-QoS Data frames are treated as having TID 0, and use the reply counter corresponding to MSDU priority 0.</w:t>
      </w:r>
    </w:p>
    <w:p w14:paraId="7941B5E0" w14:textId="77777777" w:rsidR="00E51CEC" w:rsidRDefault="00E51CEC" w:rsidP="00717B85"/>
    <w:p w14:paraId="6BAB82C7" w14:textId="29F481F3" w:rsidR="00A305C5" w:rsidRDefault="00A305C5" w:rsidP="00A305C5">
      <w:pPr>
        <w:ind w:left="720"/>
      </w:pPr>
      <w:r>
        <w:t>c) If the recipient set the MFPC bit on a given link to 1, it(#199) shall maintain a single replay counter for received individually addressed robust</w:t>
      </w:r>
      <w:r w:rsidR="000E20DA">
        <w:rPr>
          <w:u w:val="single"/>
        </w:rPr>
        <w:t xml:space="preserve"> PV0</w:t>
      </w:r>
      <w:r>
        <w:t xml:space="preserve"> Management frames that are received with the To DS subfield equal to 0, and</w:t>
      </w:r>
      <w:r>
        <w:rPr>
          <w:u w:val="single"/>
        </w:rPr>
        <w:t xml:space="preserve"> </w:t>
      </w:r>
      <w:commentRangeStart w:id="16"/>
      <w:r>
        <w:rPr>
          <w:u w:val="single"/>
        </w:rPr>
        <w:t>(S1G STA only)</w:t>
      </w:r>
      <w:r>
        <w:t xml:space="preserve"> a single replay counter for received individually addressed robust PV1 Management frames</w:t>
      </w:r>
      <w:commentRangeEnd w:id="16"/>
      <w:r w:rsidR="004C7EA1" w:rsidRPr="005536EF">
        <w:rPr>
          <w:rStyle w:val="CommentReference"/>
          <w:strike/>
        </w:rPr>
        <w:commentReference w:id="16"/>
      </w:r>
      <w:commentRangeStart w:id="17"/>
      <w:r w:rsidRPr="005536EF">
        <w:rPr>
          <w:strike/>
        </w:rPr>
        <w:t xml:space="preserve"> and shall use the PN from the received frame to detect replays</w:t>
      </w:r>
      <w:commentRangeEnd w:id="17"/>
      <w:r w:rsidR="005536EF">
        <w:rPr>
          <w:rStyle w:val="CommentReference"/>
        </w:rPr>
        <w:commentReference w:id="17"/>
      </w:r>
      <w:r>
        <w:t>. If dot11QMFActivated is also true, the recipient shall maintain an additional replay counter for each ACI for received individually addressed robust</w:t>
      </w:r>
      <w:r w:rsidR="000E20DA">
        <w:rPr>
          <w:u w:val="single"/>
        </w:rPr>
        <w:t xml:space="preserve"> PV0</w:t>
      </w:r>
      <w:r>
        <w:t xml:space="preserve">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w:t>
      </w:r>
      <w:commentRangeStart w:id="18"/>
      <w:r w:rsidRPr="007C0D67">
        <w:rPr>
          <w:strike/>
        </w:rPr>
        <w:t>The QMF receiver shall use the ACI encoded in the Sequence Number field of the received frame to select the replay counter to use for the received frame, and shall use the PN from the received frame to detect replays</w:t>
      </w:r>
      <w:commentRangeEnd w:id="18"/>
      <w:r w:rsidR="007C0D67" w:rsidRPr="007C0D67">
        <w:rPr>
          <w:rStyle w:val="CommentReference"/>
          <w:strike/>
        </w:rPr>
        <w:commentReference w:id="18"/>
      </w:r>
      <w:r w:rsidRPr="007C0D67">
        <w:rPr>
          <w:strike/>
        </w:rPr>
        <w:t>.</w:t>
      </w:r>
      <w:commentRangeStart w:id="19"/>
      <w:r w:rsidRPr="00265A86">
        <w:rPr>
          <w:strike/>
        </w:rPr>
        <w:t xml:space="preserve"> A replayed frame occurs when the PN from the frame is less than or equal to the current value of the management frame replay counter that corresponds to the ACI of the frame.</w:t>
      </w:r>
      <w:commentRangeEnd w:id="19"/>
      <w:r w:rsidR="00175E87">
        <w:rPr>
          <w:rStyle w:val="CommentReference"/>
        </w:rPr>
        <w:commentReference w:id="19"/>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2E8CE075" w:rsidR="00A305C5" w:rsidRDefault="00A305C5" w:rsidP="00A305C5">
      <w:pPr>
        <w:ind w:left="720"/>
      </w:pPr>
      <w:r>
        <w:t>d) The receiver shall discard any Data frame that is received with its PN less than or equal to the value of the replay counter that is associated with the TA</w:t>
      </w:r>
      <w:r w:rsidR="00E20F1F">
        <w:rPr>
          <w:u w:val="single"/>
        </w:rPr>
        <w:t>, RA (individual or group address</w:t>
      </w:r>
      <w:r w:rsidR="00E5610A">
        <w:rPr>
          <w:u w:val="single"/>
        </w:rPr>
        <w:t>; not if TDLS</w:t>
      </w:r>
      <w:r w:rsidR="00E20F1F">
        <w:rPr>
          <w:u w:val="single"/>
        </w:rPr>
        <w:t>)</w:t>
      </w:r>
      <w:r>
        <w:t xml:space="preserve"> and priority value of the received MPDU. The receiver shall discard</w:t>
      </w:r>
      <w:r w:rsidR="00E20F1F">
        <w:rPr>
          <w:u w:val="single"/>
        </w:rPr>
        <w:t xml:space="preserve"> fragmented</w:t>
      </w:r>
      <w:r>
        <w:t xml:space="preserve"> MSDUs</w:t>
      </w:r>
      <w:r w:rsidR="00763CF3">
        <w:rPr>
          <w:u w:val="single"/>
        </w:rPr>
        <w:t>, A-MSDUs</w:t>
      </w:r>
      <w:r>
        <w:t xml:space="preserve">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robust</w:t>
      </w:r>
      <w:r w:rsidR="000E20DA">
        <w:rPr>
          <w:u w:val="single"/>
        </w:rPr>
        <w:t xml:space="preserve"> PV0</w:t>
      </w:r>
      <w:r w:rsidR="00265A86">
        <w:rPr>
          <w:u w:val="single"/>
        </w:rPr>
        <w:t xml:space="preserve">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45F2E243" w:rsidR="00A305C5" w:rsidRPr="001B0F3C" w:rsidRDefault="00311827" w:rsidP="00717B85">
      <w:r>
        <w:t>Change 12.5.2.3</w:t>
      </w:r>
      <w:r w:rsidR="001B0F3C" w:rsidRPr="001B0F3C">
        <w:t xml:space="preserve">.1 </w:t>
      </w:r>
      <w:r w:rsidR="00B34627">
        <w:t xml:space="preserve">General (under </w:t>
      </w:r>
      <w:r w:rsidRPr="00311827">
        <w:t>CCMP cryptographic encapsulation</w:t>
      </w:r>
      <w:r w:rsidR="00B34627">
        <w:t xml:space="preserve">) </w:t>
      </w:r>
      <w:r w:rsidR="001B0F3C" w:rsidRPr="001B0F3C">
        <w:t>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FC154B2" w:rsidR="001B0F3C" w:rsidRPr="001B0F3C" w:rsidRDefault="001B0F3C" w:rsidP="001B0F3C">
      <w:pPr>
        <w:ind w:left="720"/>
      </w:pPr>
      <w:r w:rsidRPr="0057286E">
        <w:rPr>
          <w:u w:val="single"/>
        </w:rPr>
        <w:t>NOTE</w:t>
      </w:r>
      <w:r>
        <w:rPr>
          <w:u w:val="single"/>
        </w:rPr>
        <w:t xml:space="preserve"> 3</w:t>
      </w:r>
      <w:r w:rsidRPr="0057286E">
        <w:rPr>
          <w:u w:val="single"/>
        </w:rPr>
        <w:t xml:space="preserv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57C4EC7D" w:rsidR="0097175F" w:rsidRDefault="0097175F" w:rsidP="001B0F3C">
      <w:pPr>
        <w:rPr>
          <w:u w:val="single"/>
        </w:rPr>
      </w:pPr>
    </w:p>
    <w:p w14:paraId="38B1609C" w14:textId="40201E84" w:rsidR="000E45DA" w:rsidRDefault="000E45DA" w:rsidP="000E45DA">
      <w:pPr>
        <w:ind w:firstLine="720"/>
        <w:rPr>
          <w:b/>
          <w:u w:val="single"/>
        </w:rPr>
      </w:pPr>
      <w:r w:rsidRPr="000E45DA">
        <w:rPr>
          <w:b/>
        </w:rPr>
        <w:t xml:space="preserve">12.5.3.4 BIP replay </w:t>
      </w:r>
      <w:r w:rsidRPr="000E45DA">
        <w:rPr>
          <w:b/>
          <w:strike/>
        </w:rPr>
        <w:t>protection</w:t>
      </w:r>
      <w:r>
        <w:rPr>
          <w:b/>
          <w:u w:val="single"/>
        </w:rPr>
        <w:t>counters and packet numbers</w:t>
      </w:r>
    </w:p>
    <w:p w14:paraId="2B3F852C" w14:textId="4D638378" w:rsidR="000E45DA" w:rsidRDefault="000E45DA" w:rsidP="000E45DA">
      <w:pPr>
        <w:ind w:firstLine="720"/>
        <w:rPr>
          <w:b/>
          <w:u w:val="single"/>
        </w:rPr>
      </w:pPr>
    </w:p>
    <w:p w14:paraId="7DB76683" w14:textId="2397400C" w:rsidR="000E45DA" w:rsidRPr="000E45DA" w:rsidRDefault="000E45DA" w:rsidP="000E45DA">
      <w:pPr>
        <w:ind w:firstLine="720"/>
        <w:rPr>
          <w:u w:val="single"/>
        </w:rPr>
      </w:pPr>
      <w:r>
        <w:rPr>
          <w:u w:val="single"/>
        </w:rPr>
        <w:t>[…]</w:t>
      </w:r>
    </w:p>
    <w:p w14:paraId="664B40F9" w14:textId="77777777" w:rsidR="000E45DA" w:rsidRDefault="000E45DA" w:rsidP="001B0F3C">
      <w:pPr>
        <w:rPr>
          <w:u w:val="single"/>
        </w:rPr>
      </w:pPr>
    </w:p>
    <w:p w14:paraId="06960054" w14:textId="364D8497" w:rsidR="000E45DA" w:rsidRPr="000E45DA" w:rsidRDefault="000E45DA" w:rsidP="000E45DA">
      <w:pPr>
        <w:ind w:left="720"/>
      </w:pPr>
      <w:r w:rsidRPr="000E45DA">
        <w:t>See 12.5.3.5 (BIP transmission) and 12.5.3.6 (BIP reception) for per frame BIP processing</w:t>
      </w:r>
      <w:r>
        <w:rPr>
          <w:u w:val="single"/>
        </w:rPr>
        <w:t>, including detection of replayed frames</w:t>
      </w:r>
      <w:r w:rsidRPr="000E45DA">
        <w:t>.</w:t>
      </w:r>
    </w:p>
    <w:p w14:paraId="5CC45FF5" w14:textId="3E299855" w:rsidR="000E45DA" w:rsidRDefault="000E45DA" w:rsidP="001B0F3C"/>
    <w:p w14:paraId="0330DB06" w14:textId="77777777" w:rsidR="000E45DA" w:rsidRPr="000E45DA" w:rsidRDefault="000E45DA" w:rsidP="000E45DA">
      <w:pPr>
        <w:ind w:firstLine="720"/>
        <w:rPr>
          <w:u w:val="single"/>
        </w:rPr>
      </w:pPr>
      <w:r>
        <w:rPr>
          <w:u w:val="single"/>
        </w:rPr>
        <w:t>[…]</w:t>
      </w:r>
    </w:p>
    <w:p w14:paraId="5CC5BF22" w14:textId="77777777" w:rsidR="000E45DA" w:rsidRPr="000E45DA" w:rsidRDefault="000E45DA" w:rsidP="001B0F3C"/>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 xml:space="preserve">received group addressed robust Management frames that use QMF. </w:t>
      </w:r>
      <w:commentRangeStart w:id="20"/>
      <w:r w:rsidRPr="007C0D67">
        <w:rPr>
          <w:strike/>
        </w:rPr>
        <w:t>The receiver shall use the ACI encoded in the Sequence Number field of received GQMFs protected by BIP to select the replay counter to use for the received frame, and shall use the IPN from the received frame to detect replays.</w:t>
      </w:r>
      <w:commentRangeEnd w:id="20"/>
      <w:r w:rsidR="007C0D67" w:rsidRPr="007C0D67">
        <w:rPr>
          <w:rStyle w:val="CommentReference"/>
          <w:strike/>
        </w:rPr>
        <w:commentReference w:id="20"/>
      </w:r>
    </w:p>
    <w:p w14:paraId="35060F9C" w14:textId="17A188E5" w:rsidR="0097175F" w:rsidRPr="001B0F3C" w:rsidRDefault="0097175F" w:rsidP="0097175F">
      <w:pPr>
        <w:ind w:left="720"/>
      </w:pPr>
      <w:r w:rsidRPr="0057286E">
        <w:rPr>
          <w:u w:val="single"/>
        </w:rPr>
        <w:t xml:space="preserve">NOTE—QMF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43682CA" w:rsidR="0097175F" w:rsidRDefault="0097175F" w:rsidP="0097175F">
      <w:pPr>
        <w:ind w:left="720"/>
        <w:rPr>
          <w:strike/>
        </w:rPr>
      </w:pPr>
      <w:r w:rsidRPr="002B4F67">
        <w:rPr>
          <w:strike/>
        </w:rPr>
        <w:t>If dot11RSNAProtectedManagementFramesActivated is true</w:t>
      </w:r>
      <w:r w:rsidR="002B4F67" w:rsidRPr="002B4F67">
        <w:rPr>
          <w:u w:val="single"/>
        </w:rPr>
        <w:t>When management frame protection is negotiated</w:t>
      </w:r>
      <w:r w:rsidRPr="002B4F67">
        <w:rPr>
          <w:strike/>
        </w:rPr>
        <w:t xml:space="preserve"> and dot11MeshSecurityActivated is true</w:t>
      </w:r>
      <w:r w:rsidRPr="0097175F">
        <w:t>, the</w:t>
      </w:r>
      <w:r>
        <w:t xml:space="preserve"> </w:t>
      </w:r>
      <w:r w:rsidRPr="0097175F">
        <w:t>recipient shall maintain a single replay counter for received group addressed robust Management frames that</w:t>
      </w:r>
      <w:r>
        <w:t xml:space="preserve"> </w:t>
      </w:r>
      <w:r w:rsidRPr="0097175F">
        <w:t>do not use the QMF service</w:t>
      </w:r>
      <w:commentRangeStart w:id="21"/>
      <w:r w:rsidRPr="00FE52B1">
        <w:rPr>
          <w:strike/>
        </w:rPr>
        <w:t xml:space="preserve"> and shall use the PN from the received frame to detect replays</w:t>
      </w:r>
      <w:commentRangeEnd w:id="21"/>
      <w:r w:rsidR="00FE52B1">
        <w:rPr>
          <w:rStyle w:val="CommentReference"/>
        </w:rPr>
        <w:commentReference w:id="21"/>
      </w:r>
      <w:r w:rsidRPr="0097175F">
        <w:t>. If</w:t>
      </w:r>
      <w:r>
        <w:t xml:space="preserve"> </w:t>
      </w:r>
      <w:r w:rsidRPr="0097175F">
        <w:t>dot11QMFActivated is also true, the recipient shall maintain an additional replay counter for each ACI for</w:t>
      </w:r>
      <w:r>
        <w:t xml:space="preserve"> </w:t>
      </w:r>
      <w:r w:rsidRPr="0097175F">
        <w:t xml:space="preserve">received group addressed robust Management frames that use the QMF service. </w:t>
      </w:r>
      <w:commentRangeStart w:id="22"/>
      <w:r w:rsidRPr="00AE52D3">
        <w:rPr>
          <w:strike/>
        </w:rPr>
        <w:t xml:space="preserve">The QMF receiver shall use the ACI encoded in the Sequence Number field of the received frame to select the replay counter to use for the received frame, and shall use the PN from the received frame to detect replays. A replayed </w:t>
      </w:r>
      <w:r w:rsidRPr="00F32B18">
        <w:rPr>
          <w:strike/>
        </w:rPr>
        <w:t>frame occurs when the PN from the frame is less than or equal to the value of the management frame replay counter that corresponds to the ACI of the frame.</w:t>
      </w:r>
      <w:commentRangeEnd w:id="22"/>
      <w:r w:rsidR="00AE52D3">
        <w:rPr>
          <w:rStyle w:val="CommentReference"/>
        </w:rPr>
        <w:commentReference w:id="22"/>
      </w:r>
      <w:r w:rsidRPr="00AA13D7">
        <w:t xml:space="preserve"> </w:t>
      </w:r>
      <w:r w:rsidR="00AA13D7" w:rsidRPr="00773286">
        <w:rPr>
          <w:u w:val="single"/>
        </w:rPr>
        <w:t xml:space="preserve">When the QMF service is </w:t>
      </w:r>
      <w:r w:rsidR="00AA13D7">
        <w:rPr>
          <w:u w:val="single"/>
        </w:rPr>
        <w:t xml:space="preserve">not </w:t>
      </w:r>
      <w:r w:rsidR="00AA13D7" w:rsidRPr="00773286">
        <w:rPr>
          <w:u w:val="single"/>
        </w:rPr>
        <w:t>used, t</w:t>
      </w:r>
      <w:r w:rsidR="00AA13D7" w:rsidRPr="00773286">
        <w:rPr>
          <w:strike/>
        </w:rPr>
        <w:t>T</w:t>
      </w:r>
      <w:r w:rsidRPr="00AA13D7">
        <w:t xml:space="preserve">he transmitter shall preserve the order of protected </w:t>
      </w:r>
      <w:r w:rsidR="00AA13D7">
        <w:rPr>
          <w:u w:val="single"/>
        </w:rPr>
        <w:t xml:space="preserve">group addressed </w:t>
      </w:r>
      <w:r w:rsidRPr="00AA13D7">
        <w:t xml:space="preserve">robust Management frames </w:t>
      </w:r>
      <w:r w:rsidR="008F64F2">
        <w:rPr>
          <w:u w:val="single"/>
        </w:rPr>
        <w:t xml:space="preserve">that are </w:t>
      </w:r>
      <w:r w:rsidRPr="00AA13D7">
        <w:t xml:space="preserve">transmitted to the same </w:t>
      </w:r>
      <w:r w:rsidR="00AA13D7" w:rsidRPr="00436E31">
        <w:rPr>
          <w:strike/>
        </w:rPr>
        <w:t>D</w:t>
      </w:r>
      <w:r w:rsidR="00AA13D7" w:rsidRPr="00436E31">
        <w:rPr>
          <w:u w:val="single"/>
        </w:rPr>
        <w:t>R</w:t>
      </w:r>
      <w:r w:rsidR="00AA13D7">
        <w:t>A</w:t>
      </w:r>
      <w:r w:rsidR="00AA13D7" w:rsidRPr="00773286">
        <w:rPr>
          <w:strike/>
        </w:rPr>
        <w:t xml:space="preserve"> without the QMF service</w:t>
      </w:r>
      <w:r w:rsidRPr="00AA13D7">
        <w:t>. When the QMF service is used, the transmitter shall</w:t>
      </w:r>
      <w:r w:rsidR="00AA13D7" w:rsidRPr="00436E31">
        <w:rPr>
          <w:strike/>
        </w:rPr>
        <w:t xml:space="preserve"> not reorder</w:t>
      </w:r>
      <w:r w:rsidR="00AA13D7" w:rsidRPr="00436E31">
        <w:rPr>
          <w:u w:val="single"/>
        </w:rPr>
        <w:t xml:space="preserve"> preserve the order of</w:t>
      </w:r>
      <w:r w:rsidR="00AA13D7">
        <w:rPr>
          <w:u w:val="single"/>
        </w:rPr>
        <w:t xml:space="preserve"> protected</w:t>
      </w:r>
      <w:r w:rsidRPr="00AA13D7">
        <w:t xml:space="preserve"> robust GQMFs within an AC </w:t>
      </w:r>
      <w:commentRangeStart w:id="23"/>
      <w:r w:rsidRPr="00AA13D7">
        <w:rPr>
          <w:strike/>
        </w:rPr>
        <w:t>when the frames</w:t>
      </w:r>
      <w:r w:rsidR="00AA13D7">
        <w:rPr>
          <w:u w:val="single"/>
        </w:rPr>
        <w:t>that</w:t>
      </w:r>
      <w:r w:rsidRPr="00AA13D7">
        <w:t xml:space="preserve"> are transmitted to the same RA</w:t>
      </w:r>
      <w:commentRangeEnd w:id="23"/>
      <w:r w:rsidR="00DF1ED8" w:rsidRPr="00AA13D7">
        <w:rPr>
          <w:rStyle w:val="CommentReference"/>
        </w:rPr>
        <w:commentReference w:id="23"/>
      </w:r>
      <w:r w:rsidRPr="00AA13D7">
        <w:t>.</w:t>
      </w:r>
    </w:p>
    <w:p w14:paraId="5087E719" w14:textId="6C897B2C" w:rsidR="0097175F" w:rsidRDefault="0097175F" w:rsidP="001B0F3C">
      <w:pPr>
        <w:rPr>
          <w:u w:val="single"/>
        </w:rPr>
      </w:pPr>
    </w:p>
    <w:p w14:paraId="4CF09222" w14:textId="49E59C6D" w:rsidR="00773286" w:rsidRDefault="00773286" w:rsidP="001B0F3C">
      <w:r>
        <w:t xml:space="preserve">Change </w:t>
      </w:r>
      <w:r w:rsidRPr="00773286">
        <w:t>12.5.2.3.7 CCM originator processing</w:t>
      </w:r>
      <w:r>
        <w:t xml:space="preserve"> as follows:</w:t>
      </w:r>
    </w:p>
    <w:p w14:paraId="08AEE2EF" w14:textId="2E757E56" w:rsidR="00773286" w:rsidRDefault="00773286" w:rsidP="001B0F3C"/>
    <w:p w14:paraId="6C7C85A0" w14:textId="419DF007" w:rsidR="00773286" w:rsidRDefault="00773286" w:rsidP="00773286">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t xml:space="preserve">he transmitter shall </w:t>
      </w:r>
      <w:commentRangeStart w:id="24"/>
      <w:r>
        <w:t xml:space="preserve">preserve the order of protected </w:t>
      </w:r>
      <w:r w:rsidR="00AA13D7">
        <w:rPr>
          <w:u w:val="single"/>
        </w:rPr>
        <w:t xml:space="preserve">individually addressed </w:t>
      </w:r>
      <w:r>
        <w:t>robust Management frames</w:t>
      </w:r>
      <w:commentRangeEnd w:id="24"/>
      <w:r w:rsidR="00436E31">
        <w:rPr>
          <w:rStyle w:val="CommentReference"/>
        </w:rPr>
        <w:commentReference w:id="24"/>
      </w:r>
      <w:r>
        <w:t xml:space="preserve"> that are transmitted to the same </w:t>
      </w:r>
      <w:r w:rsidRPr="00436E31">
        <w:rPr>
          <w:strike/>
        </w:rPr>
        <w:t>D</w:t>
      </w:r>
      <w:r w:rsidR="00436E31" w:rsidRPr="00436E31">
        <w:rPr>
          <w:u w:val="single"/>
        </w:rPr>
        <w:t>R</w:t>
      </w:r>
      <w:r>
        <w:t>A</w:t>
      </w:r>
      <w:r w:rsidRPr="00773286">
        <w:rPr>
          <w:strike/>
        </w:rPr>
        <w:t xml:space="preserve"> without the QMF service</w:t>
      </w:r>
      <w:r>
        <w:t>. When the QMF service is used, the transmitter shall</w:t>
      </w:r>
      <w:r w:rsidRPr="00436E31">
        <w:rPr>
          <w:strike/>
        </w:rPr>
        <w:t xml:space="preserve"> not reorder</w:t>
      </w:r>
      <w:r w:rsidR="00436E31" w:rsidRPr="00436E31">
        <w:rPr>
          <w:u w:val="single"/>
        </w:rPr>
        <w:t xml:space="preserve"> preserve the order of</w:t>
      </w:r>
      <w:r w:rsidR="00436E31">
        <w:rPr>
          <w:u w:val="single"/>
        </w:rPr>
        <w:t xml:space="preserve"> protected</w:t>
      </w:r>
      <w:r>
        <w:t xml:space="preserve"> robust </w:t>
      </w:r>
      <w:r w:rsidRPr="00AA13D7">
        <w:t>I</w:t>
      </w:r>
      <w:r>
        <w:t xml:space="preserve">QMFs within an AC </w:t>
      </w:r>
      <w:r w:rsidRPr="00436E31">
        <w:rPr>
          <w:strike/>
        </w:rPr>
        <w:t>when the frames</w:t>
      </w:r>
      <w:r w:rsidR="00436E31">
        <w:rPr>
          <w:u w:val="single"/>
        </w:rPr>
        <w:t>that</w:t>
      </w:r>
      <w:r>
        <w:t xml:space="preserve"> are transmitted to the same RA.</w:t>
      </w:r>
    </w:p>
    <w:p w14:paraId="678F9C51" w14:textId="77777777" w:rsidR="00773286" w:rsidRDefault="00773286" w:rsidP="001B0F3C"/>
    <w:p w14:paraId="71473CD8" w14:textId="42FFBA01"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400BB465" w:rsidR="0097175F" w:rsidRPr="0097175F" w:rsidRDefault="0097175F" w:rsidP="0097175F">
      <w:pPr>
        <w:ind w:left="720"/>
      </w:pPr>
      <w:r w:rsidRPr="0097175F">
        <w:t xml:space="preserve">NOTE—QMF is not supported for PV1 </w:t>
      </w:r>
      <w:r w:rsidR="004E756A">
        <w:t xml:space="preserve">Management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2D28A73B" w14:textId="05142DA2" w:rsidR="00194B5A" w:rsidRDefault="00194B5A" w:rsidP="00194B5A">
      <w:r>
        <w:t xml:space="preserve">Change </w:t>
      </w:r>
      <w:r w:rsidRPr="00194B5A">
        <w:t>12.5.4.4.4 PN and replay detection</w:t>
      </w:r>
      <w:r>
        <w:t xml:space="preserve"> as follows:</w:t>
      </w:r>
    </w:p>
    <w:p w14:paraId="1F415930" w14:textId="4671853C" w:rsidR="00194B5A" w:rsidRDefault="00194B5A" w:rsidP="001B0F3C">
      <w:pPr>
        <w:rPr>
          <w:u w:val="single"/>
        </w:rPr>
      </w:pPr>
    </w:p>
    <w:p w14:paraId="4F3FF7B3" w14:textId="2C44FED1" w:rsidR="00194B5A" w:rsidRPr="00194B5A" w:rsidRDefault="00194B5A" w:rsidP="00194B5A">
      <w:pPr>
        <w:ind w:left="720"/>
      </w:pPr>
      <w:r w:rsidRPr="00194B5A">
        <w:lastRenderedPageBreak/>
        <w:t>b) For each PTKSA, (#166)TPKSA, GTKSA, mesh PTKSA, and mesh GTKSA(#239), the recipient</w:t>
      </w:r>
      <w:r>
        <w:t xml:space="preserve"> </w:t>
      </w:r>
      <w:r w:rsidRPr="00194B5A">
        <w:t>shall maintain a separate replay counter for each TID, subject to the limitation of the number of</w:t>
      </w:r>
      <w:r>
        <w:t xml:space="preserve"> </w:t>
      </w:r>
      <w:r w:rsidRPr="00194B5A">
        <w:t>supported replay counters indicated in the RSN Capabilities field (see 9.4.2.24 (RSNE))</w:t>
      </w:r>
      <w:r w:rsidRPr="00194B5A">
        <w:rPr>
          <w:strike/>
        </w:rPr>
        <w:t>, and shall use the PN from a received frame to detect replayed frames. A replayed frame occurs when the PN from a received frame is less than or equal to the current replay counter value for the frame’s MSDU or A-MSDU priority and frame type</w:t>
      </w:r>
      <w:r w:rsidRPr="00194B5A">
        <w:t xml:space="preserve">. </w:t>
      </w:r>
    </w:p>
    <w:p w14:paraId="5C944695" w14:textId="77777777" w:rsidR="00194B5A" w:rsidRDefault="00194B5A" w:rsidP="00194B5A">
      <w:pPr>
        <w:ind w:left="720"/>
      </w:pPr>
    </w:p>
    <w:p w14:paraId="184BDA78" w14:textId="6DEA9CF5" w:rsidR="00194B5A" w:rsidRPr="00194B5A" w:rsidRDefault="00194B5A" w:rsidP="00194B5A">
      <w:pPr>
        <w:ind w:left="720"/>
      </w:pPr>
      <w:r w:rsidRPr="00194B5A">
        <w:t>(#171)NOTE—For the purpose of replay detection, non-QoS Data frames are t</w:t>
      </w:r>
      <w:r>
        <w:t xml:space="preserve">reated as having TID 0, and use </w:t>
      </w:r>
      <w:r w:rsidRPr="00194B5A">
        <w:t>the reply counter corresponding to MSDU priority 0.</w:t>
      </w:r>
    </w:p>
    <w:p w14:paraId="3764FF14" w14:textId="77777777" w:rsidR="00194B5A" w:rsidRDefault="00194B5A" w:rsidP="00194B5A">
      <w:pPr>
        <w:ind w:left="720"/>
      </w:pPr>
    </w:p>
    <w:p w14:paraId="0A4ED675" w14:textId="4DEA7A5C" w:rsidR="00194B5A" w:rsidRPr="00194B5A" w:rsidRDefault="00194B5A" w:rsidP="00194B5A">
      <w:pPr>
        <w:ind w:left="720"/>
      </w:pPr>
      <w:r w:rsidRPr="00194B5A">
        <w:t>c) (#199)If the recipient set the MFPC bit on a given link to 1, it shall maintain</w:t>
      </w:r>
      <w:r>
        <w:t xml:space="preserve"> a single replay counter </w:t>
      </w:r>
      <w:r w:rsidRPr="00194B5A">
        <w:t>for received individually addressed robust Management frames that are received with the To DS</w:t>
      </w:r>
      <w:r>
        <w:t xml:space="preserve"> </w:t>
      </w:r>
      <w:r w:rsidRPr="00194B5A">
        <w:t>subfield equal to 0</w:t>
      </w:r>
      <w:r w:rsidRPr="00194B5A">
        <w:rPr>
          <w:strike/>
        </w:rPr>
        <w:t xml:space="preserve"> and shall use the PN from the received frame to detect replays</w:t>
      </w:r>
      <w:r w:rsidRPr="00194B5A">
        <w:t>. If</w:t>
      </w:r>
      <w:r>
        <w:t xml:space="preserve"> </w:t>
      </w:r>
      <w:r w:rsidRPr="00194B5A">
        <w:t>dot11QMFActivated is also true, the recipient shall maintain an additional replay counter for each</w:t>
      </w:r>
      <w:r>
        <w:t xml:space="preserve"> </w:t>
      </w:r>
      <w:r w:rsidRPr="00194B5A">
        <w:t>ACI for received individually addressed robust Management frames that are received with the To</w:t>
      </w:r>
      <w:r>
        <w:t xml:space="preserve"> </w:t>
      </w:r>
      <w:r w:rsidRPr="00194B5A">
        <w:t>DS subfield equal to 1.</w:t>
      </w:r>
      <w:r w:rsidRPr="007F28C0">
        <w:rPr>
          <w:strike/>
        </w:rPr>
        <w:t xml:space="preserv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p>
    <w:p w14:paraId="0B33030A" w14:textId="22B8CF37" w:rsidR="007F28C0" w:rsidRPr="0057286E" w:rsidRDefault="007F28C0" w:rsidP="007F28C0">
      <w:pPr>
        <w:ind w:left="720"/>
      </w:pPr>
      <w:r w:rsidRPr="0057286E">
        <w:rPr>
          <w:u w:val="single"/>
        </w:rPr>
        <w:t>NOTE—PV1 frames</w:t>
      </w:r>
      <w:r>
        <w:rPr>
          <w:u w:val="single"/>
        </w:rPr>
        <w:t xml:space="preserve"> are not supported with GCMP (see 12.5.4.1)</w:t>
      </w:r>
      <w:r w:rsidRPr="0057286E">
        <w:rPr>
          <w:u w:val="single"/>
        </w:rPr>
        <w:t>.</w:t>
      </w:r>
    </w:p>
    <w:p w14:paraId="3A948CF8" w14:textId="77777777" w:rsidR="00194B5A" w:rsidRDefault="00194B5A" w:rsidP="00194B5A">
      <w:pPr>
        <w:ind w:left="720"/>
      </w:pPr>
    </w:p>
    <w:p w14:paraId="0C1127F7" w14:textId="7C6B9FC9" w:rsidR="00194B5A" w:rsidRPr="00194B5A" w:rsidRDefault="00194B5A" w:rsidP="00194B5A">
      <w:pPr>
        <w:ind w:left="720"/>
      </w:pPr>
      <w:r w:rsidRPr="00194B5A">
        <w:t xml:space="preserve">d) The receiver shall discard any Data frame that is received with its PN </w:t>
      </w:r>
      <w:r>
        <w:t xml:space="preserve">less than or equal to the value </w:t>
      </w:r>
      <w:r w:rsidRPr="00194B5A">
        <w:t>of the replay counter that is associated with the TA</w:t>
      </w:r>
      <w:r w:rsidR="007F28C0">
        <w:rPr>
          <w:u w:val="single"/>
        </w:rPr>
        <w:t>, RA (individual or group address; not if TDLS)</w:t>
      </w:r>
      <w:r w:rsidRPr="00194B5A">
        <w:t xml:space="preserve"> and priority value of the received MPDU. The</w:t>
      </w:r>
      <w:r>
        <w:t xml:space="preserve"> </w:t>
      </w:r>
      <w:r w:rsidRPr="00194B5A">
        <w:t>receiver shall discard</w:t>
      </w:r>
      <w:r w:rsidR="007F28C0">
        <w:rPr>
          <w:u w:val="single"/>
        </w:rPr>
        <w:t xml:space="preserve"> fragmented</w:t>
      </w:r>
      <w:r w:rsidR="007F28C0">
        <w:t xml:space="preserve"> MSDUs</w:t>
      </w:r>
      <w:r w:rsidR="007F28C0">
        <w:rPr>
          <w:u w:val="single"/>
        </w:rPr>
        <w:t>, A-MSDUs</w:t>
      </w:r>
      <w:r w:rsidRPr="00194B5A">
        <w:t xml:space="preserve"> and MMPDUs whose constituent MPDU PN values are not</w:t>
      </w:r>
      <w:r>
        <w:t xml:space="preserve"> </w:t>
      </w:r>
      <w:r w:rsidRPr="00194B5A">
        <w:t>incrementing in steps of 1. If the receiver set the MFPC bit on a given link to 1, it(#199) shall</w:t>
      </w:r>
      <w:r>
        <w:t xml:space="preserve"> </w:t>
      </w:r>
      <w:r w:rsidRPr="00194B5A">
        <w:t>discard any individually addressed robust Management frame that is received with its PN less than</w:t>
      </w:r>
      <w:r>
        <w:t xml:space="preserve"> </w:t>
      </w:r>
      <w:r w:rsidRPr="00194B5A">
        <w:t>or equal to the value of the replay counter associated with the TA</w:t>
      </w:r>
      <w:r w:rsidR="007F28C0">
        <w:rPr>
          <w:u w:val="single"/>
        </w:rPr>
        <w:t xml:space="preserve"> and (QMF receiver of an individually addressed robust Management frame with the To DS subfield equal to 1 only) ACI</w:t>
      </w:r>
      <w:r w:rsidRPr="00194B5A">
        <w:t xml:space="preserve"> of that individually addressed</w:t>
      </w:r>
      <w:r>
        <w:t xml:space="preserve"> </w:t>
      </w:r>
      <w:r w:rsidRPr="00194B5A">
        <w:t>Management frame.</w:t>
      </w:r>
    </w:p>
    <w:p w14:paraId="1A44E5AB" w14:textId="36EBBFA2" w:rsidR="007F28C0" w:rsidRDefault="007F28C0" w:rsidP="007F28C0"/>
    <w:p w14:paraId="0D236BA4" w14:textId="3398BBF6" w:rsidR="007F28C0" w:rsidRDefault="007F28C0" w:rsidP="007F28C0">
      <w:r>
        <w:t xml:space="preserve">Change </w:t>
      </w:r>
      <w:r w:rsidRPr="007F28C0">
        <w:t>12.5.4.3.6 GCM originator processing</w:t>
      </w:r>
      <w:r>
        <w:t xml:space="preserve"> as follows:</w:t>
      </w:r>
    </w:p>
    <w:p w14:paraId="056F974D" w14:textId="094FBDB1" w:rsidR="007F28C0" w:rsidRDefault="007F28C0" w:rsidP="007F28C0"/>
    <w:p w14:paraId="532CF4AF" w14:textId="1E04CCA6" w:rsidR="007F28C0" w:rsidRDefault="0056064C" w:rsidP="007F28C0">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rsidR="007F28C0">
        <w:t xml:space="preserve">he transmitter shall preserve the order of protected </w:t>
      </w:r>
      <w:r>
        <w:rPr>
          <w:u w:val="single"/>
        </w:rPr>
        <w:t xml:space="preserve">individually addressed </w:t>
      </w:r>
      <w:r w:rsidR="007F28C0">
        <w:t xml:space="preserve">robust Management frames that are transmitted to the same </w:t>
      </w:r>
      <w:r w:rsidRPr="00436E31">
        <w:rPr>
          <w:strike/>
        </w:rPr>
        <w:t>D</w:t>
      </w:r>
      <w:r w:rsidRPr="00436E31">
        <w:rPr>
          <w:u w:val="single"/>
        </w:rPr>
        <w:t>R</w:t>
      </w:r>
      <w:r>
        <w:t>A</w:t>
      </w:r>
      <w:r w:rsidRPr="00773286">
        <w:rPr>
          <w:strike/>
        </w:rPr>
        <w:t xml:space="preserve"> without the QMF service</w:t>
      </w:r>
      <w:r w:rsidR="007F28C0">
        <w:t>. When the QMF service is used, the transmitter shall</w:t>
      </w:r>
      <w:r w:rsidRPr="00436E31">
        <w:rPr>
          <w:strike/>
        </w:rPr>
        <w:t xml:space="preserve"> not reorder</w:t>
      </w:r>
      <w:r w:rsidRPr="00436E31">
        <w:rPr>
          <w:u w:val="single"/>
        </w:rPr>
        <w:t xml:space="preserve"> preserve the order of</w:t>
      </w:r>
      <w:r>
        <w:rPr>
          <w:u w:val="single"/>
        </w:rPr>
        <w:t xml:space="preserve"> protected</w:t>
      </w:r>
      <w:r w:rsidR="007F28C0">
        <w:t xml:space="preserve"> robust IQMFs within an AC</w:t>
      </w:r>
      <w:r>
        <w:t xml:space="preserve"> </w:t>
      </w:r>
      <w:r w:rsidRPr="00436E31">
        <w:rPr>
          <w:strike/>
        </w:rPr>
        <w:t>when the frames</w:t>
      </w:r>
      <w:r>
        <w:rPr>
          <w:u w:val="single"/>
        </w:rPr>
        <w:t>that</w:t>
      </w:r>
      <w:r w:rsidR="007F28C0">
        <w:t xml:space="preserve"> are transmitted to the same RA.</w:t>
      </w:r>
    </w:p>
    <w:p w14:paraId="25A63E09" w14:textId="77777777" w:rsidR="00194B5A" w:rsidRDefault="00194B5A"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rsidRPr="00DF24BA">
        <w:rPr>
          <w:highlight w:val="green"/>
        </w:rPr>
        <w:t>REVISED</w:t>
      </w:r>
    </w:p>
    <w:p w14:paraId="41DABD81" w14:textId="77777777" w:rsidR="00717B85" w:rsidRDefault="00717B85" w:rsidP="00717B85"/>
    <w:p w14:paraId="7FA4D5E7" w14:textId="0C2A79BC"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r w:rsidR="002B4F67">
        <w:t xml:space="preserve">  They also disallow QMF with PV1 Management frames and allow BIP to be used in non-mesh BSSes, and allow for fragmentation of A-MSDUs (dynamic, per 11ax).</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rsidRPr="00C64AE3">
        <w:rPr>
          <w:highlight w:val="green"/>
        </w:rP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rsidRPr="00051258">
        <w:rPr>
          <w:highlight w:val="green"/>
        </w:rP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25"/>
      <w:r w:rsidR="009866FE">
        <w:rPr>
          <w:u w:val="single"/>
        </w:rPr>
        <w:t>except that MLME-ADDBA primitives are not used</w:t>
      </w:r>
      <w:commentRangeEnd w:id="25"/>
      <w:r w:rsidR="001E0F7A">
        <w:rPr>
          <w:rStyle w:val="CommentReference"/>
        </w:rPr>
        <w:commentReference w:id="25"/>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rsidRPr="004727D6">
        <w:rPr>
          <w:highlight w:val="green"/>
        </w:rP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26"/>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26"/>
      <w:r w:rsidR="00B615F9">
        <w:rPr>
          <w:rStyle w:val="CommentReference"/>
        </w:rPr>
        <w:commentReference w:id="26"/>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rsidRPr="00C64AE3">
        <w:rPr>
          <w:highlight w:val="green"/>
        </w:rP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27063B1B" w14:textId="7B5B5297" w:rsidR="00A823CE" w:rsidRDefault="00445325" w:rsidP="00445325">
      <w:r w:rsidRPr="00445325">
        <w:t>Here</w:t>
      </w:r>
      <w:r>
        <w:t xml:space="preserve"> are the instances of “drop” excluding those adjacent to { </w:t>
      </w:r>
      <w:r w:rsidRPr="00B6449B">
        <w:t>eligib protectedframe dot11 level eaves</w:t>
      </w:r>
      <w:r>
        <w:t xml:space="preserve"> }</w:t>
      </w:r>
      <w:r w:rsidR="00A823CE">
        <w:t>.</w:t>
      </w:r>
    </w:p>
    <w:p w14:paraId="797C7731" w14:textId="77777777" w:rsidR="009C6015" w:rsidRDefault="009C6015" w:rsidP="00445325"/>
    <w:p w14:paraId="74BEAA26" w14:textId="7F8918B7" w:rsidR="00445325" w:rsidRDefault="00A823CE" w:rsidP="00445325">
      <w:r>
        <w:t>Change</w:t>
      </w:r>
      <w:r w:rsidR="00F529AB">
        <w:t xml:space="preserve"> “drop”</w:t>
      </w:r>
      <w:r w:rsidR="000B38C9">
        <w:t>/“dropped”</w:t>
      </w:r>
      <w:r w:rsidR="00F529AB">
        <w:t xml:space="preserve"> highlighted in yellow to “discard”</w:t>
      </w:r>
      <w:r w:rsidR="000B38C9">
        <w:t>/“discarded”</w:t>
      </w:r>
      <w:r>
        <w:t>.</w:t>
      </w:r>
    </w:p>
    <w:p w14:paraId="49861699" w14:textId="6F236552" w:rsidR="00A823CE" w:rsidRDefault="00A823CE" w:rsidP="00445325">
      <w:r>
        <w:t>Change “drop”/“dropped” highlighted in green to “ignore”/“ignored”.</w:t>
      </w:r>
    </w:p>
    <w:p w14:paraId="3BF2EB1B" w14:textId="60FE0015" w:rsidR="00A823CE" w:rsidRDefault="00A823CE" w:rsidP="00445325">
      <w:r>
        <w:t>Do not change “drop”/“dropped” highlighted in magenta.</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216674BF" w:rsidR="00445325" w:rsidRDefault="00445325" w:rsidP="00445325">
      <w:r>
        <w:t xml:space="preserve">2628.17: If the GAMode associated with the Query Request is true and the advertisement server(#571) has no response to the Query Request, the advertisement server(#571) may </w:t>
      </w:r>
      <w:r w:rsidRPr="00A823CE">
        <w:rPr>
          <w:highlight w:val="green"/>
        </w:rPr>
        <w:t>drop</w:t>
      </w:r>
      <w:r>
        <w:t xml:space="preserve"> the request.</w:t>
      </w:r>
    </w:p>
    <w:p w14:paraId="7442FE62" w14:textId="7DE1EC49"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2E342B27" w:rsidR="00445325" w:rsidRDefault="00445325" w:rsidP="00445325">
      <w:r>
        <w:t xml:space="preserve">2629.49: If the query response is subsequently received from the advertisement server(#571), it shall be </w:t>
      </w:r>
      <w:r w:rsidRPr="00A823CE">
        <w:rPr>
          <w:highlight w:val="green"/>
        </w:rPr>
        <w:t>dropped</w:t>
      </w:r>
      <w:r>
        <w:t xml:space="preserve"> by the responding STA.</w:t>
      </w:r>
    </w:p>
    <w:p w14:paraId="5C6D3A5A" w14:textId="52B14C93" w:rsidR="00445325" w:rsidRPr="00445325" w:rsidRDefault="00445325" w:rsidP="00445325">
      <w:r>
        <w:t xml:space="preserve">2629.57: NOTE—If there is no response to the Query Request, the advertisement server(#571) may </w:t>
      </w:r>
      <w:r w:rsidRPr="00A823CE">
        <w:rPr>
          <w:highlight w:val="green"/>
        </w:rPr>
        <w:t>drop</w:t>
      </w:r>
      <w:r>
        <w:t xml:space="preserve"> the request.</w:t>
      </w:r>
    </w:p>
    <w:p w14:paraId="7D7E598D" w14:textId="33BF3B35"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A823CE">
        <w:rPr>
          <w:highlight w:val="green"/>
        </w:rPr>
        <w:t>dropped</w:t>
      </w:r>
      <w:r w:rsidRPr="00445325">
        <w:t xml:space="preserve"> by the responding STA.</w:t>
      </w:r>
    </w:p>
    <w:p w14:paraId="7411CA6D" w14:textId="27BD69F1" w:rsidR="00445325" w:rsidRDefault="00445325" w:rsidP="00445325">
      <w:r>
        <w:t xml:space="preserve">2630.24: If the query response is subsequently received from the advertisement server(#571), it shall be </w:t>
      </w:r>
      <w:r w:rsidRPr="00A823CE">
        <w:rPr>
          <w:highlight w:val="green"/>
        </w:rPr>
        <w:t>dropped</w:t>
      </w:r>
      <w:r>
        <w:t xml:space="preserve"> by the STA.</w:t>
      </w:r>
    </w:p>
    <w:p w14:paraId="7376DE77" w14:textId="66A68F81" w:rsidR="00445325" w:rsidRDefault="00445325" w:rsidP="00445325">
      <w:r>
        <w:t xml:space="preserve">2) If the Query Response received from the advertisement server(#571) is larger than dot11GASQueryResponseLengthLimit, it shall be </w:t>
      </w:r>
      <w:r w:rsidRPr="00A823CE">
        <w:rPr>
          <w:highlight w:val="green"/>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w:t>
      </w:r>
      <w:r w:rsidRPr="009C6015">
        <w:t>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lastRenderedPageBreak/>
        <w:t xml:space="preserve">2832.57: The mesh STA with the numerically greater of the two MAC addresses shall </w:t>
      </w:r>
      <w:r w:rsidRPr="00F529AB">
        <w:rPr>
          <w:highlight w:val="yellow"/>
        </w:rPr>
        <w:t>drop</w:t>
      </w:r>
      <w:r>
        <w:t xml:space="preserve"> the received SAE Commit message</w:t>
      </w:r>
    </w:p>
    <w:p w14:paraId="2AABA77C" w14:textId="7E742F57" w:rsidR="009A2605" w:rsidRDefault="009A2605" w:rsidP="009A2605">
      <w:r>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1C22B5DA"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3980A525" w14:textId="4CA08BE5" w:rsidR="00F529AB" w:rsidRDefault="00F529AB" w:rsidP="00F529AB"/>
    <w:p w14:paraId="46239F04" w14:textId="62B7DC90" w:rsidR="00BC704C" w:rsidRDefault="00C618FB" w:rsidP="00F529AB">
      <w:r>
        <w:t>C</w:t>
      </w:r>
      <w:r w:rsidR="00BC704C">
        <w:t>hange “ignore”</w:t>
      </w:r>
      <w:r w:rsidR="009C6015">
        <w:t>/“ignored”</w:t>
      </w:r>
      <w:r w:rsidR="00BC704C">
        <w:t xml:space="preserve"> to </w:t>
      </w:r>
      <w:r w:rsidR="00CA6EA7">
        <w:t>“</w:t>
      </w:r>
      <w:r w:rsidR="00BC704C">
        <w:t>discard</w:t>
      </w:r>
      <w:r w:rsidR="00CA6EA7">
        <w:t>”</w:t>
      </w:r>
      <w:r w:rsidR="009C6015">
        <w:t>/“discarded”</w:t>
      </w:r>
      <w:r w:rsidR="00BC704C">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w:t>
      </w:r>
      <w:r w:rsidRPr="009C6015">
        <w:t>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1A560BA9" w:rsidR="00BC704C" w:rsidRDefault="00BC704C" w:rsidP="00BC704C">
      <w:r>
        <w:lastRenderedPageBreak/>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w:t>
      </w:r>
      <w:r w:rsidR="009C6015">
        <w:rPr>
          <w:highlight w:val="yellow"/>
        </w:rPr>
        <w:t>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r w:rsidRPr="00BC704C">
        <w:rPr>
          <w:highlight w:val="yellow"/>
        </w:rPr>
        <w:t>ignore</w:t>
      </w:r>
      <w:r w:rsidRPr="009C6015">
        <w:t>s</w:t>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r w:rsidRPr="00E46892">
        <w:rPr>
          <w:highlight w:val="yellow"/>
        </w:rPr>
        <w:t>ignore</w:t>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E8D1FBB" w:rsidR="00E46892" w:rsidRDefault="00E46892" w:rsidP="00BC704C"/>
    <w:p w14:paraId="070754AE" w14:textId="3E9BA9AF" w:rsidR="00C618FB" w:rsidRDefault="00C618FB" w:rsidP="00BC704C">
      <w:r>
        <w:t>Change as follows:</w:t>
      </w:r>
    </w:p>
    <w:p w14:paraId="49A1F84D" w14:textId="77777777" w:rsidR="00C618FB" w:rsidRDefault="00C618FB" w:rsidP="00BC704C"/>
    <w:p w14:paraId="7C34672F" w14:textId="77777777" w:rsidR="00C618FB" w:rsidRPr="00BC704C" w:rsidRDefault="00C618FB" w:rsidP="00C618FB">
      <w:pPr>
        <w:rPr>
          <w:b/>
        </w:rPr>
      </w:pPr>
      <w:r w:rsidRPr="00BC704C">
        <w:rPr>
          <w:b/>
        </w:rPr>
        <w:t>11.2.3.6 AP operation</w:t>
      </w:r>
    </w:p>
    <w:p w14:paraId="016774DB" w14:textId="6DFE56C2" w:rsidR="00C618FB" w:rsidRDefault="00C618FB" w:rsidP="00C618FB">
      <w:r>
        <w:t xml:space="preserve">Until the transmission of this BU either has succeeded or is presumed failed (when maximum retries are exceeded), the AP shall acknowledge </w:t>
      </w:r>
      <w:r w:rsidRPr="00C618FB">
        <w:rPr>
          <w:strike/>
        </w:rPr>
        <w:t>but ignore</w:t>
      </w:r>
      <w:r>
        <w:rPr>
          <w:u w:val="single"/>
        </w:rPr>
        <w:t xml:space="preserve"> t</w:t>
      </w:r>
      <w:r w:rsidRPr="00C618FB">
        <w:rPr>
          <w:u w:val="single"/>
        </w:rPr>
        <w:t>hen discard</w:t>
      </w:r>
      <w:r>
        <w:t xml:space="preserve"> all PS-Poll frames from the same STA.</w:t>
      </w:r>
    </w:p>
    <w:p w14:paraId="78FAB5EB" w14:textId="77777777" w:rsidR="00C618FB" w:rsidRDefault="00C618FB" w:rsidP="00C618FB"/>
    <w:p w14:paraId="14C66A8D" w14:textId="77777777" w:rsidR="00A823CE" w:rsidRPr="00BC704C" w:rsidRDefault="00A823CE" w:rsidP="00A823CE">
      <w:pPr>
        <w:rPr>
          <w:b/>
        </w:rPr>
      </w:pPr>
      <w:r w:rsidRPr="00BC704C">
        <w:rPr>
          <w:b/>
        </w:rPr>
        <w:t>11.31.3.2 Transitioning between states</w:t>
      </w:r>
    </w:p>
    <w:p w14:paraId="1AF25DD2" w14:textId="3E484997" w:rsidR="00A823CE" w:rsidRDefault="00A823CE" w:rsidP="00A823CE">
      <w:r>
        <w:t xml:space="preserve">Upon receipt of an FST Setup Request frame, the responder shall respond with an FST Setup Response frame unless it has a pending FST Setup Request frame addressed to the initiator and the responder has a numerically </w:t>
      </w:r>
      <w:r>
        <w:lastRenderedPageBreak/>
        <w:t xml:space="preserve">larger MAC address (see 12.7.1.1 (General) for comparison of MAC addresses) than the initiator’s MAC address, (#274)in which case the responder shall </w:t>
      </w:r>
      <w:r w:rsidRPr="00A823CE">
        <w:rPr>
          <w:strike/>
        </w:rPr>
        <w:t>ignore</w:t>
      </w:r>
      <w:r w:rsidRPr="00A823CE">
        <w:rPr>
          <w:u w:val="single"/>
        </w:rPr>
        <w:t>discard</w:t>
      </w:r>
      <w:r>
        <w:t xml:space="preserve"> the received FST Setup Request</w:t>
      </w:r>
      <w:r w:rsidRPr="00A823CE">
        <w:rPr>
          <w:u w:val="single"/>
        </w:rPr>
        <w:t xml:space="preserve"> frame</w:t>
      </w:r>
      <w:r>
        <w:t>.</w:t>
      </w:r>
    </w:p>
    <w:p w14:paraId="5F05F669" w14:textId="612EE8AA" w:rsidR="00A823CE" w:rsidRDefault="00A823CE" w:rsidP="00A823CE"/>
    <w:p w14:paraId="5B9362E8" w14:textId="77777777" w:rsidR="00A823CE" w:rsidRDefault="00A823CE" w:rsidP="00A823CE">
      <w:r>
        <w:t>Change at 2942.17 as follows:</w:t>
      </w:r>
    </w:p>
    <w:p w14:paraId="4D2138BF" w14:textId="77777777" w:rsidR="00A823CE" w:rsidRDefault="00A823CE" w:rsidP="00A823CE"/>
    <w:p w14:paraId="4BA11F39" w14:textId="27EF603B" w:rsidR="00A823CE" w:rsidRDefault="00A823CE" w:rsidP="00A823CE">
      <w:r>
        <w:t xml:space="preserve">Any (#1836)EAPOL-Key PDUs with an invalid MIC are </w:t>
      </w:r>
      <w:r w:rsidRPr="00A823CE">
        <w:rPr>
          <w:strike/>
        </w:rPr>
        <w:t>dropped and ignored</w:t>
      </w:r>
      <w:r w:rsidRPr="00A823CE">
        <w:rPr>
          <w:u w:val="single"/>
        </w:rPr>
        <w:t>discarded</w:t>
      </w:r>
      <w:r>
        <w:t>.</w:t>
      </w:r>
    </w:p>
    <w:p w14:paraId="126190B7" w14:textId="1298B269" w:rsidR="00A823CE" w:rsidRDefault="00A823CE" w:rsidP="00C618FB"/>
    <w:p w14:paraId="0C09DEAF" w14:textId="39692948" w:rsidR="00C618FB" w:rsidRDefault="00C618FB" w:rsidP="00C618FB">
      <w:r>
        <w:t>Change at 5683.52 as follows:</w:t>
      </w:r>
    </w:p>
    <w:p w14:paraId="14882599" w14:textId="77777777" w:rsidR="00C618FB" w:rsidRDefault="00C618FB" w:rsidP="00C618FB"/>
    <w:p w14:paraId="58635A54" w14:textId="7A6560A8" w:rsidR="00C618FB" w:rsidRPr="00A823CE" w:rsidRDefault="00C618FB" w:rsidP="00C618FB">
      <w:r w:rsidRPr="00A823CE">
        <w:t xml:space="preserve">With </w:t>
      </w:r>
      <w:r w:rsidRPr="00A823CE">
        <w:rPr>
          <w:i/>
        </w:rPr>
        <w:t>p</w:t>
      </w:r>
      <w:r w:rsidRPr="00A823CE">
        <w:t xml:space="preserve"> as the probability of </w:t>
      </w:r>
      <w:r w:rsidRPr="00A823CE">
        <w:rPr>
          <w:strike/>
        </w:rPr>
        <w:t>dropping</w:t>
      </w:r>
      <w:r w:rsidR="00A823CE" w:rsidRPr="00A823CE">
        <w:rPr>
          <w:u w:val="single"/>
        </w:rPr>
        <w:t>abandoning transmission of</w:t>
      </w:r>
      <w:r w:rsidRPr="00A823CE">
        <w:t xml:space="preserve"> the frame, and </w:t>
      </w:r>
      <w:r w:rsidRPr="00A823CE">
        <w:rPr>
          <w:i/>
        </w:rPr>
        <w:t>p</w:t>
      </w:r>
      <w:r w:rsidRPr="00A823CE">
        <w:rPr>
          <w:i/>
          <w:vertAlign w:val="subscript"/>
        </w:rPr>
        <w:t>e</w:t>
      </w:r>
      <w:r w:rsidRPr="00A823CE">
        <w:t xml:space="preserve"> as the probability of the frame not being transmitted successfully</w:t>
      </w:r>
      <w:r w:rsidR="00A823CE" w:rsidRPr="00A823CE">
        <w:rPr>
          <w:u w:val="single"/>
        </w:rPr>
        <w:t xml:space="preserve"> in a given frame exchange</w:t>
      </w:r>
      <w:r w:rsidRPr="00A823CE">
        <w:t xml:space="preserve"> (i.e., either the Data frame or the Ack frame associated with it is in error), let </w:t>
      </w:r>
      <w:r w:rsidRPr="00A823CE">
        <w:rPr>
          <w:i/>
        </w:rPr>
        <w:t>N</w:t>
      </w:r>
      <w:r w:rsidRPr="00A823CE">
        <w:rPr>
          <w:i/>
          <w:vertAlign w:val="subscript"/>
        </w:rPr>
        <w:t>p</w:t>
      </w:r>
      <w:r w:rsidRPr="00A823CE">
        <w:rPr>
          <w:i/>
        </w:rPr>
        <w:t xml:space="preserve"> </w:t>
      </w:r>
      <w:r w:rsidRPr="00A823CE">
        <w:t xml:space="preserve">be the number of retries required to maintain the probability of </w:t>
      </w:r>
      <w:r w:rsidR="00A823CE" w:rsidRPr="00A823CE">
        <w:rPr>
          <w:strike/>
        </w:rPr>
        <w:t>dropping</w:t>
      </w:r>
      <w:r w:rsidR="00A823CE" w:rsidRPr="00A823CE">
        <w:rPr>
          <w:u w:val="single"/>
        </w:rPr>
        <w:t>abandoning transmission of</w:t>
      </w:r>
      <w:r w:rsidRPr="00A823CE">
        <w:t xml:space="preserve"> the frame to be </w:t>
      </w:r>
      <w:r w:rsidRPr="00A823CE">
        <w:rPr>
          <w:i/>
        </w:rPr>
        <w:t>p</w:t>
      </w:r>
      <w:r w:rsidRPr="00A823CE">
        <w:t xml:space="preserve">. </w:t>
      </w:r>
    </w:p>
    <w:p w14:paraId="768D3037" w14:textId="13F2043B" w:rsidR="00C618FB" w:rsidRPr="00A823CE" w:rsidRDefault="00C618FB" w:rsidP="00C618FB">
      <w:r w:rsidRPr="00A823CE">
        <w:t xml:space="preserve">The probability of any given packet being </w:t>
      </w:r>
      <w:r w:rsidRPr="00A823CE">
        <w:rPr>
          <w:strike/>
        </w:rPr>
        <w:t>dropped</w:t>
      </w:r>
      <w:r w:rsidR="00A823CE" w:rsidRPr="00A823CE">
        <w:rPr>
          <w:u w:val="single"/>
        </w:rPr>
        <w:t>abandoned</w:t>
      </w:r>
      <w:r w:rsidRPr="00A823CE">
        <w:t xml:space="preserve"> in such a channel after </w:t>
      </w:r>
      <w:r w:rsidRPr="00A823CE">
        <w:rPr>
          <w:i/>
        </w:rPr>
        <w:t>N</w:t>
      </w:r>
      <w:r w:rsidRPr="00A823CE">
        <w:rPr>
          <w:i/>
          <w:vertAlign w:val="subscript"/>
        </w:rPr>
        <w:t>p</w:t>
      </w:r>
      <w:r w:rsidRPr="00A823CE">
        <w:t xml:space="preserve"> retries is given by</w:t>
      </w:r>
    </w:p>
    <w:p w14:paraId="217F96CF" w14:textId="29C2F7C9" w:rsidR="00C618FB" w:rsidRPr="00A823CE" w:rsidRDefault="00C618FB" w:rsidP="00C618FB">
      <w:pPr>
        <w:rPr>
          <w:i/>
          <w:vertAlign w:val="superscript"/>
        </w:rPr>
      </w:pPr>
      <w:r w:rsidRPr="00A823CE">
        <w:rPr>
          <w:i/>
        </w:rPr>
        <w:t>p</w:t>
      </w:r>
      <w:r w:rsidRPr="00A823CE">
        <w:rPr>
          <w:i/>
          <w:strike/>
          <w:vertAlign w:val="subscript"/>
        </w:rPr>
        <w:t>drop</w:t>
      </w:r>
      <w:r w:rsidR="00A823CE" w:rsidRPr="00A823CE">
        <w:rPr>
          <w:i/>
          <w:u w:val="single"/>
          <w:vertAlign w:val="subscript"/>
        </w:rPr>
        <w:t>abandon</w:t>
      </w:r>
      <w:r w:rsidRPr="00A823CE">
        <w:rPr>
          <w:i/>
        </w:rPr>
        <w:t xml:space="preserve"> = </w:t>
      </w:r>
      <w:r w:rsidR="00A823CE" w:rsidRPr="00A823CE">
        <w:t>(</w:t>
      </w:r>
      <w:r w:rsidRPr="00A823CE">
        <w:rPr>
          <w:i/>
        </w:rPr>
        <w:t>p</w:t>
      </w:r>
      <w:r w:rsidRPr="00A823CE">
        <w:rPr>
          <w:i/>
          <w:vertAlign w:val="subscript"/>
        </w:rPr>
        <w:t>e</w:t>
      </w:r>
      <w:r w:rsidR="00A823CE" w:rsidRPr="00A823CE">
        <w:t>)</w:t>
      </w:r>
      <w:r w:rsidRPr="00A823CE">
        <w:rPr>
          <w:i/>
          <w:vertAlign w:val="superscript"/>
        </w:rPr>
        <w:t>Np + 1</w:t>
      </w:r>
    </w:p>
    <w:p w14:paraId="60EFD4C2" w14:textId="6EF2CEC1" w:rsidR="00C618FB" w:rsidRPr="00A823CE" w:rsidRDefault="00C618FB" w:rsidP="00C618FB">
      <w:r w:rsidRPr="00A823CE">
        <w:t xml:space="preserve">For example, in such a channel, if </w:t>
      </w:r>
      <w:r w:rsidRPr="00A823CE">
        <w:rPr>
          <w:i/>
        </w:rPr>
        <w:t>p</w:t>
      </w:r>
      <w:r w:rsidRPr="00A823CE">
        <w:rPr>
          <w:i/>
          <w:vertAlign w:val="subscript"/>
        </w:rPr>
        <w:t>e</w:t>
      </w:r>
      <w:r w:rsidRPr="00A823CE">
        <w:rPr>
          <w:i/>
        </w:rPr>
        <w:t xml:space="preserve"> </w:t>
      </w:r>
      <w:r w:rsidRPr="00A823CE">
        <w:t xml:space="preserve">= 0.1 and </w:t>
      </w:r>
      <w:r w:rsidRPr="00A823CE">
        <w:rPr>
          <w:i/>
        </w:rPr>
        <w:t>p</w:t>
      </w:r>
      <w:r w:rsidR="00A823CE" w:rsidRPr="00A823CE">
        <w:rPr>
          <w:i/>
          <w:strike/>
          <w:vertAlign w:val="subscript"/>
        </w:rPr>
        <w:t>drop</w:t>
      </w:r>
      <w:r w:rsidR="00A823CE" w:rsidRPr="00A823CE">
        <w:rPr>
          <w:i/>
          <w:u w:val="single"/>
          <w:vertAlign w:val="subscript"/>
        </w:rPr>
        <w:t>abandon</w:t>
      </w:r>
      <w:r w:rsidRPr="00A823CE">
        <w:t xml:space="preserve"> = 10</w:t>
      </w:r>
      <w:r w:rsidRPr="00A823CE">
        <w:rPr>
          <w:vertAlign w:val="superscript"/>
        </w:rPr>
        <w:t>–8</w:t>
      </w:r>
      <w:r w:rsidRPr="00A823CE">
        <w:t>, then up to seven</w:t>
      </w:r>
      <w:r w:rsidR="00460D9C">
        <w:t xml:space="preserve"> retries within the delay bound </w:t>
      </w:r>
      <w:r w:rsidRPr="00A823CE">
        <w:t>are required, and the scheduler should consider these retransmissions in the cumulative TXOP allocations.</w:t>
      </w:r>
    </w:p>
    <w:p w14:paraId="0D4C4126" w14:textId="25C845BF" w:rsidR="00C618FB" w:rsidRDefault="00C618FB" w:rsidP="00C618FB">
      <w:r w:rsidRPr="00A823CE">
        <w:t>The Surplus Bandwidth Allowance (SBA) parameter causes the requestin</w:t>
      </w:r>
      <w:r w:rsidR="00460D9C">
        <w:t xml:space="preserve">g STA to be allocated a minimum </w:t>
      </w:r>
      <w:r w:rsidRPr="00A823CE">
        <w:t xml:space="preserve">amount of excess time by the scheduler so that the application </w:t>
      </w:r>
      <w:r w:rsidR="00A823CE" w:rsidRPr="00A823CE">
        <w:rPr>
          <w:strike/>
        </w:rPr>
        <w:t>dropped</w:t>
      </w:r>
      <w:r w:rsidR="00A823CE" w:rsidRPr="00A823CE">
        <w:rPr>
          <w:u w:val="single"/>
        </w:rPr>
        <w:t>abandoned</w:t>
      </w:r>
      <w:r w:rsidRPr="00A823CE">
        <w:t xml:space="preserve"> packet rates are bounded.</w:t>
      </w:r>
    </w:p>
    <w:p w14:paraId="7984F203" w14:textId="1BF5C665" w:rsidR="00C618FB" w:rsidRPr="00445325" w:rsidRDefault="00C618FB"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rsidRPr="008A0FCF">
        <w:rPr>
          <w:highlight w:val="green"/>
        </w:rP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7"/>
      <w:r>
        <w:t>receiving STA’s BSSIDs</w:t>
      </w:r>
      <w:commentRangeEnd w:id="27"/>
      <w:r>
        <w:rPr>
          <w:rStyle w:val="CommentReference"/>
        </w:rPr>
        <w:commentReference w:id="27"/>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28"/>
      <w:r>
        <w:t>10.25.5 Selection of BlockAck and BlockAckReq variants:</w:t>
      </w:r>
      <w:commentRangeEnd w:id="28"/>
      <w:r>
        <w:rPr>
          <w:rStyle w:val="CommentReference"/>
        </w:rPr>
        <w:commentReference w:id="28"/>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9"/>
      <w:r w:rsidRPr="00BF483F">
        <w:t>10.70.1 General</w:t>
      </w:r>
      <w:r>
        <w:t>:</w:t>
      </w:r>
      <w:commentRangeEnd w:id="29"/>
      <w:r w:rsidR="0070601A">
        <w:rPr>
          <w:rStyle w:val="CommentReference"/>
        </w:rPr>
        <w:commentReference w:id="29"/>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30"/>
      <w:r>
        <w:t>dot11RMNeighborReportExtCapSPSMPSup</w:t>
      </w:r>
      <w:commentRangeEnd w:id="30"/>
      <w:r>
        <w:rPr>
          <w:rStyle w:val="CommentReference"/>
        </w:rPr>
        <w:commentReference w:id="30"/>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which “is written by the SME, which sets it to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rsidRPr="00310532">
        <w:rPr>
          <w:highlight w:val="green"/>
        </w:rP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(the MIB immediately prior to SA ballot of what became 802.11-2020 was validated).</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r>
        <w:t xml:space="preserve">This is the set of MIB attributes mentioned under </w:t>
      </w:r>
      <w:r w:rsidRPr="00A02608">
        <w:t>dot11VHTTransmitBeamformingConfigTable</w:t>
      </w:r>
      <w:r>
        <w:t xml:space="preserve"> in </w:t>
      </w:r>
      <w:r w:rsidRPr="00A02608">
        <w:t>Table 21-27—VHT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beamformer </w:t>
      </w:r>
    </w:p>
    <w:p w14:paraId="13D755FF" w14:textId="77777777" w:rsidR="00A02608" w:rsidRDefault="00A02608" w:rsidP="00A02608">
      <w:pPr>
        <w:ind w:left="720"/>
      </w:pPr>
      <w:r>
        <w:t>when sending beamformed transmissions."</w:t>
      </w:r>
    </w:p>
    <w:p w14:paraId="470AD0F5" w14:textId="77777777" w:rsidR="00A02608" w:rsidRDefault="00A02608" w:rsidP="00A02608"/>
    <w:p w14:paraId="53C3FA9B" w14:textId="639D99AF" w:rsidR="00A02608" w:rsidRDefault="00A02608" w:rsidP="000241E9">
      <w:r>
        <w:t>dot11VHTBeamformeeNTxSupport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beamformee capable and </w:t>
      </w:r>
    </w:p>
    <w:p w14:paraId="3E2FE312" w14:textId="77777777" w:rsidR="00A02608" w:rsidRDefault="00A02608" w:rsidP="00A02608">
      <w:pPr>
        <w:ind w:left="720"/>
      </w:pPr>
      <w:r>
        <w:t xml:space="preserve">the maximum value of Nr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Number of Sounding Dimensions: Beamformer’s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r>
        <w:t>Beamformee STS Capability: Indicates the maximum number of space-time streams that the STA can receive in a VHT NDP and the maximum value of Nr 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r w:rsidR="0040642A">
        <w:t>beamformee</w:t>
      </w:r>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r w:rsidR="00465E4D">
        <w:t>think</w:t>
      </w:r>
      <w:r>
        <w:t xml:space="preserve"> “number of antennas used by the beamformer” </w:t>
      </w:r>
      <w:r w:rsidR="00602A7A">
        <w:t xml:space="preserve">is equivalent to “value of the TXVECTOR parameter NUM_STS for a VHT NDP”,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dot11VHTBeamformeeNTxSupport has “the maximum value for NSTS, total that can be sent to the STA in a VHT MU PPDU if the STA is MU beamformee capable”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Maximum NSTS,total defined as “If MU beamformee capable and different from 0, indicates the maximum value for NSTS,total minus 1 that can be sent to the STA in a VHT MU PPDU.</w:t>
      </w:r>
    </w:p>
    <w:p w14:paraId="095241E9" w14:textId="5359113C" w:rsidR="00602A7A" w:rsidRDefault="00602A7A" w:rsidP="00602A7A">
      <w:r>
        <w:t>NOTE—This value is greater than or equal to the value in the Beamformee STS Capability subfield of the VHT Capabilities Information field.</w:t>
      </w:r>
    </w:p>
    <w:p w14:paraId="194D46C0" w14:textId="77777777" w:rsidR="00465E4D" w:rsidRDefault="00602A7A" w:rsidP="00602A7A">
      <w:r>
        <w:t>If MU Beamformee capable and equal to 0, indicates that the maximum value for NSTS,total  is equal to the value in the Beamformee STS Capability subfield of the VHT Capabilities Information field.”</w:t>
      </w:r>
    </w:p>
    <w:p w14:paraId="58806BA6" w14:textId="77777777" w:rsidR="00465E4D" w:rsidRDefault="00465E4D" w:rsidP="00602A7A"/>
    <w:p w14:paraId="574C14EA" w14:textId="24DF9029" w:rsidR="00602A7A" w:rsidRDefault="00465E4D" w:rsidP="00602A7A">
      <w:r>
        <w:t xml:space="preserve">So </w:t>
      </w:r>
      <w:r w:rsidR="00CC5C74">
        <w:t xml:space="preserve">the </w:t>
      </w:r>
      <w:r>
        <w:t>Beamformee STS Capability field sometimes indicates the MU STS capability (but note the minus 1, missed by the Maximum NSTS,total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Maximum NSTS,total field is non-zero and not equal to the Beamformee STS Capability field?  How can dot11VHTBeamformeeNTxSupport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rsidRPr="00B57615">
        <w:rPr>
          <w:highlight w:val="green"/>
        </w:rP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 xml:space="preserve">At 5342.26 change “This attribute indicates the number of antennas used by the beamformer when sending beamformed transmissions” to “This attribute indicates the </w:t>
      </w:r>
      <w:r w:rsidRPr="00B05A5B">
        <w:rPr>
          <w:highlight w:val="cyan"/>
        </w:rPr>
        <w:t>maximum</w:t>
      </w:r>
      <w:r>
        <w:t xml:space="preserve"> number of antennas used by the beamformer when sending beamformed transmissions”.</w:t>
      </w:r>
    </w:p>
    <w:p w14:paraId="6E268E76" w14:textId="65F49DFD" w:rsidR="00602A7A" w:rsidRDefault="00602A7A" w:rsidP="00602A7A"/>
    <w:p w14:paraId="14895A2D" w14:textId="511B9D30" w:rsidR="00602A7A" w:rsidRDefault="00602A7A" w:rsidP="00602A7A">
      <w:r>
        <w:t>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the maximum value for NSTS,</w:t>
      </w:r>
      <w:r w:rsidRPr="00B05A5B">
        <w:rPr>
          <w:highlight w:val="cyan"/>
        </w:rPr>
        <w:t>total that can be sent to the STA in a VHT MU PPDU if the STA is MU beamformee capable</w:t>
      </w:r>
      <w:r w:rsidR="000B2489" w:rsidRPr="00B05A5B">
        <w:rPr>
          <w:highlight w:val="cyan"/>
        </w:rPr>
        <w:t xml:space="preserve"> (subject to the Maximum NSTS,total field in the Supported VHT-MCS and NSS Set field)</w:t>
      </w:r>
      <w:r>
        <w:t xml:space="preserve"> and the maximum value of Nr that the STA transmits in a VHT Compressed Beamforming frame.”</w:t>
      </w:r>
      <w:r w:rsidR="000B2489">
        <w:t xml:space="preserve"> with the first NSTS,total italicised and with all but the N subscript.</w:t>
      </w:r>
    </w:p>
    <w:p w14:paraId="65BDEAC0" w14:textId="0048112E" w:rsidR="00602A7A" w:rsidRDefault="00602A7A" w:rsidP="000241E9"/>
    <w:p w14:paraId="67C7AF88" w14:textId="0AEDC8A2" w:rsidR="000B2489" w:rsidRDefault="000B2489" w:rsidP="000241E9">
      <w:r>
        <w:t>At 1230.15 change “</w:t>
      </w:r>
      <w:r w:rsidRPr="000B2489">
        <w:t>If MU Beamformee capable</w:t>
      </w:r>
      <w:r>
        <w:t xml:space="preserve">” to “If MU </w:t>
      </w:r>
      <w:r w:rsidRPr="00B05A5B">
        <w:rPr>
          <w:highlight w:val="cyan"/>
        </w:rPr>
        <w:t>b</w:t>
      </w:r>
      <w:r w:rsidRPr="000B2489">
        <w:t>eamformee capable</w:t>
      </w:r>
      <w:r>
        <w:t>”.</w:t>
      </w:r>
    </w:p>
    <w:p w14:paraId="5F36B3EF" w14:textId="2359A6E5" w:rsidR="00465E4D" w:rsidRDefault="00465E4D" w:rsidP="000241E9"/>
    <w:p w14:paraId="416454FD" w14:textId="78A2CB8B" w:rsidR="00465E4D" w:rsidRDefault="00465E4D" w:rsidP="00465E4D">
      <w:r>
        <w:t xml:space="preserve">At 1230.17 change “is equal to the value in the Beamformee STS Capability subfield of the VHT Capabilities Information field.” to “is </w:t>
      </w:r>
      <w:r w:rsidRPr="00B05A5B">
        <w:rPr>
          <w:highlight w:val="cyan"/>
        </w:rPr>
        <w:t>indicated by</w:t>
      </w:r>
      <w:r>
        <w:t xml:space="preserve"> the Beamformee STS Capability subfield of the VHT Capabilities Information field.”</w:t>
      </w:r>
    </w:p>
    <w:p w14:paraId="31FEE441" w14:textId="77777777" w:rsidR="000B2489" w:rsidRDefault="000B2489" w:rsidP="000241E9"/>
    <w:p w14:paraId="69A56223" w14:textId="588C61C8" w:rsidR="000241E9" w:rsidRDefault="00602A7A" w:rsidP="000241E9">
      <w:r>
        <w:t>Note to the commenter: dot11VHTBeamformeeNTxSupport</w:t>
      </w:r>
      <w:r w:rsidR="0040642A">
        <w:t xml:space="preserve"> contains the beamformee</w:t>
      </w:r>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554FE83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w:t>
      </w:r>
      <w:r w:rsidR="001E7D5A" w:rsidRPr="00A37CA4">
        <w:rPr>
          <w:rFonts w:ascii="Courier New" w:hAnsi="Courier New" w:cs="Courier New"/>
          <w:sz w:val="20"/>
          <w:u w:val="single"/>
        </w:rPr>
        <w:t>t</w:t>
      </w:r>
      <w:r w:rsidR="00B57615" w:rsidRPr="00A37CA4">
        <w:rPr>
          <w:rFonts w:ascii="Courier New" w:hAnsi="Courier New" w:cs="Courier New"/>
          <w:sz w:val="20"/>
          <w:u w:val="single"/>
        </w:rPr>
        <w:t xml:space="preserve"> and </w:t>
      </w:r>
      <w:r w:rsidR="00A37CA4">
        <w:rPr>
          <w:rFonts w:ascii="Courier New" w:hAnsi="Courier New" w:cs="Courier New"/>
          <w:sz w:val="20"/>
          <w:u w:val="single"/>
        </w:rPr>
        <w:t xml:space="preserve">protected </w:t>
      </w:r>
      <w:r w:rsidR="00B57615" w:rsidRPr="00A37CA4">
        <w:rPr>
          <w:rFonts w:ascii="Courier New" w:hAnsi="Courier New" w:cs="Courier New"/>
          <w:sz w:val="20"/>
          <w:u w:val="single"/>
        </w:rPr>
        <w:t>Beacon</w:t>
      </w:r>
      <w:r w:rsidR="001E7D5A">
        <w:rPr>
          <w:rFonts w:ascii="Courier New" w:hAnsi="Courier New" w:cs="Courier New"/>
          <w:sz w:val="20"/>
          <w:u w:val="single"/>
        </w:rPr>
        <w:t xml:space="preserve"> frames</w:t>
      </w:r>
      <w:r w:rsidRPr="0008223B">
        <w:rPr>
          <w:rFonts w:ascii="Courier New" w:hAnsi="Courier New" w:cs="Courier New"/>
          <w:sz w:val="20"/>
        </w:rPr>
        <w:t xml:space="preserve"> discarded (#1401)due to </w:t>
      </w:r>
      <w:r w:rsidRPr="00A37CA4">
        <w:rPr>
          <w:rFonts w:ascii="Courier New" w:hAnsi="Courier New" w:cs="Courier New"/>
          <w:strike/>
          <w:sz w:val="20"/>
        </w:rPr>
        <w:t>CMAC</w:t>
      </w:r>
      <w:r w:rsidR="00A37CA4">
        <w:rPr>
          <w:rFonts w:ascii="Courier New" w:hAnsi="Courier New" w:cs="Courier New"/>
          <w:sz w:val="20"/>
          <w:u w:val="single"/>
        </w:rPr>
        <w:t>BIP</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t>Proposed resolution:</w:t>
      </w:r>
    </w:p>
    <w:p w14:paraId="477AE2F7" w14:textId="77777777" w:rsidR="000241E9" w:rsidRDefault="000241E9" w:rsidP="000241E9">
      <w:pPr>
        <w:rPr>
          <w:b/>
          <w:sz w:val="24"/>
        </w:rPr>
      </w:pPr>
    </w:p>
    <w:p w14:paraId="5061F16D" w14:textId="77777777" w:rsidR="000241E9" w:rsidRDefault="000241E9" w:rsidP="000241E9">
      <w:r w:rsidRPr="009D2DD0">
        <w:rPr>
          <w:highlight w:val="green"/>
        </w:rPr>
        <w:t>REVISED</w:t>
      </w:r>
    </w:p>
    <w:p w14:paraId="5877B851" w14:textId="77777777" w:rsidR="000241E9" w:rsidRDefault="000241E9" w:rsidP="000241E9"/>
    <w:p w14:paraId="03E6CD7A" w14:textId="0B7993C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r w:rsidR="00DD57BD">
        <w:t xml:space="preserve"> and protected Beacon replays</w:t>
      </w:r>
      <w:r w:rsidR="00226540">
        <w:t>.</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rsidRPr="007F4354">
        <w:rPr>
          <w:highlight w:val="green"/>
        </w:rP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5A5F265D" w:rsidR="00100D60" w:rsidRDefault="00E554E5" w:rsidP="00100D60">
      <w:r>
        <w:t>Some settings can certainly differ between the link to the AP and the link to a peer TDLS STA (e.g. for security).  There is no clear way to identify these, however, nor is there a way to handle the settings that can differ on the link to the peer TDLS STA.</w:t>
      </w:r>
    </w:p>
    <w:p w14:paraId="5C0E64CA" w14:textId="77777777" w:rsidR="00100D60" w:rsidRDefault="00100D60" w:rsidP="00100D60"/>
    <w:p w14:paraId="27CBECF5" w14:textId="5BB5733F" w:rsidR="00100D60" w:rsidRDefault="00100D60" w:rsidP="00100D60">
      <w:pPr>
        <w:rPr>
          <w:u w:val="single"/>
        </w:rPr>
      </w:pPr>
      <w:r>
        <w:rPr>
          <w:u w:val="single"/>
        </w:rPr>
        <w:t>Pro</w:t>
      </w:r>
      <w:r w:rsidR="00E554E5">
        <w:rPr>
          <w:u w:val="single"/>
        </w:rPr>
        <w:t>posed resolution</w:t>
      </w:r>
      <w:r w:rsidRPr="00F70C97">
        <w:rPr>
          <w:u w:val="single"/>
        </w:rPr>
        <w:t>:</w:t>
      </w:r>
    </w:p>
    <w:p w14:paraId="554E2B6D" w14:textId="77777777" w:rsidR="00100D60" w:rsidRDefault="00100D60" w:rsidP="00100D60">
      <w:pPr>
        <w:rPr>
          <w:u w:val="single"/>
        </w:rPr>
      </w:pPr>
    </w:p>
    <w:p w14:paraId="4D33100A" w14:textId="77777777" w:rsidR="00DA7CC7" w:rsidRDefault="00DA7CC7" w:rsidP="00E554E5">
      <w:r w:rsidRPr="00B8777F">
        <w:rPr>
          <w:highlight w:val="green"/>
        </w:rPr>
        <w:t>REVISED</w:t>
      </w:r>
    </w:p>
    <w:p w14:paraId="7C6CB1BE" w14:textId="77777777" w:rsidR="00DA7CC7" w:rsidRDefault="00DA7CC7" w:rsidP="00E554E5"/>
    <w:p w14:paraId="31B2BF5B" w14:textId="4B46F689" w:rsidR="00E554E5" w:rsidRDefault="006207CF" w:rsidP="00E554E5">
      <w:r>
        <w:t>In C.1</w:t>
      </w:r>
      <w:r w:rsidR="00E554E5">
        <w:t xml:space="preserve"> rename NOTE to NOTE 1 and after it add:</w:t>
      </w:r>
    </w:p>
    <w:p w14:paraId="2F56AC5A" w14:textId="77777777" w:rsidR="00E554E5" w:rsidRDefault="00E554E5" w:rsidP="00E554E5"/>
    <w:p w14:paraId="32E4C5D2" w14:textId="729ACF9F" w:rsidR="00100D60" w:rsidRPr="00E554E5" w:rsidRDefault="00E554E5" w:rsidP="00E554E5">
      <w:r>
        <w:t>“</w:t>
      </w:r>
      <w:r w:rsidRPr="00E554E5">
        <w:t>NOTE</w:t>
      </w:r>
      <w:r>
        <w:t xml:space="preserve"> 2</w:t>
      </w:r>
      <w:r w:rsidRPr="00E554E5">
        <w:t>—Certain MIB attributes for a TDLS STA only apply to the link</w:t>
      </w:r>
      <w:r>
        <w:t xml:space="preserve"> with the AP.”</w:t>
      </w:r>
    </w:p>
    <w:p w14:paraId="3BD2ACE0" w14:textId="77777777" w:rsidR="00E554E5" w:rsidRDefault="00E554E5"/>
    <w:p w14:paraId="024FC948" w14:textId="77777777" w:rsidR="00E554E5" w:rsidRDefault="00E554E5">
      <w:r>
        <w:t>Note to the commenter: there is no easy way to identify the attributes that only apply to the AP link, nor is there any way to access the corresponding settings for the TDLS link(s).</w:t>
      </w:r>
    </w:p>
    <w:p w14:paraId="390E7D56" w14:textId="40CFE34D"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r>
        <w:t xml:space="preserve">So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But then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rsidRPr="007F4354">
        <w:rPr>
          <w:highlight w:val="green"/>
        </w:rPr>
        <w:t>REVISED</w:t>
      </w:r>
    </w:p>
    <w:p w14:paraId="3AE62D44" w14:textId="1B8388C5" w:rsidR="00A44E48" w:rsidRDefault="00A44E48" w:rsidP="00A44E48"/>
    <w:p w14:paraId="2022AAB6" w14:textId="27B0B02A" w:rsidR="005D7803" w:rsidRDefault="005D7803" w:rsidP="00A44E48">
      <w:r>
        <w:t>Deprecate dot11NonAPStationBroadcastCipherSuite and dot11NonAPStationAssociatedSSID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31"/>
      <w:r w:rsidRPr="0054050E">
        <w:t>At the end of the third para of the referenced subclause add "If dot11BeaconProtectionEnabled is true, a non-AP STA shall discard broadcast Probe Response frames received from an associated AP."</w:t>
      </w:r>
      <w:commentRangeEnd w:id="31"/>
      <w:r>
        <w:rPr>
          <w:rStyle w:val="CommentReference"/>
        </w:rPr>
        <w:commentReference w:id="31"/>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“EtherType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Std 802.11</w:t>
      </w:r>
    </w:p>
    <w:p w14:paraId="46F72D05" w14:textId="4EFD6B21" w:rsidR="006D196C" w:rsidRDefault="006D196C" w:rsidP="006D196C"/>
    <w:p w14:paraId="6B03B803" w14:textId="20C24D73" w:rsidR="006D196C" w:rsidRDefault="006D196C" w:rsidP="006D196C">
      <w:r>
        <w:t>(#237)tunneled direct link setup (TDLS) frame (TDLS frame): A Data frame carrying all or part of the</w:t>
      </w:r>
      <w:r w:rsidR="00EC7DFF">
        <w:t xml:space="preserve"> </w:t>
      </w:r>
      <w:r>
        <w:t>encapsulation of a TDLS Action field, using (#2186)</w:t>
      </w:r>
      <w:r w:rsidRPr="00804076">
        <w:rPr>
          <w:highlight w:val="yellow"/>
        </w:rPr>
        <w:t>EtherType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r w:rsidRPr="00804076">
        <w:rPr>
          <w:highlight w:val="yellow"/>
        </w:rPr>
        <w:t>EtherType 89-0d frames</w:t>
      </w:r>
      <w:r>
        <w:t>, as defined in Annex H, for TDLS signaling. The Payload field of the (#2186)</w:t>
      </w:r>
      <w:r w:rsidRPr="00804076">
        <w:rPr>
          <w:highlight w:val="yellow"/>
        </w:rPr>
        <w:t>EtherType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r w:rsidRPr="00804076">
        <w:rPr>
          <w:highlight w:val="yellow"/>
        </w:rPr>
        <w:t>EtherType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r w:rsidRPr="00804076">
        <w:rPr>
          <w:highlight w:val="yellow"/>
        </w:rPr>
        <w:t>EtherType 89-0d frames</w:t>
      </w:r>
      <w:r w:rsidRPr="006D196C">
        <w:t>. In some regulatory domains, the GDD</w:t>
      </w:r>
      <w:r>
        <w:t xml:space="preserve"> </w:t>
      </w:r>
      <w:r w:rsidRPr="006D196C">
        <w:t>enabling STA may be required to have secured connection with the RLSS.(#399)</w:t>
      </w:r>
    </w:p>
    <w:p w14:paraId="2130AE29" w14:textId="77777777" w:rsidR="006D196C" w:rsidRDefault="006D196C" w:rsidP="006D196C"/>
    <w:p w14:paraId="66F926D2" w14:textId="5C9004E5" w:rsidR="006D196C" w:rsidRDefault="006D196C" w:rsidP="006D196C">
      <w:r w:rsidRPr="006D196C">
        <w:t>When security is required by regulation, the (#2186)</w:t>
      </w:r>
      <w:r w:rsidRPr="00804076">
        <w:rPr>
          <w:highlight w:val="yellow"/>
        </w:rPr>
        <w:t>EtherType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r w:rsidRPr="00804076">
        <w:rPr>
          <w:highlight w:val="yellow"/>
        </w:rPr>
        <w:t>EtherType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r w:rsidRPr="00804076">
        <w:rPr>
          <w:highlight w:val="yellow"/>
        </w:rPr>
        <w:t>EtherType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r w:rsidRPr="000D7BE2">
        <w:rPr>
          <w:b/>
          <w:highlight w:val="yellow"/>
        </w:rPr>
        <w:t>EtherType 89-0d</w:t>
      </w:r>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r w:rsidRPr="00804076">
        <w:rPr>
          <w:highlight w:val="yellow"/>
        </w:rPr>
        <w:t>EtherType 89-0d frame</w:t>
      </w:r>
      <w:r w:rsidRPr="00D26B4E">
        <w:t xml:space="preserve"> body is specified in Figure H-1 ((#2186)EtherType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r w:rsidRPr="00804076">
        <w:rPr>
          <w:b/>
          <w:highlight w:val="yellow"/>
        </w:rPr>
        <w:t>EtherType 89-0d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Std 802. The formatting of the SNAP header is according to IETF RFC 1042. The </w:t>
      </w:r>
      <w:r w:rsidRPr="00804076">
        <w:rPr>
          <w:highlight w:val="yellow"/>
        </w:rPr>
        <w:t>EtherType(#2186)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The approach chosen here is to consistently refer to an “MSDU with EtherType xx-yy”.</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3.2 Definitions specific to IEEE Std 802.11</w:t>
      </w:r>
    </w:p>
    <w:p w14:paraId="7BF423D4" w14:textId="77777777" w:rsidR="00D26B4E" w:rsidRDefault="00D26B4E" w:rsidP="00D26B4E"/>
    <w:p w14:paraId="600F7C24" w14:textId="77777777" w:rsidR="00D26B4E" w:rsidRDefault="00D26B4E" w:rsidP="00D26B4E">
      <w:r>
        <w:t>(#237)tunneled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(#2186)EtherType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(#2186)EtherType 89-0d</w:t>
      </w:r>
      <w:r w:rsidRPr="00D26B4E">
        <w:rPr>
          <w:strike/>
        </w:rPr>
        <w:t xml:space="preserve"> frames</w:t>
      </w:r>
      <w:r>
        <w:t xml:space="preserve">, as defined in Annex H, for TDLS signaling. The Payload field of the </w:t>
      </w:r>
      <w:r w:rsidRPr="00D26B4E">
        <w:rPr>
          <w:strike/>
        </w:rPr>
        <w:t>(#2186)EtherType 89-0d frame</w:t>
      </w:r>
      <w:r>
        <w:rPr>
          <w:u w:val="single"/>
        </w:rPr>
        <w:t>MSDU</w:t>
      </w:r>
      <w:r w:rsidR="005C79C9">
        <w:rPr>
          <w:u w:val="single"/>
        </w:rPr>
        <w:t>s</w:t>
      </w:r>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32"/>
      <w:r w:rsidRPr="006D196C">
        <w:t>NOTE</w:t>
      </w:r>
      <w:commentRangeEnd w:id="32"/>
      <w:r w:rsidR="00AC757F">
        <w:rPr>
          <w:rStyle w:val="CommentReference"/>
        </w:rPr>
        <w:commentReference w:id="32"/>
      </w:r>
      <w:r w:rsidRPr="006D196C">
        <w:t>—When RLQP is transmitted between the GDD enabling STA and the RLSS,</w:t>
      </w:r>
      <w:r>
        <w:t xml:space="preserve"> it uses </w:t>
      </w:r>
      <w:r>
        <w:rPr>
          <w:u w:val="single"/>
        </w:rPr>
        <w:t xml:space="preserve">MSDUs with </w:t>
      </w:r>
      <w:r>
        <w:t>(#2186)EtherType 89-0d</w:t>
      </w:r>
      <w:r w:rsidRPr="00D26B4E">
        <w:rPr>
          <w:strike/>
        </w:rPr>
        <w:t xml:space="preserve"> frames</w:t>
      </w:r>
      <w:r w:rsidRPr="006D196C">
        <w:t xml:space="preserve">, as defined in Annex H. The </w:t>
      </w:r>
      <w:r w:rsidRPr="004B09EC">
        <w:rPr>
          <w:strike/>
        </w:rPr>
        <w:t>RLQP payload</w:t>
      </w:r>
      <w:r w:rsidR="004B09EC">
        <w:rPr>
          <w:u w:val="single"/>
        </w:rPr>
        <w:t>Payload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(#2186)EtherType 89-0d</w:t>
      </w:r>
      <w:r w:rsidRPr="00D26B4E">
        <w:rPr>
          <w:strike/>
        </w:rPr>
        <w:t xml:space="preserve"> frames</w:t>
      </w:r>
      <w:r w:rsidRPr="006D196C">
        <w:t>. In some regulatory domains, the GDD</w:t>
      </w:r>
      <w:r>
        <w:t xml:space="preserve"> </w:t>
      </w:r>
      <w:r w:rsidRPr="006D196C">
        <w:t>enabling STA may be required to have secured connection with the RLSS.(#399)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(#2186)EtherType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(#2186)EtherType 89-0d</w:t>
      </w:r>
      <w:r w:rsidRPr="00D26B4E">
        <w:rPr>
          <w:strike/>
        </w:rPr>
        <w:t xml:space="preserve"> frames</w:t>
      </w:r>
      <w:r>
        <w:t xml:space="preserve"> as defined in Annex H. In this case, the </w:t>
      </w:r>
      <w:r w:rsidRPr="00D26B4E">
        <w:rPr>
          <w:strike/>
        </w:rPr>
        <w:t>FST payload</w:t>
      </w:r>
      <w:r>
        <w:rPr>
          <w:u w:val="single"/>
        </w:rPr>
        <w:t>Payload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 xml:space="preserve">(#2186)EtherType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33"/>
      <w:r w:rsidRPr="00EF23DA">
        <w:t>Version</w:t>
      </w:r>
      <w:commentRangeEnd w:id="33"/>
      <w:r w:rsidR="004B09EC" w:rsidRPr="00EF23DA">
        <w:rPr>
          <w:rStyle w:val="CommentReference"/>
        </w:rPr>
        <w:commentReference w:id="33"/>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Annex H, Usage of EtherType 89-0d(#2186)</w:t>
      </w:r>
    </w:p>
    <w:p w14:paraId="7630C79F" w14:textId="77777777" w:rsidR="00D26B4E" w:rsidRPr="00D26B4E" w:rsidRDefault="00D26B4E" w:rsidP="00D26B4E"/>
    <w:p w14:paraId="2CB41621" w14:textId="19B4B6C1" w:rsidR="00D26B4E" w:rsidRPr="00D26B4E" w:rsidRDefault="00D26B4E" w:rsidP="00D26B4E">
      <w:r w:rsidRPr="00D26B4E">
        <w:t>The (#2186)</w:t>
      </w:r>
      <w:r>
        <w:rPr>
          <w:u w:val="single"/>
        </w:rPr>
        <w:t xml:space="preserve">MSDU with </w:t>
      </w:r>
      <w:r w:rsidRPr="00D26B4E">
        <w:t>EtherType 89-0d</w:t>
      </w:r>
      <w:r w:rsidRPr="00D26B4E">
        <w:rPr>
          <w:strike/>
        </w:rPr>
        <w:t xml:space="preserve"> frame body</w:t>
      </w:r>
      <w:r w:rsidRPr="00D26B4E">
        <w:t xml:space="preserve"> is specified in Figure H-1 ((#2186)EtherType 89-0d frame body)</w:t>
      </w:r>
      <w:commentRangeStart w:id="34"/>
      <w:r w:rsidRPr="005C79C9">
        <w:rPr>
          <w:strike/>
        </w:rPr>
        <w:t>, omitting any possible security header and trailer</w:t>
      </w:r>
      <w:commentRangeEnd w:id="34"/>
      <w:r w:rsidR="005C79C9">
        <w:rPr>
          <w:rStyle w:val="CommentReference"/>
        </w:rPr>
        <w:commentReference w:id="34"/>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r w:rsidRPr="00D26B4E">
        <w:rPr>
          <w:b/>
        </w:rPr>
        <w:t>EtherType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SNAP is defined in IEEE Std 802. The formatting of the SNAP header is according to IETF RFC 1042. The EtherType(#2186)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rsidRPr="00051258">
        <w:rPr>
          <w:highlight w:val="green"/>
        </w:rP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EtherType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If a STA does not have RSNA support activated, it should not transmit an RSNE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B2D6CFD" w:rsidR="00200B82" w:rsidRDefault="00D44A90" w:rsidP="00200B82">
      <w:pPr>
        <w:rPr>
          <w:u w:val="single"/>
        </w:rPr>
      </w:pPr>
      <w:r>
        <w:rPr>
          <w:u w:val="single"/>
        </w:rPr>
        <w:t>Proposed resolution</w:t>
      </w:r>
      <w:r w:rsidR="00200B82" w:rsidRPr="00F70C97">
        <w:rPr>
          <w:u w:val="single"/>
        </w:rPr>
        <w:t>:</w:t>
      </w:r>
    </w:p>
    <w:p w14:paraId="7BC9CCCE" w14:textId="77777777" w:rsidR="00200B82" w:rsidRDefault="00200B82" w:rsidP="00200B82">
      <w:pPr>
        <w:rPr>
          <w:u w:val="single"/>
        </w:rPr>
      </w:pPr>
    </w:p>
    <w:p w14:paraId="7578218E" w14:textId="77777777" w:rsidR="00200B82" w:rsidRDefault="00200B82" w:rsidP="00200B82">
      <w:r w:rsidRPr="00C64AE3">
        <w:rPr>
          <w:highlight w:val="green"/>
        </w:rP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Table 9-486—FT Ack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NOTE 1—Max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NOTE 2—CCFS1 refers to the Channel Center Frequency Segment 1 field of the most recently transmitted VHT Operation element.</w:t>
      </w:r>
    </w:p>
    <w:p w14:paraId="5D16697C" w14:textId="1CAB64B4" w:rsidR="00360221" w:rsidRDefault="00360221" w:rsidP="006A1D8E">
      <w:pPr>
        <w:ind w:left="720"/>
      </w:pPr>
      <w:r>
        <w:t>NOTE 3—CCFS2 refers to the Channel Center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r w:rsidR="004C2966">
        <w:t>But</w:t>
      </w:r>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NOTE 4—CCFS1 is nonzero when the current BSS bandwidth is 160 MHz or 80+80 MHz and the NSS support is at least Max VHT NSS. CCFS2 is zero in this case.See NOTE 7.</w:t>
      </w:r>
    </w:p>
    <w:p w14:paraId="3C27489C" w14:textId="21730373" w:rsidR="00360221" w:rsidRDefault="00360221" w:rsidP="006A1D8E">
      <w:pPr>
        <w:ind w:left="720"/>
      </w:pPr>
      <w:r>
        <w:t>NOTE 5—CCFS2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NOTE 6—At most one of CCFS1 and CCFS2 is nonzero when the current BSS bandwidth is 160 MHz or 80+80 MHz. See NOTE 7.</w:t>
      </w:r>
    </w:p>
    <w:p w14:paraId="75FB77CE" w14:textId="62608B25" w:rsidR="00360221" w:rsidRDefault="00360221" w:rsidP="00360221"/>
    <w:p w14:paraId="2CC6F79D" w14:textId="0B6ECF96" w:rsidR="00360221" w:rsidRDefault="00360221" w:rsidP="00360221">
      <w:r>
        <w:t>All these are making informative statements of fact, which need to be supported by normative text.    So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NOTE 7—See Table 11-27 (Setting of Channel Center Frequency Segment 0, Channel Center Frequency Segment 1, and Channel Center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r>
        <w:t>So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NOTE 6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NOTE 8—A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10.6.13.2 Tx Supported VHT-MCS and NSS Set</w:t>
      </w:r>
      <w:r>
        <w:t>, so OK.</w:t>
      </w:r>
    </w:p>
    <w:p w14:paraId="0E7E3B0C" w14:textId="77777777" w:rsidR="006A1D8E" w:rsidRDefault="006A1D8E" w:rsidP="00360221"/>
    <w:p w14:paraId="696D762F" w14:textId="600530FC" w:rsidR="00360221" w:rsidRDefault="00360221" w:rsidP="006A1D8E">
      <w:pPr>
        <w:ind w:firstLine="720"/>
      </w:pPr>
      <w:r>
        <w:t>NOTE 9—See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At the bottom of the rightmost 2 cells at the top of the table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 ”</w:t>
      </w:r>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237F554D" w:rsidR="00360221" w:rsidRDefault="00360221" w:rsidP="00360221">
      <w:r>
        <w:t xml:space="preserve">Make the changes shown under “Proposed changes” for CID </w:t>
      </w:r>
      <w:r w:rsidR="00FC01DD">
        <w:t>3699</w:t>
      </w:r>
      <w:r w:rsidR="00F66593">
        <w:t xml:space="preserve">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I think it’s trying to say that in those cases where a nonce is not required, it is set to 0.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This field conveys the ANonce from the Authenticator and the SNonce from the</w:t>
      </w:r>
    </w:p>
    <w:p w14:paraId="750BEF1B" w14:textId="73C664BE" w:rsidR="00B32176" w:rsidRDefault="00B32176" w:rsidP="00B32176">
      <w:pPr>
        <w:ind w:left="720"/>
      </w:pPr>
      <w:r>
        <w:t xml:space="preserve">Supplicant. It </w:t>
      </w:r>
      <w:r w:rsidRPr="00B32176">
        <w:rPr>
          <w:strike/>
        </w:rPr>
        <w:t>may</w:t>
      </w:r>
      <w:r>
        <w:rPr>
          <w:u w:val="single"/>
        </w:rPr>
        <w:t>should</w:t>
      </w:r>
      <w:r>
        <w:t xml:space="preserve"> contain 0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9—Some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r w:rsidRPr="00B32176">
        <w:t>and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rsidRPr="00FC190A">
        <w:rPr>
          <w:highlight w:val="green"/>
        </w:rP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r>
        <w:t>Assaf KASHER helpfully drew my attention to the fact that these are used in low-power SC modes, which are specified to be obsolete.  So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rsidRPr="005700B1">
        <w:rPr>
          <w:highlight w:val="green"/>
        </w:rPr>
        <w:t>REVISED</w:t>
      </w:r>
    </w:p>
    <w:p w14:paraId="504A4F4E" w14:textId="77777777" w:rsidR="00E26CB4" w:rsidRDefault="00E26CB4" w:rsidP="00E26CB4"/>
    <w:p w14:paraId="48E4D0AB" w14:textId="2200B13E" w:rsidR="005700B1" w:rsidRDefault="005700B1" w:rsidP="00E26CB4">
      <w:r>
        <w:t>Before I.7.1 insert a new subclause I.7.1 Introduction, renumbering the existing subclauses.</w:t>
      </w:r>
    </w:p>
    <w:p w14:paraId="32DB4D11" w14:textId="323BA0EF" w:rsidR="00E26CB4" w:rsidRDefault="005700B1" w:rsidP="00E26CB4">
      <w:r>
        <w:t xml:space="preserve">In this new subclause add a para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B57615">
        <w:tc>
          <w:tcPr>
            <w:tcW w:w="1809" w:type="dxa"/>
          </w:tcPr>
          <w:p w14:paraId="5D844741" w14:textId="77777777" w:rsidR="002159AA" w:rsidRDefault="002159AA" w:rsidP="00B57615">
            <w:r>
              <w:lastRenderedPageBreak/>
              <w:t>Identifiers</w:t>
            </w:r>
          </w:p>
        </w:tc>
        <w:tc>
          <w:tcPr>
            <w:tcW w:w="4383" w:type="dxa"/>
          </w:tcPr>
          <w:p w14:paraId="36AE6586" w14:textId="77777777" w:rsidR="002159AA" w:rsidRDefault="002159AA" w:rsidP="00B57615">
            <w:r>
              <w:t>Comment</w:t>
            </w:r>
          </w:p>
        </w:tc>
        <w:tc>
          <w:tcPr>
            <w:tcW w:w="3384" w:type="dxa"/>
          </w:tcPr>
          <w:p w14:paraId="5B79A882" w14:textId="77777777" w:rsidR="002159AA" w:rsidRDefault="002159AA" w:rsidP="00B57615">
            <w:r>
              <w:t>Proposed change</w:t>
            </w:r>
          </w:p>
        </w:tc>
      </w:tr>
      <w:tr w:rsidR="002159AA" w:rsidRPr="002C1619" w14:paraId="21FD5D2A" w14:textId="77777777" w:rsidTr="00B57615">
        <w:tc>
          <w:tcPr>
            <w:tcW w:w="1809" w:type="dxa"/>
          </w:tcPr>
          <w:p w14:paraId="4154A02E" w14:textId="2EAC35DE" w:rsidR="002159AA" w:rsidRDefault="002159AA" w:rsidP="00B57615">
            <w:r>
              <w:t>CID 3175</w:t>
            </w:r>
          </w:p>
          <w:p w14:paraId="04530190" w14:textId="50BA137C" w:rsidR="002159AA" w:rsidRDefault="002159AA" w:rsidP="00B57615">
            <w:r>
              <w:t>Mark RISON</w:t>
            </w:r>
          </w:p>
        </w:tc>
        <w:tc>
          <w:tcPr>
            <w:tcW w:w="4383" w:type="dxa"/>
          </w:tcPr>
          <w:p w14:paraId="7F6FABE7" w14:textId="66305A35" w:rsidR="002159AA" w:rsidRPr="002C1619" w:rsidRDefault="002159AA" w:rsidP="00B57615">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B57615">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Delete the following text from 9.4.1.11 Action field (not in 9.6 Action frame format details):</w:t>
      </w:r>
    </w:p>
    <w:p w14:paraId="4DE483F4" w14:textId="77777777" w:rsidR="002159AA" w:rsidRDefault="002159AA" w:rsidP="002159AA"/>
    <w:p w14:paraId="52A70141" w14:textId="77777777"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3BFB4205" w:rsidR="002159AA" w:rsidRDefault="002159AA" w:rsidP="002159AA">
      <w:pPr>
        <w:ind w:left="720"/>
      </w:pPr>
      <w:r>
        <w:t xml:space="preserve">References in this standard to </w:t>
      </w:r>
      <w:r w:rsidR="000D743A">
        <w:t>a “&lt;name&gt; Action frame</w:t>
      </w:r>
      <w:r>
        <w:t>”, where &lt;name&gt; corresponds to a category identified in Table 9-79 (</w:t>
      </w:r>
      <w:r w:rsidRPr="002159AA">
        <w:t>Category values</w:t>
      </w:r>
      <w:r>
        <w:t>), are to be under</w:t>
      </w:r>
      <w:r w:rsidR="000D743A">
        <w:t>stood as being to an “Action frame</w:t>
      </w:r>
      <w:r>
        <w:t xml:space="preserve"> whose </w:t>
      </w:r>
      <w:r w:rsidR="00AA69F1">
        <w:t xml:space="preserve">Category field indicates &lt;name&gt;”, and references in this standard to a “&lt;name&gt; frame”, where &lt;name&gt; corresponds to an Action frame subtype identified by the octet immediately after the Category field (the &lt;something&gt; Action field identified in the subclauses of Subclause </w:t>
      </w:r>
      <w:r w:rsidR="00AA69F1" w:rsidRPr="00AA69F1">
        <w:t xml:space="preserve">9.6 </w:t>
      </w:r>
      <w:r w:rsidR="00AA69F1">
        <w:t>(</w:t>
      </w:r>
      <w:r w:rsidR="00AA69F1" w:rsidRPr="00AA69F1">
        <w:t>Action frame format details</w:t>
      </w:r>
      <w:r w:rsidR="00AA69F1">
        <w:t>)</w:t>
      </w:r>
      <w:r w:rsidR="00F85F61">
        <w:t>)</w:t>
      </w:r>
      <w:r w:rsidR="00AA69F1">
        <w:t>, are to be understood as being to “an Action frame with that &lt;something&gt; Action field (and the corresponding Category field)”.  For example, frames in the QoS category are called QoS Action frames, and frames in the QoS category with a QoS Action subfield of ADDTS Request are called ADDTS Request frames.</w:t>
      </w:r>
      <w:r w:rsidR="00576CA7">
        <w:t xml:space="preserve">  Vendor Specific frames are a special case in that they are identified from the Category field.</w:t>
      </w:r>
    </w:p>
    <w:p w14:paraId="24DE0B52" w14:textId="5D2A89E8" w:rsidR="002159AA" w:rsidRDefault="002159AA" w:rsidP="002159AA">
      <w:pPr>
        <w:rPr>
          <w:u w:val="single"/>
        </w:rPr>
      </w:pPr>
    </w:p>
    <w:p w14:paraId="3FCA2FBD" w14:textId="29377A6D" w:rsidR="0093693D" w:rsidRDefault="0093693D" w:rsidP="002159AA">
      <w:r>
        <w:t>Change “</w:t>
      </w:r>
      <w:r w:rsidRPr="0093693D">
        <w:t>9.6.27 Control Response MCS Negotiation frame details</w:t>
      </w:r>
      <w:r>
        <w:t>” to “</w:t>
      </w:r>
      <w:r w:rsidRPr="0093693D">
        <w:t xml:space="preserve">9.6.27 Control Response MCS Negotiation </w:t>
      </w:r>
      <w:r>
        <w:t xml:space="preserve">Action </w:t>
      </w:r>
      <w:r w:rsidRPr="0093693D">
        <w:t>frame details</w:t>
      </w:r>
      <w:r>
        <w:t>”.</w:t>
      </w:r>
    </w:p>
    <w:p w14:paraId="0E20B870" w14:textId="77777777" w:rsidR="0093693D" w:rsidRDefault="0093693D" w:rsidP="002159AA"/>
    <w:p w14:paraId="70A49D5E" w14:textId="1F7336FF" w:rsidR="005D4A1B" w:rsidRPr="00576CA7" w:rsidRDefault="005D4A1B" w:rsidP="002159AA">
      <w:r>
        <w:t>Change “</w:t>
      </w:r>
      <w:r w:rsidRPr="005D4A1B">
        <w:t>9.6.33 WUR Action details</w:t>
      </w:r>
      <w:r>
        <w:t>” to “</w:t>
      </w:r>
      <w:r w:rsidRPr="005D4A1B">
        <w:t xml:space="preserve">9.6.33 WUR Action </w:t>
      </w:r>
      <w:r>
        <w:t xml:space="preserve">frame </w:t>
      </w:r>
      <w:r w:rsidRPr="005D4A1B">
        <w:t>details</w:t>
      </w:r>
      <w:r>
        <w:t>”.</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rsidRPr="005700B1">
        <w:rPr>
          <w:highlight w:val="green"/>
        </w:rPr>
        <w:t>REVISED</w:t>
      </w:r>
    </w:p>
    <w:p w14:paraId="09C31BCD" w14:textId="77777777" w:rsidR="002159AA" w:rsidRDefault="002159AA" w:rsidP="002159AA"/>
    <w:p w14:paraId="0FE922CA" w14:textId="38DF05CA"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r w:rsidR="009E0DD9">
        <w:t xml:space="preserve">  Some editorial inconsistencies are also addressed.</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B57615">
        <w:tc>
          <w:tcPr>
            <w:tcW w:w="1809" w:type="dxa"/>
          </w:tcPr>
          <w:p w14:paraId="4ACE294B" w14:textId="77777777" w:rsidR="001F53F1" w:rsidRDefault="001F53F1" w:rsidP="00B57615">
            <w:r>
              <w:lastRenderedPageBreak/>
              <w:t>Identifiers</w:t>
            </w:r>
          </w:p>
        </w:tc>
        <w:tc>
          <w:tcPr>
            <w:tcW w:w="4383" w:type="dxa"/>
          </w:tcPr>
          <w:p w14:paraId="62130CCB" w14:textId="77777777" w:rsidR="001F53F1" w:rsidRDefault="001F53F1" w:rsidP="00B57615">
            <w:r>
              <w:t>Comment</w:t>
            </w:r>
          </w:p>
        </w:tc>
        <w:tc>
          <w:tcPr>
            <w:tcW w:w="3384" w:type="dxa"/>
          </w:tcPr>
          <w:p w14:paraId="0FDEACD4" w14:textId="77777777" w:rsidR="001F53F1" w:rsidRDefault="001F53F1" w:rsidP="00B57615">
            <w:r>
              <w:t>Proposed change</w:t>
            </w:r>
          </w:p>
        </w:tc>
      </w:tr>
      <w:tr w:rsidR="001F53F1" w:rsidRPr="002C1619" w14:paraId="2DE0E28C" w14:textId="77777777" w:rsidTr="00B57615">
        <w:tc>
          <w:tcPr>
            <w:tcW w:w="1809" w:type="dxa"/>
          </w:tcPr>
          <w:p w14:paraId="4319353F" w14:textId="125BCC89" w:rsidR="001F53F1" w:rsidRDefault="00517808" w:rsidP="00B57615">
            <w:r>
              <w:t>CID 3057</w:t>
            </w:r>
          </w:p>
          <w:p w14:paraId="391C9205" w14:textId="5A94540B" w:rsidR="001F53F1" w:rsidRDefault="001F53F1" w:rsidP="00B57615">
            <w:r>
              <w:t>Graham SMITH</w:t>
            </w:r>
          </w:p>
          <w:p w14:paraId="697E657C" w14:textId="73790EAA" w:rsidR="001F53F1" w:rsidRDefault="001F53F1" w:rsidP="00B57615">
            <w:r>
              <w:t>16</w:t>
            </w:r>
          </w:p>
          <w:p w14:paraId="06348B9E" w14:textId="4D09B551" w:rsidR="001F53F1" w:rsidRDefault="001F53F1" w:rsidP="00B57615">
            <w:r>
              <w:t>3136.1</w:t>
            </w:r>
          </w:p>
          <w:p w14:paraId="181AA562" w14:textId="77777777" w:rsidR="001F53F1" w:rsidRDefault="001F53F1" w:rsidP="00B57615"/>
        </w:tc>
        <w:tc>
          <w:tcPr>
            <w:tcW w:w="4383" w:type="dxa"/>
          </w:tcPr>
          <w:p w14:paraId="514752BA" w14:textId="0FFB281C" w:rsidR="001F53F1" w:rsidRPr="002C1619" w:rsidRDefault="001F53F1" w:rsidP="00B57615">
            <w:r w:rsidRPr="001F53F1">
              <w:t>Is it time to look at removing Clause 16 HR/DSSS aka  CCK from the standard?  5.5 and 11Mbps are better served by 6 and 12 Mbps OFDM.  Fallback tends to go 12, 6, 2, 1 and 11 and 5.5 ar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B57615">
            <w:r w:rsidRPr="001F53F1">
              <w:t>Let's have a discussion and get input to see if chipsets are really using  CCK or whether, as I suspect, they skip over it using 6 and 12Mbbs OFDM rather than 5.5 and 11.  (Or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rsidRPr="00310532">
        <w:rPr>
          <w:highlight w:val="green"/>
        </w:rPr>
        <w:t>REJECTE</w:t>
      </w:r>
      <w:r w:rsidR="001F53F1" w:rsidRPr="00310532">
        <w:rPr>
          <w:highlight w:val="green"/>
        </w:rPr>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Certain external standards allow for operation above 2 Mbps without use of OFDM</w:t>
      </w:r>
    </w:p>
    <w:p w14:paraId="1ED19157" w14:textId="77777777" w:rsidR="0066341B" w:rsidRDefault="0066341B">
      <w:r>
        <w:br w:type="page"/>
      </w:r>
    </w:p>
    <w:tbl>
      <w:tblPr>
        <w:tblStyle w:val="TableGrid"/>
        <w:tblW w:w="0" w:type="auto"/>
        <w:tblLook w:val="04A0" w:firstRow="1" w:lastRow="0" w:firstColumn="1" w:lastColumn="0" w:noHBand="0" w:noVBand="1"/>
      </w:tblPr>
      <w:tblGrid>
        <w:gridCol w:w="1809"/>
        <w:gridCol w:w="4383"/>
        <w:gridCol w:w="3384"/>
      </w:tblGrid>
      <w:tr w:rsidR="0066341B" w14:paraId="7C6D8E69" w14:textId="77777777" w:rsidTr="00A47177">
        <w:tc>
          <w:tcPr>
            <w:tcW w:w="1809" w:type="dxa"/>
          </w:tcPr>
          <w:p w14:paraId="74796EA8" w14:textId="77777777" w:rsidR="0066341B" w:rsidRDefault="0066341B" w:rsidP="00A47177">
            <w:r>
              <w:lastRenderedPageBreak/>
              <w:t>Identifiers</w:t>
            </w:r>
          </w:p>
        </w:tc>
        <w:tc>
          <w:tcPr>
            <w:tcW w:w="4383" w:type="dxa"/>
          </w:tcPr>
          <w:p w14:paraId="71972A59" w14:textId="77777777" w:rsidR="0066341B" w:rsidRDefault="0066341B" w:rsidP="00A47177">
            <w:r>
              <w:t>Comment</w:t>
            </w:r>
          </w:p>
        </w:tc>
        <w:tc>
          <w:tcPr>
            <w:tcW w:w="3384" w:type="dxa"/>
          </w:tcPr>
          <w:p w14:paraId="4F409A55" w14:textId="77777777" w:rsidR="0066341B" w:rsidRDefault="0066341B" w:rsidP="00A47177">
            <w:r>
              <w:t>Proposed change</w:t>
            </w:r>
          </w:p>
        </w:tc>
      </w:tr>
      <w:tr w:rsidR="0066341B" w:rsidRPr="002C1619" w14:paraId="109D9CB2" w14:textId="77777777" w:rsidTr="00A47177">
        <w:tc>
          <w:tcPr>
            <w:tcW w:w="1809" w:type="dxa"/>
          </w:tcPr>
          <w:p w14:paraId="11FD42B1" w14:textId="23FD44EB" w:rsidR="0066341B" w:rsidRDefault="0066341B" w:rsidP="00A47177">
            <w:r>
              <w:t>CID 3329</w:t>
            </w:r>
          </w:p>
          <w:p w14:paraId="3BF42D2F" w14:textId="77777777" w:rsidR="0066341B" w:rsidRDefault="0066341B" w:rsidP="00A47177">
            <w:r>
              <w:t>Mark RISON</w:t>
            </w:r>
          </w:p>
          <w:p w14:paraId="000D5407" w14:textId="77777777" w:rsidR="0066341B" w:rsidRDefault="0066341B" w:rsidP="00A47177">
            <w:r>
              <w:t>4.5.4.9</w:t>
            </w:r>
          </w:p>
          <w:p w14:paraId="21763659" w14:textId="5C991533" w:rsidR="0066341B" w:rsidRDefault="0066341B" w:rsidP="00A47177">
            <w:r>
              <w:t>314.45</w:t>
            </w:r>
          </w:p>
        </w:tc>
        <w:tc>
          <w:tcPr>
            <w:tcW w:w="4383" w:type="dxa"/>
          </w:tcPr>
          <w:p w14:paraId="549FB0F7" w14:textId="76DA5BA2" w:rsidR="0066341B" w:rsidRDefault="0066341B" w:rsidP="0066341B">
            <w:r>
              <w:t>"Management frame protection protocols in an MBSS apply to the following frames:</w:t>
            </w:r>
          </w:p>
          <w:p w14:paraId="0D54DA50" w14:textId="77777777" w:rsidR="0066341B" w:rsidRDefault="0066341B" w:rsidP="0066341B">
            <w:r>
              <w:t>-- Individually addressed robust Management frames, after establishment of the MTK,</w:t>
            </w:r>
          </w:p>
          <w:p w14:paraId="4F0FB8BE" w14:textId="7AF102B3" w:rsidR="0066341B" w:rsidRPr="002C1619" w:rsidRDefault="0066341B" w:rsidP="0066341B">
            <w:r>
              <w:t>-- Group addressed Action frame " -- also Action No Ack frames?  Ditto other locations identified under CID 1980 in 22/0353r1</w:t>
            </w:r>
          </w:p>
        </w:tc>
        <w:tc>
          <w:tcPr>
            <w:tcW w:w="3384" w:type="dxa"/>
          </w:tcPr>
          <w:p w14:paraId="292F24A5" w14:textId="1C1B895D" w:rsidR="0066341B" w:rsidRPr="002C1619" w:rsidRDefault="0066341B" w:rsidP="00A47177">
            <w:r w:rsidRPr="0066341B">
              <w:t>Change "Action frame" to "Action and Action No Ack frames"</w:t>
            </w:r>
          </w:p>
        </w:tc>
      </w:tr>
    </w:tbl>
    <w:p w14:paraId="09910879" w14:textId="77777777" w:rsidR="0066341B" w:rsidRDefault="0066341B" w:rsidP="0066341B"/>
    <w:p w14:paraId="1BFEB917" w14:textId="77777777" w:rsidR="0066341B" w:rsidRPr="00F70C97" w:rsidRDefault="0066341B" w:rsidP="0066341B">
      <w:pPr>
        <w:rPr>
          <w:u w:val="single"/>
        </w:rPr>
      </w:pPr>
      <w:r w:rsidRPr="00F70C97">
        <w:rPr>
          <w:u w:val="single"/>
        </w:rPr>
        <w:t>Discussion:</w:t>
      </w:r>
    </w:p>
    <w:p w14:paraId="160F6480" w14:textId="77777777" w:rsidR="0066341B" w:rsidRDefault="0066341B" w:rsidP="0066341B"/>
    <w:p w14:paraId="678F3E5E" w14:textId="3AD83C2F" w:rsidR="0066341B" w:rsidRDefault="0066341B" w:rsidP="0066341B">
      <w:r>
        <w:t>MFP applies to Action No Ack frames just as it does to Action frames.</w:t>
      </w:r>
    </w:p>
    <w:p w14:paraId="37F26CD7" w14:textId="77777777" w:rsidR="0066341B" w:rsidRDefault="0066341B" w:rsidP="0066341B"/>
    <w:p w14:paraId="7D587B01" w14:textId="77777777" w:rsidR="0066341B" w:rsidRDefault="0066341B" w:rsidP="0066341B">
      <w:pPr>
        <w:rPr>
          <w:u w:val="single"/>
        </w:rPr>
      </w:pPr>
      <w:r>
        <w:rPr>
          <w:u w:val="single"/>
        </w:rPr>
        <w:t>Proposed changes</w:t>
      </w:r>
      <w:r w:rsidRPr="00F70C97">
        <w:rPr>
          <w:u w:val="single"/>
        </w:rPr>
        <w:t>:</w:t>
      </w:r>
    </w:p>
    <w:p w14:paraId="4673D3EB" w14:textId="4AAB1FCF" w:rsidR="0066341B" w:rsidRDefault="0066341B" w:rsidP="0066341B">
      <w:pPr>
        <w:rPr>
          <w:u w:val="single"/>
        </w:rPr>
      </w:pPr>
    </w:p>
    <w:p w14:paraId="0C8ABDDC" w14:textId="4F0FF132" w:rsidR="0066341B" w:rsidRPr="0066341B" w:rsidRDefault="0066341B" w:rsidP="0066341B">
      <w:r>
        <w:t xml:space="preserve">In </w:t>
      </w:r>
      <w:r w:rsidRPr="0066341B">
        <w:t>4.5.4.9 Management frame protection</w:t>
      </w:r>
      <w:r>
        <w:t>,</w:t>
      </w:r>
      <w:r w:rsidRPr="0066341B">
        <w:t xml:space="preserve"> "Action frame" need</w:t>
      </w:r>
      <w:r>
        <w:t>s</w:t>
      </w:r>
      <w:r w:rsidRPr="0066341B">
        <w:t xml:space="preserve"> to become</w:t>
      </w:r>
      <w:r>
        <w:t xml:space="preserve"> </w:t>
      </w:r>
      <w:r w:rsidRPr="0066341B">
        <w:t>"Action or Action No Ack frame":</w:t>
      </w:r>
    </w:p>
    <w:p w14:paraId="41A24603" w14:textId="77777777" w:rsidR="0066341B" w:rsidRPr="0066341B" w:rsidRDefault="0066341B" w:rsidP="0066341B"/>
    <w:p w14:paraId="0964B790" w14:textId="77777777" w:rsidR="0066341B" w:rsidRPr="0066341B" w:rsidRDefault="0066341B" w:rsidP="0066341B">
      <w:pPr>
        <w:ind w:left="720"/>
      </w:pPr>
      <w:r w:rsidRPr="0066341B">
        <w:t>Management frame protection protocols in an MBSS apply to the following frames:</w:t>
      </w:r>
    </w:p>
    <w:p w14:paraId="77E2B3F3" w14:textId="77777777" w:rsidR="0066341B" w:rsidRPr="0066341B" w:rsidRDefault="0066341B" w:rsidP="0066341B">
      <w:pPr>
        <w:ind w:left="720"/>
      </w:pPr>
      <w:r w:rsidRPr="0066341B">
        <w:t>— Individually addressed robust Management frames, after establishment of the MTK,</w:t>
      </w:r>
    </w:p>
    <w:p w14:paraId="4F1E6AA9" w14:textId="77777777" w:rsidR="0066341B" w:rsidRPr="0066341B" w:rsidRDefault="0066341B" w:rsidP="0066341B">
      <w:pPr>
        <w:ind w:left="720"/>
      </w:pPr>
      <w:r w:rsidRPr="0066341B">
        <w:t xml:space="preserve">— Group addressed </w:t>
      </w:r>
      <w:r w:rsidRPr="0066341B">
        <w:rPr>
          <w:highlight w:val="yellow"/>
        </w:rPr>
        <w:t>Action frame</w:t>
      </w:r>
      <w:r w:rsidRPr="0066341B">
        <w:t>s of a category specified with Yes in the Group addressed privacy column of Table 9-79 (Category values), after establishment of the MGTK, and</w:t>
      </w:r>
    </w:p>
    <w:p w14:paraId="5CEEB91F" w14:textId="77777777" w:rsidR="0066341B" w:rsidRPr="0066341B" w:rsidRDefault="0066341B" w:rsidP="0066341B">
      <w:pPr>
        <w:ind w:left="720"/>
      </w:pPr>
      <w:r w:rsidRPr="0066341B">
        <w:t xml:space="preserve">— Group addressed robust Management frames that are not </w:t>
      </w:r>
      <w:r w:rsidRPr="0066341B">
        <w:rPr>
          <w:highlight w:val="yellow"/>
        </w:rPr>
        <w:t>Action frame</w:t>
      </w:r>
      <w:r w:rsidRPr="0066341B">
        <w:t>s of a category specified with Yes in the Group addressed privacy column of Table 9-79 (Category values), after establishment of the IGTK.</w:t>
      </w:r>
    </w:p>
    <w:p w14:paraId="4D40D166" w14:textId="77777777" w:rsidR="0066341B" w:rsidRPr="0066341B" w:rsidRDefault="0066341B" w:rsidP="0066341B">
      <w:pPr>
        <w:ind w:left="720"/>
      </w:pPr>
    </w:p>
    <w:p w14:paraId="21F03080" w14:textId="4AAE088D" w:rsidR="0066341B" w:rsidRPr="0066341B" w:rsidRDefault="0066341B" w:rsidP="0066341B">
      <w:pPr>
        <w:ind w:left="720"/>
      </w:pPr>
      <w:r w:rsidRPr="0066341B">
        <w:t xml:space="preserve">The MME is present when management frame protection is enabled at the AP and the frame is a group addressed robust </w:t>
      </w:r>
      <w:r w:rsidRPr="0066341B">
        <w:rPr>
          <w:highlight w:val="yellow"/>
        </w:rPr>
        <w:t>Action frame</w:t>
      </w:r>
      <w:r w:rsidRPr="0066341B">
        <w:t xml:space="preserve"> not of a category specified with Yes in the Group addressed privacy column of Table 9-79 (Category values).</w:t>
      </w:r>
    </w:p>
    <w:p w14:paraId="6495B044" w14:textId="77777777" w:rsidR="0066341B" w:rsidRDefault="0066341B" w:rsidP="0066341B">
      <w:pPr>
        <w:rPr>
          <w:u w:val="single"/>
        </w:rPr>
      </w:pPr>
    </w:p>
    <w:p w14:paraId="5D980EFF" w14:textId="77777777" w:rsidR="0066341B" w:rsidRPr="00FF305B" w:rsidRDefault="0066341B" w:rsidP="0066341B">
      <w:pPr>
        <w:rPr>
          <w:u w:val="single"/>
        </w:rPr>
      </w:pPr>
      <w:r w:rsidRPr="00FF305B">
        <w:rPr>
          <w:u w:val="single"/>
        </w:rPr>
        <w:t>Proposed resolution:</w:t>
      </w:r>
    </w:p>
    <w:p w14:paraId="2D8434DD" w14:textId="77777777" w:rsidR="0066341B" w:rsidRDefault="0066341B" w:rsidP="0066341B">
      <w:pPr>
        <w:rPr>
          <w:b/>
          <w:sz w:val="24"/>
        </w:rPr>
      </w:pPr>
    </w:p>
    <w:p w14:paraId="43ECCF29" w14:textId="77777777" w:rsidR="0066341B" w:rsidRDefault="0066341B" w:rsidP="0066341B">
      <w:r>
        <w:t>REVISED</w:t>
      </w:r>
    </w:p>
    <w:p w14:paraId="6ED43FAB" w14:textId="77777777" w:rsidR="0066341B" w:rsidRDefault="0066341B" w:rsidP="0066341B"/>
    <w:p w14:paraId="5F9B72EA" w14:textId="2294D42F" w:rsidR="0066341B" w:rsidRDefault="0066341B" w:rsidP="0066341B">
      <w:r>
        <w:t xml:space="preserve">Change </w:t>
      </w:r>
      <w:r w:rsidRPr="0066341B">
        <w:t>"Action frame"</w:t>
      </w:r>
      <w:r>
        <w:t>[s]</w:t>
      </w:r>
      <w:r w:rsidRPr="0066341B">
        <w:t xml:space="preserve"> to "Action or Action No Ack frame"</w:t>
      </w:r>
      <w:r>
        <w:t>[s] in 4.5.4.9 (3x).</w:t>
      </w:r>
    </w:p>
    <w:p w14:paraId="512006DD" w14:textId="77777777" w:rsidR="00D145C2" w:rsidRDefault="00D145C2">
      <w:r>
        <w:br w:type="page"/>
      </w:r>
    </w:p>
    <w:tbl>
      <w:tblPr>
        <w:tblStyle w:val="TableGrid"/>
        <w:tblW w:w="0" w:type="auto"/>
        <w:tblLook w:val="04A0" w:firstRow="1" w:lastRow="0" w:firstColumn="1" w:lastColumn="0" w:noHBand="0" w:noVBand="1"/>
      </w:tblPr>
      <w:tblGrid>
        <w:gridCol w:w="1809"/>
        <w:gridCol w:w="4383"/>
        <w:gridCol w:w="3384"/>
      </w:tblGrid>
      <w:tr w:rsidR="00D145C2" w14:paraId="724C2F40" w14:textId="77777777" w:rsidTr="00A47177">
        <w:tc>
          <w:tcPr>
            <w:tcW w:w="1809" w:type="dxa"/>
          </w:tcPr>
          <w:p w14:paraId="64551C80" w14:textId="77777777" w:rsidR="00D145C2" w:rsidRDefault="00D145C2" w:rsidP="00A47177">
            <w:r>
              <w:lastRenderedPageBreak/>
              <w:t>Identifiers</w:t>
            </w:r>
          </w:p>
        </w:tc>
        <w:tc>
          <w:tcPr>
            <w:tcW w:w="4383" w:type="dxa"/>
          </w:tcPr>
          <w:p w14:paraId="3033456D" w14:textId="77777777" w:rsidR="00D145C2" w:rsidRDefault="00D145C2" w:rsidP="00A47177">
            <w:r>
              <w:t>Comment</w:t>
            </w:r>
          </w:p>
        </w:tc>
        <w:tc>
          <w:tcPr>
            <w:tcW w:w="3384" w:type="dxa"/>
          </w:tcPr>
          <w:p w14:paraId="39FB21CB" w14:textId="77777777" w:rsidR="00D145C2" w:rsidRDefault="00D145C2" w:rsidP="00A47177">
            <w:r>
              <w:t>Proposed change</w:t>
            </w:r>
          </w:p>
        </w:tc>
      </w:tr>
      <w:tr w:rsidR="00D145C2" w:rsidRPr="002C1619" w14:paraId="63B0113F" w14:textId="77777777" w:rsidTr="00A47177">
        <w:tc>
          <w:tcPr>
            <w:tcW w:w="1809" w:type="dxa"/>
          </w:tcPr>
          <w:p w14:paraId="6FBDA787" w14:textId="64D8AC3A" w:rsidR="00D145C2" w:rsidRDefault="00D145C2" w:rsidP="00A47177">
            <w:r>
              <w:t>CID 3361</w:t>
            </w:r>
          </w:p>
          <w:p w14:paraId="59D0DADB" w14:textId="77777777" w:rsidR="00D145C2" w:rsidRDefault="00D145C2" w:rsidP="00A47177">
            <w:r>
              <w:t>Mark RISON</w:t>
            </w:r>
          </w:p>
          <w:p w14:paraId="3C68E44B" w14:textId="77777777" w:rsidR="00D145C2" w:rsidRDefault="00D145C2" w:rsidP="00A47177"/>
        </w:tc>
        <w:tc>
          <w:tcPr>
            <w:tcW w:w="4383" w:type="dxa"/>
          </w:tcPr>
          <w:p w14:paraId="1F0AD7D5" w14:textId="12D03A7B" w:rsidR="00D145C2" w:rsidRPr="002C1619" w:rsidRDefault="00D145C2" w:rsidP="00A47177">
            <w:r w:rsidRPr="00D145C2">
              <w:t>Per CID 1630, "time priority Management frame:" etc. needs to become "time priority management frame:"</w:t>
            </w:r>
          </w:p>
        </w:tc>
        <w:tc>
          <w:tcPr>
            <w:tcW w:w="3384" w:type="dxa"/>
          </w:tcPr>
          <w:p w14:paraId="7E06BDE6" w14:textId="1D619CB2" w:rsidR="00D145C2" w:rsidRPr="002C1619" w:rsidRDefault="00D145C2" w:rsidP="00A47177">
            <w:r w:rsidRPr="00D145C2">
              <w:t>As it says in the comment</w:t>
            </w:r>
          </w:p>
        </w:tc>
      </w:tr>
    </w:tbl>
    <w:p w14:paraId="74927EEA" w14:textId="77777777" w:rsidR="00D145C2" w:rsidRDefault="00D145C2" w:rsidP="00D145C2"/>
    <w:p w14:paraId="331BDFD4" w14:textId="77777777" w:rsidR="00D145C2" w:rsidRPr="00F70C97" w:rsidRDefault="00D145C2" w:rsidP="00D145C2">
      <w:pPr>
        <w:rPr>
          <w:u w:val="single"/>
        </w:rPr>
      </w:pPr>
      <w:r w:rsidRPr="00F70C97">
        <w:rPr>
          <w:u w:val="single"/>
        </w:rPr>
        <w:t>Discussion:</w:t>
      </w:r>
    </w:p>
    <w:p w14:paraId="4F669591" w14:textId="77777777" w:rsidR="00D145C2" w:rsidRDefault="00D145C2" w:rsidP="00D145C2"/>
    <w:p w14:paraId="2D84B571" w14:textId="688DDE94" w:rsidR="00D145C2" w:rsidRDefault="00D145C2" w:rsidP="00D145C2">
      <w:r>
        <w:t>Subclauses 3.1 and 3.2 are an exception to the rule that frame types/names are capitalised.  However abbreviations like EAP, EAPOL and TVHT remain capitalised.</w:t>
      </w:r>
    </w:p>
    <w:p w14:paraId="25A0BD44" w14:textId="26003202" w:rsidR="00D145C2" w:rsidRDefault="00D145C2" w:rsidP="00D145C2"/>
    <w:p w14:paraId="708B3B5C" w14:textId="6A7BEC44" w:rsidR="00D145C2" w:rsidRDefault="00D145C2" w:rsidP="00D145C2">
      <w:r>
        <w:t>Also, elements/frames have one name</w:t>
      </w:r>
      <w:r w:rsidR="00F573D5">
        <w:t xml:space="preserve"> and this remains capitalised</w:t>
      </w:r>
      <w:r>
        <w:t>.</w:t>
      </w:r>
    </w:p>
    <w:p w14:paraId="3C8BC990" w14:textId="77777777" w:rsidR="00D145C2" w:rsidRDefault="00D145C2" w:rsidP="00D145C2"/>
    <w:p w14:paraId="57317AC1" w14:textId="6E0BF6CE" w:rsidR="00D145C2" w:rsidRDefault="00D145C2" w:rsidP="00D145C2">
      <w:pPr>
        <w:rPr>
          <w:u w:val="single"/>
        </w:rPr>
      </w:pPr>
      <w:r>
        <w:rPr>
          <w:u w:val="single"/>
        </w:rPr>
        <w:t>Proposed resolution</w:t>
      </w:r>
      <w:r w:rsidRPr="00F70C97">
        <w:rPr>
          <w:u w:val="single"/>
        </w:rPr>
        <w:t>:</w:t>
      </w:r>
    </w:p>
    <w:p w14:paraId="203F1BA0" w14:textId="77777777" w:rsidR="00D145C2" w:rsidRDefault="00D145C2" w:rsidP="00D145C2">
      <w:pPr>
        <w:rPr>
          <w:u w:val="single"/>
        </w:rPr>
      </w:pPr>
    </w:p>
    <w:p w14:paraId="2075D888" w14:textId="77777777" w:rsidR="00D145C2" w:rsidRDefault="00D145C2" w:rsidP="00D145C2">
      <w:r>
        <w:t>REVISED</w:t>
      </w:r>
    </w:p>
    <w:p w14:paraId="7BC05761" w14:textId="77777777" w:rsidR="00D145C2" w:rsidRDefault="00D145C2" w:rsidP="00D145C2"/>
    <w:p w14:paraId="301396FA" w14:textId="2242E7B9" w:rsidR="00D145C2" w:rsidRDefault="00D145C2" w:rsidP="00D145C2">
      <w:r w:rsidRPr="00D145C2">
        <w:t>Lowercase the following terms before the colon in Subclauses 3.1 and 3.2:</w:t>
      </w:r>
    </w:p>
    <w:p w14:paraId="42385AF5" w14:textId="5D38DC6A" w:rsidR="00D145C2" w:rsidRDefault="00D145C2" w:rsidP="00D145C2"/>
    <w:p w14:paraId="696CC75D" w14:textId="2B384003" w:rsidR="00D145C2" w:rsidRDefault="00D145C2" w:rsidP="00D145C2">
      <w:r w:rsidRPr="00D145C2">
        <w:t xml:space="preserve">mesh </w:t>
      </w:r>
      <w:r w:rsidRPr="00D145C2">
        <w:rPr>
          <w:highlight w:val="yellow"/>
        </w:rPr>
        <w:t>Data</w:t>
      </w:r>
      <w:r w:rsidRPr="00D145C2">
        <w:t xml:space="preserve"> frame:</w:t>
      </w:r>
    </w:p>
    <w:p w14:paraId="27FC7AF3" w14:textId="615580CD" w:rsidR="00D145C2" w:rsidRPr="00D145C2" w:rsidRDefault="00D145C2" w:rsidP="00D145C2">
      <w:r w:rsidRPr="00D145C2">
        <w:t xml:space="preserve">robust </w:t>
      </w:r>
      <w:r w:rsidRPr="00D145C2">
        <w:rPr>
          <w:highlight w:val="yellow"/>
        </w:rPr>
        <w:t>Action</w:t>
      </w:r>
      <w:r w:rsidRPr="00D145C2">
        <w:t xml:space="preserve"> frame:</w:t>
      </w:r>
    </w:p>
    <w:p w14:paraId="4A4CE8B7" w14:textId="24EF8801" w:rsidR="00D145C2" w:rsidRPr="00D145C2" w:rsidRDefault="00D145C2" w:rsidP="00D145C2">
      <w:r w:rsidRPr="00D145C2">
        <w:t xml:space="preserve">robust </w:t>
      </w:r>
      <w:r w:rsidRPr="00D145C2">
        <w:rPr>
          <w:highlight w:val="yellow"/>
        </w:rPr>
        <w:t>Management</w:t>
      </w:r>
      <w:r w:rsidRPr="00D145C2">
        <w:t xml:space="preserve"> frame:</w:t>
      </w:r>
    </w:p>
    <w:p w14:paraId="00F97C7F" w14:textId="136E7A47" w:rsidR="00D145C2" w:rsidRPr="00D145C2" w:rsidRDefault="00D145C2" w:rsidP="00D145C2">
      <w:r w:rsidRPr="00D145C2">
        <w:t xml:space="preserve">time priority </w:t>
      </w:r>
      <w:r w:rsidRPr="00D145C2">
        <w:rPr>
          <w:highlight w:val="yellow"/>
        </w:rPr>
        <w:t>Management</w:t>
      </w:r>
      <w:r w:rsidRPr="00D145C2">
        <w:t xml:space="preserve"> frame:</w:t>
      </w:r>
    </w:p>
    <w:p w14:paraId="10559FC2" w14:textId="11127991" w:rsidR="00D145C2" w:rsidRDefault="00D145C2" w:rsidP="00D145C2">
      <w:pPr>
        <w:rPr>
          <w:u w:val="single"/>
        </w:rPr>
      </w:pPr>
    </w:p>
    <w:p w14:paraId="0CCE6B52" w14:textId="3AA952BA" w:rsidR="00D145C2" w:rsidRDefault="00D145C2" w:rsidP="00D145C2">
      <w:r w:rsidRPr="00D145C2">
        <w:t>Change the following to use the actual element name</w:t>
      </w:r>
      <w:r w:rsidR="0007345A">
        <w:t xml:space="preserve"> (locations in D2.1)</w:t>
      </w:r>
      <w:r w:rsidRPr="00D145C2">
        <w:t>:</w:t>
      </w:r>
    </w:p>
    <w:p w14:paraId="71F709CF" w14:textId="20FF3B0E" w:rsidR="00D145C2" w:rsidRDefault="00D145C2" w:rsidP="00D145C2"/>
    <w:p w14:paraId="7A8950B0" w14:textId="2CD34DF8" w:rsidR="00D145C2" w:rsidRDefault="00D145C2" w:rsidP="00D145C2">
      <w:r w:rsidRPr="00D145C2">
        <w:t>traffic indication map (TIM) element</w:t>
      </w:r>
      <w:r>
        <w:t xml:space="preserve"> -&gt; TIM element</w:t>
      </w:r>
      <w:r w:rsidR="0007345A">
        <w:t xml:space="preserve"> [188.28]</w:t>
      </w:r>
    </w:p>
    <w:p w14:paraId="4A4C0F5C" w14:textId="2FB09BCA" w:rsidR="00D145C2" w:rsidRDefault="00D145C2" w:rsidP="00D145C2">
      <w:r w:rsidRPr="00D145C2">
        <w:t>traffic classification (TCLAS) elements</w:t>
      </w:r>
      <w:r>
        <w:t xml:space="preserve"> -&gt; TCLAS elements</w:t>
      </w:r>
      <w:r w:rsidR="0007345A">
        <w:t xml:space="preserve"> [193.61]</w:t>
      </w:r>
    </w:p>
    <w:p w14:paraId="2BFA2B2B" w14:textId="30B990BA" w:rsidR="00D145C2" w:rsidRDefault="00D145C2" w:rsidP="00D145C2">
      <w:r w:rsidRPr="00D145C2">
        <w:t>high throughput (HT) and very high throughput (VHT) Operation elements</w:t>
      </w:r>
      <w:r>
        <w:t xml:space="preserve"> -&gt; HT and VHT Operation elements</w:t>
      </w:r>
      <w:r w:rsidR="0007345A">
        <w:t xml:space="preserve"> [205.14]</w:t>
      </w:r>
    </w:p>
    <w:p w14:paraId="7DC5B18B" w14:textId="2DB05A64" w:rsidR="00D145C2" w:rsidRDefault="00D145C2" w:rsidP="00D145C2">
      <w:pPr>
        <w:rPr>
          <w:lang w:val="fr-FR"/>
        </w:rPr>
      </w:pPr>
      <w:r w:rsidRPr="00D145C2">
        <w:rPr>
          <w:lang w:val="fr-FR"/>
        </w:rPr>
        <w:t>management message integrity code (MIC) element (MME) -&gt; MME</w:t>
      </w:r>
      <w:r w:rsidR="0007345A">
        <w:rPr>
          <w:lang w:val="fr-FR"/>
        </w:rPr>
        <w:t xml:space="preserve"> [217.8]</w:t>
      </w:r>
    </w:p>
    <w:p w14:paraId="07DDC23F" w14:textId="1A10572D" w:rsidR="00D145C2" w:rsidRPr="00D145C2" w:rsidRDefault="00D145C2" w:rsidP="00D145C2">
      <w:r w:rsidRPr="00D145C2">
        <w:t>multiple MAC sublayers (MMS) element -&gt; MMS element</w:t>
      </w:r>
      <w:r w:rsidR="0007345A">
        <w:t xml:space="preserve"> [218.40]</w:t>
      </w:r>
    </w:p>
    <w:p w14:paraId="1193A5D6" w14:textId="4237EF77" w:rsidR="00D145C2" w:rsidRDefault="00D145C2" w:rsidP="00D145C2">
      <w:r w:rsidRPr="00D145C2">
        <w:t>RAW parameter set (RPS) element</w:t>
      </w:r>
      <w:r>
        <w:t xml:space="preserve"> -&gt; RPS element</w:t>
      </w:r>
      <w:r w:rsidR="0007345A">
        <w:t xml:space="preserve"> [227.37]</w:t>
      </w:r>
    </w:p>
    <w:p w14:paraId="2E89E90A" w14:textId="79047DF2" w:rsidR="00D145C2" w:rsidRDefault="00D145C2" w:rsidP="00D145C2">
      <w:r w:rsidRPr="00D145C2">
        <w:t>RSN element (RSNE)</w:t>
      </w:r>
      <w:r>
        <w:t xml:space="preserve"> -&gt; RSNE</w:t>
      </w:r>
      <w:r w:rsidR="0007345A">
        <w:t xml:space="preserve"> [227.57]</w:t>
      </w:r>
    </w:p>
    <w:p w14:paraId="2EC99523" w14:textId="45918CB5" w:rsidR="00D145C2" w:rsidRDefault="00D145C2" w:rsidP="00D145C2">
      <w:r>
        <w:t>robust security network element (RSNE) -&gt; RSNE (2x)</w:t>
      </w:r>
      <w:r w:rsidR="0007345A">
        <w:t xml:space="preserve"> [229.44, 234.6]</w:t>
      </w:r>
    </w:p>
    <w:p w14:paraId="21660E2A" w14:textId="1ED4F2C3" w:rsidR="00D145C2" w:rsidRDefault="00D145C2" w:rsidP="00D145C2">
      <w:pPr>
        <w:rPr>
          <w:u w:val="single"/>
        </w:rPr>
      </w:pPr>
    </w:p>
    <w:p w14:paraId="6A71E766" w14:textId="350E7B2A" w:rsidR="00D145C2" w:rsidRPr="00D145C2" w:rsidRDefault="00D145C2" w:rsidP="00D145C2">
      <w:r w:rsidRPr="00D145C2">
        <w:t>Change the following to use the actual frame name</w:t>
      </w:r>
      <w:r w:rsidR="004D4AD3">
        <w:t xml:space="preserve"> (locations in D2.1)</w:t>
      </w:r>
      <w:r w:rsidRPr="00D145C2">
        <w:t>:</w:t>
      </w:r>
    </w:p>
    <w:p w14:paraId="6DD11044" w14:textId="0141E2F3" w:rsidR="00D145C2" w:rsidRPr="00D145C2" w:rsidRDefault="00D145C2" w:rsidP="00D145C2"/>
    <w:p w14:paraId="57AC326F" w14:textId="10C407A0" w:rsidR="00D145C2" w:rsidRDefault="00D145C2" w:rsidP="00D145C2">
      <w:r w:rsidRPr="00D145C2">
        <w:t>broadcast wake-up radio (WUR) wake-up frame:</w:t>
      </w:r>
      <w:r>
        <w:t xml:space="preserve"> -&gt; broadcast WUR Wake-up frame</w:t>
      </w:r>
      <w:r w:rsidR="0007345A">
        <w:t xml:space="preserve"> [206.1]</w:t>
      </w:r>
    </w:p>
    <w:p w14:paraId="1FCE249A" w14:textId="622AF640" w:rsidR="00D145C2" w:rsidRDefault="00D145C2" w:rsidP="00D145C2">
      <w:r w:rsidRPr="00D145C2">
        <w:t>group addressed wake-up radio (WUR) wake-up frame:</w:t>
      </w:r>
      <w:r>
        <w:t xml:space="preserve"> -&gt; group addressed WUR Wake-up frame</w:t>
      </w:r>
      <w:r w:rsidR="0007345A">
        <w:t xml:space="preserve"> [212.63]</w:t>
      </w:r>
    </w:p>
    <w:p w14:paraId="5935596F" w14:textId="09921A8C" w:rsidR="00D145C2" w:rsidRDefault="00D145C2" w:rsidP="00D145C2">
      <w:r>
        <w:t>VHT null data PPDU (NDP) Announcement frame -&gt; VHT NDP Announcement frame</w:t>
      </w:r>
      <w:r w:rsidR="0007345A">
        <w:t xml:space="preserve"> [218.49]</w:t>
      </w:r>
    </w:p>
    <w:p w14:paraId="70F970B0" w14:textId="77777777" w:rsidR="001E4173" w:rsidRDefault="001E4173">
      <w:r>
        <w:br w:type="page"/>
      </w:r>
    </w:p>
    <w:tbl>
      <w:tblPr>
        <w:tblStyle w:val="TableGrid"/>
        <w:tblW w:w="0" w:type="auto"/>
        <w:tblLook w:val="04A0" w:firstRow="1" w:lastRow="0" w:firstColumn="1" w:lastColumn="0" w:noHBand="0" w:noVBand="1"/>
      </w:tblPr>
      <w:tblGrid>
        <w:gridCol w:w="1809"/>
        <w:gridCol w:w="4383"/>
        <w:gridCol w:w="3384"/>
      </w:tblGrid>
      <w:tr w:rsidR="001E4173" w14:paraId="262E0EF8" w14:textId="77777777" w:rsidTr="007413E7">
        <w:tc>
          <w:tcPr>
            <w:tcW w:w="1809" w:type="dxa"/>
          </w:tcPr>
          <w:p w14:paraId="776A3C7C" w14:textId="77777777" w:rsidR="001E4173" w:rsidRDefault="001E4173" w:rsidP="007413E7">
            <w:r>
              <w:lastRenderedPageBreak/>
              <w:t>Identifiers</w:t>
            </w:r>
          </w:p>
        </w:tc>
        <w:tc>
          <w:tcPr>
            <w:tcW w:w="4383" w:type="dxa"/>
          </w:tcPr>
          <w:p w14:paraId="419F64B2" w14:textId="77777777" w:rsidR="001E4173" w:rsidRDefault="001E4173" w:rsidP="007413E7">
            <w:r>
              <w:t>Comment</w:t>
            </w:r>
          </w:p>
        </w:tc>
        <w:tc>
          <w:tcPr>
            <w:tcW w:w="3384" w:type="dxa"/>
          </w:tcPr>
          <w:p w14:paraId="1AE6E00D" w14:textId="77777777" w:rsidR="001E4173" w:rsidRDefault="001E4173" w:rsidP="007413E7">
            <w:r>
              <w:t>Proposed change</w:t>
            </w:r>
          </w:p>
        </w:tc>
      </w:tr>
      <w:tr w:rsidR="001E4173" w:rsidRPr="002C1619" w14:paraId="6855E55F" w14:textId="77777777" w:rsidTr="007413E7">
        <w:tc>
          <w:tcPr>
            <w:tcW w:w="1809" w:type="dxa"/>
          </w:tcPr>
          <w:p w14:paraId="5000F511" w14:textId="53381948" w:rsidR="001E4173" w:rsidRDefault="001E4173" w:rsidP="007413E7">
            <w:r>
              <w:t>CID 3551</w:t>
            </w:r>
          </w:p>
          <w:p w14:paraId="4FC67720" w14:textId="77777777" w:rsidR="001E4173" w:rsidRDefault="001E4173" w:rsidP="007413E7">
            <w:r>
              <w:t>Mark RISON</w:t>
            </w:r>
          </w:p>
          <w:p w14:paraId="0BD4DA53" w14:textId="3B03C395" w:rsidR="001E4173" w:rsidRDefault="001E4173" w:rsidP="007413E7">
            <w:r>
              <w:t>12.6.21</w:t>
            </w:r>
          </w:p>
        </w:tc>
        <w:tc>
          <w:tcPr>
            <w:tcW w:w="4383" w:type="dxa"/>
          </w:tcPr>
          <w:p w14:paraId="66209C13" w14:textId="3F897419" w:rsidR="001E4173" w:rsidRDefault="001E4173" w:rsidP="001E4173">
            <w:r>
              <w:t>Consider the following scenario:</w:t>
            </w:r>
          </w:p>
          <w:p w14:paraId="0C10717A" w14:textId="77777777" w:rsidR="001E4173" w:rsidRDefault="001E4173" w:rsidP="001E4173">
            <w:r>
              <w:t>- AP has set up the GTK with Key ID 3</w:t>
            </w:r>
          </w:p>
          <w:p w14:paraId="6DDE105D" w14:textId="77777777" w:rsidR="001E4173" w:rsidRDefault="001E4173" w:rsidP="001E4173">
            <w:r>
              <w:t>- Evil STA leaves the BSS</w:t>
            </w:r>
          </w:p>
          <w:p w14:paraId="7B269EB7" w14:textId="77777777" w:rsidR="001E4173" w:rsidRDefault="001E4173" w:rsidP="001E4173">
            <w:r>
              <w:t>- AP is the suspicious type and (rightly) does a GTK rekey, and sets up the GTK with Key ID 2</w:t>
            </w:r>
          </w:p>
          <w:p w14:paraId="13A3D815" w14:textId="77777777" w:rsidR="001E4173" w:rsidRDefault="001E4173" w:rsidP="001E4173">
            <w:r>
              <w:t>- The remaining STAs duly install the new GTK under Key ID 2</w:t>
            </w:r>
          </w:p>
          <w:p w14:paraId="0FA54C03" w14:textId="77777777" w:rsidR="001E4173" w:rsidRDefault="001E4173" w:rsidP="001E4173">
            <w:r>
              <w:t>- Sadly, the old key is still there under Key ID 3</w:t>
            </w:r>
          </w:p>
          <w:p w14:paraId="5361D346" w14:textId="77777777" w:rsidR="001E4173" w:rsidRDefault="001E4173" w:rsidP="001E4173">
            <w:r>
              <w:t>- So Evil STA can forge group frames with the old GTK, and get the remaining STAs to accept them</w:t>
            </w:r>
          </w:p>
          <w:p w14:paraId="7FC85181" w14:textId="076D8DF6" w:rsidR="001E4173" w:rsidRPr="002C1619" w:rsidRDefault="001E4173" w:rsidP="001E4173">
            <w:r>
              <w:t>The old GTK needs to be disabled when the new one is set, even with a different Key ID</w:t>
            </w:r>
          </w:p>
        </w:tc>
        <w:tc>
          <w:tcPr>
            <w:tcW w:w="3384" w:type="dxa"/>
          </w:tcPr>
          <w:p w14:paraId="42EBBA46" w14:textId="54AB7450" w:rsidR="001E4173" w:rsidRPr="002C1619" w:rsidRDefault="001E4173" w:rsidP="007413E7">
            <w:r w:rsidRPr="001E4173">
              <w:t>At the end of the referenced subclause add a para: "After performing GTK rekeying, to avoid attacks from STAs that have left the BSS, a Supplicant shall delete the old GTK when it receives a frame encrypted with the new key."</w:t>
            </w:r>
          </w:p>
        </w:tc>
      </w:tr>
    </w:tbl>
    <w:p w14:paraId="424D5477" w14:textId="77777777" w:rsidR="001E4173" w:rsidRDefault="001E4173" w:rsidP="001E4173"/>
    <w:p w14:paraId="2BAE22BD" w14:textId="77777777" w:rsidR="001E4173" w:rsidRPr="00F70C97" w:rsidRDefault="001E4173" w:rsidP="001E4173">
      <w:pPr>
        <w:rPr>
          <w:u w:val="single"/>
        </w:rPr>
      </w:pPr>
      <w:r w:rsidRPr="00F70C97">
        <w:rPr>
          <w:u w:val="single"/>
        </w:rPr>
        <w:t>Discussion:</w:t>
      </w:r>
    </w:p>
    <w:p w14:paraId="52776767" w14:textId="77777777" w:rsidR="001E4173" w:rsidRDefault="001E4173" w:rsidP="001E4173"/>
    <w:p w14:paraId="49C6C3D8" w14:textId="461C8187" w:rsidR="001E4173" w:rsidRDefault="001E4173" w:rsidP="00DD61D5">
      <w:r>
        <w:t xml:space="preserve">This only works if the AP stops using the old key.  This is implied by </w:t>
      </w:r>
      <w:r w:rsidR="00DD61D5">
        <w:t>MLME-SETKEYS.request (“The MAC uses the key information (as defined by the Key Type, Key ID, and Address parameters) for the transmission of subsequent frames to which the key applies (as defined by the Key Type, Key ID and Address parameters).”</w:t>
      </w:r>
      <w:r>
        <w:t>, but needs to be made more explicit (as it already is for IGTK and BIGTK rekeying in 12.5.3.5.</w:t>
      </w:r>
    </w:p>
    <w:p w14:paraId="713058A3" w14:textId="77777777" w:rsidR="001E4173" w:rsidRDefault="001E4173" w:rsidP="001E4173"/>
    <w:p w14:paraId="0A030356" w14:textId="77777777" w:rsidR="001E4173" w:rsidRPr="00FF305B" w:rsidRDefault="001E4173" w:rsidP="001E4173">
      <w:pPr>
        <w:rPr>
          <w:u w:val="single"/>
        </w:rPr>
      </w:pPr>
      <w:r w:rsidRPr="00FF305B">
        <w:rPr>
          <w:u w:val="single"/>
        </w:rPr>
        <w:t>Proposed resolution:</w:t>
      </w:r>
    </w:p>
    <w:p w14:paraId="30A3AAA6" w14:textId="77777777" w:rsidR="001E4173" w:rsidRDefault="001E4173" w:rsidP="001E4173">
      <w:pPr>
        <w:rPr>
          <w:b/>
          <w:sz w:val="24"/>
        </w:rPr>
      </w:pPr>
    </w:p>
    <w:p w14:paraId="11D662D2" w14:textId="77777777" w:rsidR="001E4173" w:rsidRDefault="001E4173" w:rsidP="001E4173">
      <w:r w:rsidRPr="00F85F61">
        <w:rPr>
          <w:highlight w:val="green"/>
        </w:rPr>
        <w:t>REVISED</w:t>
      </w:r>
    </w:p>
    <w:p w14:paraId="6899D4D3" w14:textId="77777777" w:rsidR="001E4173" w:rsidRDefault="001E4173" w:rsidP="001E4173"/>
    <w:p w14:paraId="0F604E1B" w14:textId="01A81D6C" w:rsidR="001E4173" w:rsidRDefault="001E4173" w:rsidP="001E4173">
      <w:r>
        <w:t>In 12.6.1 after the para “(#1382)An Authenticator may initiate a group key handshake for the purpose of GTK rekeying (with a GTKSA), IGTK keying (with an IGTKSA), BIGTK rekeying (with a BIGTKSA) or WIGTK rekeying (with a WIGTKSA).” add a para:</w:t>
      </w:r>
    </w:p>
    <w:p w14:paraId="7CA11116" w14:textId="77777777" w:rsidR="001E4173" w:rsidRDefault="001E4173" w:rsidP="001E4173"/>
    <w:p w14:paraId="720FE84A" w14:textId="77777777" w:rsidR="00BD5D51" w:rsidRDefault="001E4173" w:rsidP="001E4173">
      <w:r>
        <w:t>After performing GTK rekeying, to avoid attacks from STAs th</w:t>
      </w:r>
      <w:r w:rsidR="00713949">
        <w:t>a</w:t>
      </w:r>
      <w:r>
        <w:t>t have left the BSS, once an AP transmits a frame encrypted using the new GTK, it shall delete the previous GTK, and once a non-AP STA receives a frame encrypted using the new GTK, it shall delete the previous GTK.</w:t>
      </w:r>
    </w:p>
    <w:p w14:paraId="67C3C5FC" w14:textId="77777777" w:rsidR="00BD5D51" w:rsidRDefault="00BD5D51">
      <w:r>
        <w:br w:type="page"/>
      </w:r>
    </w:p>
    <w:tbl>
      <w:tblPr>
        <w:tblStyle w:val="TableGrid"/>
        <w:tblW w:w="0" w:type="auto"/>
        <w:tblLook w:val="04A0" w:firstRow="1" w:lastRow="0" w:firstColumn="1" w:lastColumn="0" w:noHBand="0" w:noVBand="1"/>
      </w:tblPr>
      <w:tblGrid>
        <w:gridCol w:w="1809"/>
        <w:gridCol w:w="4383"/>
        <w:gridCol w:w="3384"/>
      </w:tblGrid>
      <w:tr w:rsidR="00BD5D51" w14:paraId="4C326C4C" w14:textId="77777777" w:rsidTr="00BD5D51">
        <w:tc>
          <w:tcPr>
            <w:tcW w:w="1809" w:type="dxa"/>
          </w:tcPr>
          <w:p w14:paraId="29BC689E" w14:textId="77777777" w:rsidR="00BD5D51" w:rsidRDefault="00BD5D51" w:rsidP="00BD5D51">
            <w:r>
              <w:lastRenderedPageBreak/>
              <w:t>Identifiers</w:t>
            </w:r>
          </w:p>
        </w:tc>
        <w:tc>
          <w:tcPr>
            <w:tcW w:w="4383" w:type="dxa"/>
          </w:tcPr>
          <w:p w14:paraId="3C062D4C" w14:textId="77777777" w:rsidR="00BD5D51" w:rsidRDefault="00BD5D51" w:rsidP="00BD5D51">
            <w:r>
              <w:t>Comment</w:t>
            </w:r>
          </w:p>
        </w:tc>
        <w:tc>
          <w:tcPr>
            <w:tcW w:w="3384" w:type="dxa"/>
          </w:tcPr>
          <w:p w14:paraId="5404836A" w14:textId="77777777" w:rsidR="00BD5D51" w:rsidRDefault="00BD5D51" w:rsidP="00BD5D51">
            <w:r>
              <w:t>Proposed change</w:t>
            </w:r>
          </w:p>
        </w:tc>
      </w:tr>
      <w:tr w:rsidR="00BD5D51" w:rsidRPr="002C1619" w14:paraId="53B06F5F" w14:textId="77777777" w:rsidTr="00BD5D51">
        <w:tc>
          <w:tcPr>
            <w:tcW w:w="1809" w:type="dxa"/>
          </w:tcPr>
          <w:p w14:paraId="457183F0" w14:textId="6BE98E82" w:rsidR="00BD5D51" w:rsidRDefault="00BD5D51" w:rsidP="00BD5D51">
            <w:r>
              <w:t>CID 3233</w:t>
            </w:r>
          </w:p>
          <w:p w14:paraId="2EDF7058" w14:textId="77777777" w:rsidR="00BD5D51" w:rsidRDefault="00BD5D51" w:rsidP="00BD5D51">
            <w:r>
              <w:t>Mark RISON</w:t>
            </w:r>
          </w:p>
          <w:p w14:paraId="4CE5B7DC" w14:textId="77777777" w:rsidR="00BD5D51" w:rsidRDefault="00BD5D51" w:rsidP="00BD5D51"/>
        </w:tc>
        <w:tc>
          <w:tcPr>
            <w:tcW w:w="4383" w:type="dxa"/>
          </w:tcPr>
          <w:p w14:paraId="23CB4F3C" w14:textId="3A973A93" w:rsidR="00BD5D51" w:rsidRPr="002C1619" w:rsidRDefault="00BD5D51" w:rsidP="00BD5D51">
            <w:r w:rsidRPr="00BD5D51">
              <w:t>Make the fixes indicated in the comments in 22-0305-00-mgr</w:t>
            </w:r>
          </w:p>
        </w:tc>
        <w:tc>
          <w:tcPr>
            <w:tcW w:w="3384" w:type="dxa"/>
          </w:tcPr>
          <w:p w14:paraId="49AB823E" w14:textId="2EB07EE4" w:rsidR="00BD5D51" w:rsidRPr="002C1619" w:rsidRDefault="00BD5D51" w:rsidP="00BD5D51">
            <w:r w:rsidRPr="00BD5D51">
              <w:t>As it says in the comment</w:t>
            </w:r>
          </w:p>
        </w:tc>
      </w:tr>
    </w:tbl>
    <w:p w14:paraId="32AD6A1A" w14:textId="77777777" w:rsidR="00BD5D51" w:rsidRDefault="00BD5D51" w:rsidP="00BD5D51"/>
    <w:p w14:paraId="41CC3213" w14:textId="77777777" w:rsidR="00BD5D51" w:rsidRPr="00F70C97" w:rsidRDefault="00BD5D51" w:rsidP="00BD5D51">
      <w:pPr>
        <w:rPr>
          <w:u w:val="single"/>
        </w:rPr>
      </w:pPr>
      <w:r w:rsidRPr="00F70C97">
        <w:rPr>
          <w:u w:val="single"/>
        </w:rPr>
        <w:t>Discussion:</w:t>
      </w:r>
    </w:p>
    <w:p w14:paraId="51A9D972" w14:textId="77777777" w:rsidR="00BD5D51" w:rsidRDefault="00BD5D51" w:rsidP="00BD5D51"/>
    <w:p w14:paraId="7C07BC62" w14:textId="317B7AD7" w:rsidR="00BD5D51" w:rsidRDefault="00BD5D51" w:rsidP="00BD5D51">
      <w:r>
        <w:t>Some of these fixes were made in D2.0, so only a subset remains.</w:t>
      </w:r>
    </w:p>
    <w:p w14:paraId="69245C26" w14:textId="336DAA3D" w:rsidR="00500E01" w:rsidRDefault="00500E01" w:rsidP="00BD5D51"/>
    <w:p w14:paraId="1128C6E5" w14:textId="058A9E83" w:rsidR="00500E01" w:rsidRDefault="00500E01" w:rsidP="00BD5D51">
      <w:r>
        <w:t>Also note the 11ba changes were not made for OWE, and the references to programming the cipher suites don’t make sense (MLME-SETKEYS.request doesn’t identify the cipher suite).  Also it can be implicit that if you set the key you also set the RSC, for rx.</w:t>
      </w:r>
    </w:p>
    <w:p w14:paraId="533B5D65" w14:textId="77777777" w:rsidR="00BD5D51" w:rsidRDefault="00BD5D51" w:rsidP="00BD5D51"/>
    <w:p w14:paraId="4FD2F0DD" w14:textId="77777777" w:rsidR="00BD5D51" w:rsidRDefault="00BD5D51" w:rsidP="00BD5D51">
      <w:pPr>
        <w:rPr>
          <w:u w:val="single"/>
        </w:rPr>
      </w:pPr>
      <w:r>
        <w:rPr>
          <w:u w:val="single"/>
        </w:rPr>
        <w:t>Proposed changes</w:t>
      </w:r>
      <w:r w:rsidRPr="00F70C97">
        <w:rPr>
          <w:u w:val="single"/>
        </w:rPr>
        <w:t>:</w:t>
      </w:r>
    </w:p>
    <w:p w14:paraId="6A6F3276" w14:textId="62A75BED" w:rsidR="00BD5D51" w:rsidRDefault="00BD5D51" w:rsidP="00BD5D51">
      <w:pPr>
        <w:rPr>
          <w:u w:val="single"/>
        </w:rPr>
      </w:pPr>
    </w:p>
    <w:p w14:paraId="497E73FB" w14:textId="1B97063A" w:rsidR="00A25C85" w:rsidRPr="00A25C85" w:rsidRDefault="00A25C85" w:rsidP="00BD5D51">
      <w:r w:rsidRPr="00A25C85">
        <w:t xml:space="preserve">In 12.2.4 RSNA establishment move </w:t>
      </w:r>
      <w:r w:rsidR="00111189">
        <w:t>g) and its children to immediately before e), relettering the current e) and f) and make the following changes:</w:t>
      </w:r>
    </w:p>
    <w:p w14:paraId="036EE353" w14:textId="77777777" w:rsidR="00A25C85" w:rsidRDefault="00A25C85" w:rsidP="00BD5D51">
      <w:pPr>
        <w:rPr>
          <w:u w:val="single"/>
        </w:rPr>
      </w:pPr>
    </w:p>
    <w:p w14:paraId="1B9E8A5A" w14:textId="5C9647E7" w:rsidR="00A25C85" w:rsidRPr="00A25C85" w:rsidRDefault="00A25C85" w:rsidP="00A25C85">
      <w:pPr>
        <w:ind w:left="720"/>
      </w:pPr>
      <w:r w:rsidRPr="00111189">
        <w:rPr>
          <w:strike/>
        </w:rPr>
        <w:t>g</w:t>
      </w:r>
      <w:r w:rsidR="00111189" w:rsidRPr="00111189">
        <w:rPr>
          <w:u w:val="single"/>
        </w:rPr>
        <w:t>e</w:t>
      </w:r>
      <w:r w:rsidRPr="00A25C85">
        <w:t>) (#1084)If an RSNA allows for confidentiality only (no authentication</w:t>
      </w:r>
      <w:r>
        <w:t xml:space="preserve">) in an infrastructure BSS, </w:t>
      </w:r>
      <w:r w:rsidRPr="0048573A">
        <w:rPr>
          <w:strike/>
        </w:rPr>
        <w:t>the</w:t>
      </w:r>
      <w:r w:rsidR="0048573A">
        <w:rPr>
          <w:u w:val="single"/>
        </w:rPr>
        <w:t>an</w:t>
      </w:r>
      <w:r>
        <w:t xml:space="preserve"> </w:t>
      </w:r>
      <w:r w:rsidRPr="00A25C85">
        <w:t>SME establishes an RSNA as follows:</w:t>
      </w:r>
    </w:p>
    <w:p w14:paraId="098EA297" w14:textId="0FB12D74" w:rsidR="00A25C85" w:rsidRPr="00A25C85" w:rsidRDefault="00A25C85" w:rsidP="00A25C85">
      <w:pPr>
        <w:ind w:left="720"/>
      </w:pPr>
      <w:r w:rsidRPr="00A25C85">
        <w:t>1) It identifies the AP as an RSNA AP</w:t>
      </w:r>
      <w:r w:rsidRPr="00111189">
        <w:rPr>
          <w:strike/>
        </w:rPr>
        <w:t xml:space="preserve"> from the AP’s Beacon, DMG Beacon, Announce, Information Response or Probe Response frames</w:t>
      </w:r>
      <w:r w:rsidR="00111189">
        <w:rPr>
          <w:u w:val="single"/>
        </w:rPr>
        <w:t xml:space="preserve"> that supports OWE</w:t>
      </w:r>
      <w:r w:rsidRPr="00A25C85">
        <w:t>.</w:t>
      </w:r>
    </w:p>
    <w:p w14:paraId="400026FD" w14:textId="633D7686" w:rsidR="00A25C85" w:rsidRPr="00A25C85" w:rsidRDefault="00A25C85" w:rsidP="00A25C85">
      <w:pPr>
        <w:ind w:left="720"/>
      </w:pPr>
      <w:r w:rsidRPr="00A25C85">
        <w:t xml:space="preserve">2) </w:t>
      </w:r>
      <w:r w:rsidR="00111189">
        <w:rPr>
          <w:u w:val="single"/>
        </w:rPr>
        <w:t>Non-DMG STA only: i</w:t>
      </w:r>
      <w:r w:rsidRPr="00111189">
        <w:rPr>
          <w:strike/>
        </w:rPr>
        <w:t>I</w:t>
      </w:r>
      <w:r w:rsidRPr="00A25C85">
        <w:t xml:space="preserve">t </w:t>
      </w:r>
      <w:r w:rsidRPr="00111189">
        <w:rPr>
          <w:strike/>
        </w:rPr>
        <w:t xml:space="preserve">shall </w:t>
      </w:r>
      <w:r w:rsidRPr="00A25C85">
        <w:t>invoke</w:t>
      </w:r>
      <w:r w:rsidR="00111189" w:rsidRPr="00111189">
        <w:rPr>
          <w:u w:val="single"/>
        </w:rPr>
        <w:t>s</w:t>
      </w:r>
      <w:r w:rsidRPr="00A25C85">
        <w:t xml:space="preserve"> Open System authentication</w:t>
      </w:r>
      <w:r w:rsidRPr="00111189">
        <w:rPr>
          <w:strike/>
        </w:rPr>
        <w:t xml:space="preserve"> if the STA is a non-DMG STA</w:t>
      </w:r>
      <w:r w:rsidRPr="00A25C85">
        <w:t>.</w:t>
      </w:r>
    </w:p>
    <w:p w14:paraId="2338D764" w14:textId="6144680A" w:rsidR="00A25C85" w:rsidRPr="00A25C85" w:rsidRDefault="00A25C85" w:rsidP="00A25C85">
      <w:pPr>
        <w:ind w:left="720"/>
      </w:pPr>
      <w:r w:rsidRPr="00A25C85">
        <w:t xml:space="preserve">3) It negotiates cipher suites and performs a Diffie-Hellman </w:t>
      </w:r>
      <w:r>
        <w:t xml:space="preserve">exchange during the association </w:t>
      </w:r>
      <w:r w:rsidRPr="00A25C85">
        <w:t>process as described in 12.6.2 (RSNA selection), 12.6.3 (RSNA policy selection in an</w:t>
      </w:r>
      <w:r>
        <w:t xml:space="preserve"> </w:t>
      </w:r>
      <w:r w:rsidRPr="00A25C85">
        <w:t>infrastructure BSS), and IETF RFC 8110 (Opportunistic Wireless Encryption).</w:t>
      </w:r>
    </w:p>
    <w:p w14:paraId="1B2DA8DE" w14:textId="47FFAB83" w:rsidR="00A25C85" w:rsidRPr="00A25C85" w:rsidRDefault="00A25C85" w:rsidP="00A25C85">
      <w:pPr>
        <w:ind w:left="720"/>
      </w:pPr>
      <w:r w:rsidRPr="00A25C85">
        <w:t>4) It establishes one or more temporal keys by executing a key</w:t>
      </w:r>
      <w:r>
        <w:t xml:space="preserve"> management algorithm using the </w:t>
      </w:r>
      <w:r w:rsidRPr="00A25C85">
        <w:t>protocol defined in 12.7 (Keys and key distribution).</w:t>
      </w:r>
    </w:p>
    <w:p w14:paraId="33C002EA" w14:textId="7E9F2CD1" w:rsidR="00A25C85" w:rsidRPr="00A25C85" w:rsidRDefault="00A25C85" w:rsidP="00A25C85">
      <w:pPr>
        <w:ind w:left="720"/>
      </w:pPr>
      <w:r w:rsidRPr="00A25C85">
        <w:t>5) It protects the data link</w:t>
      </w:r>
      <w:r w:rsidR="00500E01">
        <w:rPr>
          <w:u w:val="single"/>
        </w:rPr>
        <w:t xml:space="preserve"> (and, if the STAs negotiate management frame protection, individually addressed robust Management frames)</w:t>
      </w:r>
      <w:r w:rsidRPr="00A25C85">
        <w:t xml:space="preserve"> by programming</w:t>
      </w:r>
      <w:r w:rsidRPr="00500E01">
        <w:rPr>
          <w:strike/>
        </w:rPr>
        <w:t xml:space="preserve"> the negotiated cipher suites</w:t>
      </w:r>
      <w:r w:rsidRPr="00500E01">
        <w:rPr>
          <w:strike/>
          <w:highlight w:val="cyan"/>
        </w:rPr>
        <w:t>,</w:t>
      </w:r>
      <w:r w:rsidRPr="00500E01">
        <w:rPr>
          <w:strike/>
        </w:rPr>
        <w:t xml:space="preserve"> and</w:t>
      </w:r>
      <w:r>
        <w:t xml:space="preserve"> the</w:t>
      </w:r>
      <w:r w:rsidRPr="00500E01">
        <w:rPr>
          <w:strike/>
        </w:rPr>
        <w:t xml:space="preserve"> established</w:t>
      </w:r>
      <w:r>
        <w:t xml:space="preserve"> </w:t>
      </w:r>
      <w:r w:rsidRPr="00500E01">
        <w:rPr>
          <w:strike/>
        </w:rPr>
        <w:t>temporal keys</w:t>
      </w:r>
      <w:commentRangeStart w:id="35"/>
      <w:r w:rsidR="00500E01">
        <w:rPr>
          <w:u w:val="single"/>
        </w:rPr>
        <w:t>PTK-</w:t>
      </w:r>
      <w:commentRangeEnd w:id="35"/>
      <w:r w:rsidR="00500E01">
        <w:rPr>
          <w:rStyle w:val="CommentReference"/>
        </w:rPr>
        <w:commentReference w:id="35"/>
      </w:r>
      <w:r w:rsidR="00500E01">
        <w:rPr>
          <w:u w:val="single"/>
        </w:rPr>
        <w:t>TK and GTK</w:t>
      </w:r>
      <w:r w:rsidRPr="00A25C85">
        <w:t xml:space="preserve"> into the MAC and then invoking protection.</w:t>
      </w:r>
    </w:p>
    <w:p w14:paraId="0C80E81A" w14:textId="0E360D65" w:rsidR="00A25C85" w:rsidRPr="00A25C85" w:rsidRDefault="00A25C85" w:rsidP="00A25C85">
      <w:pPr>
        <w:ind w:left="720"/>
      </w:pPr>
      <w:r w:rsidRPr="00A25C85">
        <w:t xml:space="preserve">6) If the STAs negotiate management frame protection, </w:t>
      </w:r>
      <w:r w:rsidRPr="00500E01">
        <w:rPr>
          <w:strike/>
        </w:rPr>
        <w:t>the SME programs the TK and pairwise cipher suite into the MAC for protection of individually addressed robust Management frames. I</w:t>
      </w:r>
      <w:r w:rsidR="00500E01" w:rsidRPr="00500E01">
        <w:rPr>
          <w:u w:val="single"/>
        </w:rPr>
        <w:t>i</w:t>
      </w:r>
      <w:r w:rsidRPr="00A25C85">
        <w:t>t</w:t>
      </w:r>
      <w:r w:rsidRPr="00500E01">
        <w:rPr>
          <w:strike/>
        </w:rPr>
        <w:t xml:space="preserve"> also</w:t>
      </w:r>
      <w:r w:rsidRPr="00A25C85">
        <w:t xml:space="preserve"> </w:t>
      </w:r>
      <w:r w:rsidRPr="00500E01">
        <w:rPr>
          <w:strike/>
        </w:rPr>
        <w:t>install</w:t>
      </w:r>
      <w:r w:rsidRPr="00A25C85">
        <w:t>s</w:t>
      </w:r>
      <w:r w:rsidR="00500E01" w:rsidRPr="00500E01">
        <w:rPr>
          <w:u w:val="single"/>
        </w:rPr>
        <w:t>programs</w:t>
      </w:r>
      <w:r w:rsidRPr="00A25C85">
        <w:t xml:space="preserve"> the IGTK</w:t>
      </w:r>
      <w:r w:rsidRPr="00500E01">
        <w:rPr>
          <w:strike/>
        </w:rPr>
        <w:t xml:space="preserve"> and IPN</w:t>
      </w:r>
      <w:r w:rsidR="00390968" w:rsidRPr="00390968">
        <w:rPr>
          <w:u w:val="single"/>
        </w:rPr>
        <w:t xml:space="preserve"> into</w:t>
      </w:r>
      <w:r w:rsidR="00390968">
        <w:rPr>
          <w:u w:val="single"/>
        </w:rPr>
        <w:t xml:space="preserve"> </w:t>
      </w:r>
      <w:r w:rsidR="00390968" w:rsidRPr="00390968">
        <w:rPr>
          <w:u w:val="single"/>
        </w:rPr>
        <w:t>the MAC</w:t>
      </w:r>
      <w:r w:rsidRPr="00A25C85">
        <w:t xml:space="preserve"> for protection of group addressed robust Management frames.</w:t>
      </w:r>
    </w:p>
    <w:p w14:paraId="6817B34C" w14:textId="6029A117" w:rsidR="00A25C85" w:rsidRDefault="00A25C85" w:rsidP="00A25C85">
      <w:pPr>
        <w:ind w:left="720"/>
      </w:pPr>
      <w:r w:rsidRPr="00A25C85">
        <w:t xml:space="preserve">7) If beacon protection is enabled, </w:t>
      </w:r>
      <w:r w:rsidRPr="00500E01">
        <w:rPr>
          <w:strike/>
        </w:rPr>
        <w:t>the SME</w:t>
      </w:r>
      <w:r w:rsidR="00500E01">
        <w:rPr>
          <w:u w:val="single"/>
        </w:rPr>
        <w:t>it</w:t>
      </w:r>
      <w:r w:rsidRPr="00A25C85">
        <w:t xml:space="preserve"> programs the BIGTK</w:t>
      </w:r>
      <w:r w:rsidRPr="00500E01">
        <w:rPr>
          <w:strike/>
        </w:rPr>
        <w:t xml:space="preserve"> and BIPN</w:t>
      </w:r>
      <w:r w:rsidRPr="00A25C85">
        <w:t xml:space="preserve"> into the MAC for</w:t>
      </w:r>
      <w:r>
        <w:t xml:space="preserve"> </w:t>
      </w:r>
      <w:r w:rsidRPr="00A25C85">
        <w:t>protection of Beacon frames.</w:t>
      </w:r>
    </w:p>
    <w:p w14:paraId="5BF4F96E" w14:textId="54036C6F" w:rsidR="00500E01" w:rsidRPr="00500E01" w:rsidRDefault="00500E01" w:rsidP="00500E01">
      <w:pPr>
        <w:ind w:left="720"/>
        <w:rPr>
          <w:u w:val="single"/>
        </w:rPr>
      </w:pPr>
      <w:r w:rsidRPr="00500E01">
        <w:rPr>
          <w:u w:val="single"/>
        </w:rPr>
        <w:t>8) If the STAs nego</w:t>
      </w:r>
      <w:r>
        <w:rPr>
          <w:u w:val="single"/>
        </w:rPr>
        <w:t>tiate WUR frame protection, it</w:t>
      </w:r>
      <w:r w:rsidRPr="00500E01">
        <w:rPr>
          <w:u w:val="single"/>
        </w:rPr>
        <w:t xml:space="preserve"> programs the WTK into the MAC for protection of individually addressed WUR Wake-up frames, and programs</w:t>
      </w:r>
      <w:r>
        <w:rPr>
          <w:u w:val="single"/>
        </w:rPr>
        <w:t xml:space="preserve"> the WIGTK</w:t>
      </w:r>
      <w:r w:rsidR="00390968">
        <w:rPr>
          <w:u w:val="single"/>
        </w:rPr>
        <w:t xml:space="preserve"> into the MAC for </w:t>
      </w:r>
      <w:r w:rsidRPr="00500E01">
        <w:rPr>
          <w:u w:val="single"/>
        </w:rPr>
        <w:t>protection of broadcast and group addressed</w:t>
      </w:r>
      <w:r>
        <w:rPr>
          <w:u w:val="single"/>
        </w:rPr>
        <w:t xml:space="preserve"> </w:t>
      </w:r>
      <w:r w:rsidRPr="00500E01">
        <w:rPr>
          <w:u w:val="single"/>
        </w:rPr>
        <w:t>WUR Wake-up frames.</w:t>
      </w:r>
    </w:p>
    <w:p w14:paraId="46EFD373" w14:textId="41C687CC" w:rsidR="00BD5D51" w:rsidRDefault="00BD5D51" w:rsidP="00BD5D51">
      <w:pPr>
        <w:rPr>
          <w:u w:val="single"/>
        </w:rPr>
      </w:pPr>
    </w:p>
    <w:p w14:paraId="312A9B9B" w14:textId="77777777" w:rsidR="0048573A" w:rsidRDefault="00A25C85" w:rsidP="00A25C85">
      <w:r>
        <w:t>Also in</w:t>
      </w:r>
      <w:r w:rsidRPr="00A25C85">
        <w:t xml:space="preserve"> 12.2.4 RSNA establishment</w:t>
      </w:r>
      <w:r w:rsidR="0048573A">
        <w:t>:</w:t>
      </w:r>
    </w:p>
    <w:p w14:paraId="607CA18C" w14:textId="77777777" w:rsidR="0048573A" w:rsidRDefault="00A25C85" w:rsidP="0048573A">
      <w:pPr>
        <w:pStyle w:val="ListParagraph"/>
        <w:numPr>
          <w:ilvl w:val="0"/>
          <w:numId w:val="23"/>
        </w:numPr>
      </w:pPr>
      <w:r>
        <w:t>change “an RSNA SME’s STA” to “an SME”</w:t>
      </w:r>
      <w:r w:rsidR="0048573A">
        <w:t xml:space="preserve"> in a)</w:t>
      </w:r>
    </w:p>
    <w:p w14:paraId="54B03D5E" w14:textId="712B564A" w:rsidR="0048573A" w:rsidRDefault="00A25C85" w:rsidP="0048573A">
      <w:pPr>
        <w:pStyle w:val="ListParagraph"/>
        <w:numPr>
          <w:ilvl w:val="0"/>
          <w:numId w:val="23"/>
        </w:numPr>
      </w:pPr>
      <w:r>
        <w:t>change “the SME” to “an SME” in b) and c)</w:t>
      </w:r>
    </w:p>
    <w:p w14:paraId="562A4ECF" w14:textId="31D5D4A9" w:rsidR="0048573A" w:rsidRDefault="0048573A" w:rsidP="0048573A">
      <w:pPr>
        <w:pStyle w:val="ListParagraph"/>
        <w:numPr>
          <w:ilvl w:val="0"/>
          <w:numId w:val="23"/>
        </w:numPr>
      </w:pPr>
      <w:r>
        <w:t>change “executes the following sequence of procedures” to “establishes an RSNA as follows” in c)</w:t>
      </w:r>
    </w:p>
    <w:p w14:paraId="12206AC6" w14:textId="77777777" w:rsidR="0048573A" w:rsidRDefault="00A25C85" w:rsidP="0048573A">
      <w:pPr>
        <w:pStyle w:val="ListParagraph"/>
        <w:numPr>
          <w:ilvl w:val="0"/>
          <w:numId w:val="23"/>
        </w:numPr>
      </w:pPr>
      <w:r>
        <w:t>change “an RSNA capable STA’s SME” to “an SME” in d)</w:t>
      </w:r>
    </w:p>
    <w:p w14:paraId="7854748C" w14:textId="3B51ECCF" w:rsidR="00A25C85" w:rsidRPr="00111189" w:rsidRDefault="00A25C85" w:rsidP="00BD5D51">
      <w:pPr>
        <w:pStyle w:val="ListParagraph"/>
        <w:numPr>
          <w:ilvl w:val="0"/>
          <w:numId w:val="23"/>
        </w:numPr>
      </w:pPr>
      <w:r>
        <w:t>change “</w:t>
      </w:r>
      <w:r w:rsidRPr="00A25C85">
        <w:t>an RSNA STA’s SME</w:t>
      </w:r>
      <w:r>
        <w:t>” to “an SME”</w:t>
      </w:r>
      <w:r w:rsidR="0048573A">
        <w:t xml:space="preserve"> in e)</w:t>
      </w:r>
    </w:p>
    <w:p w14:paraId="01771810" w14:textId="77777777" w:rsidR="00A25C85" w:rsidRDefault="00A25C85" w:rsidP="00BD5D51">
      <w:pPr>
        <w:rPr>
          <w:u w:val="single"/>
        </w:rPr>
      </w:pPr>
    </w:p>
    <w:p w14:paraId="798FC2E8" w14:textId="77777777" w:rsidR="00BD5D51" w:rsidRPr="00FF305B" w:rsidRDefault="00BD5D51" w:rsidP="00BD5D51">
      <w:pPr>
        <w:rPr>
          <w:u w:val="single"/>
        </w:rPr>
      </w:pPr>
      <w:r w:rsidRPr="00FF305B">
        <w:rPr>
          <w:u w:val="single"/>
        </w:rPr>
        <w:t>Proposed resolution:</w:t>
      </w:r>
    </w:p>
    <w:p w14:paraId="1B354036" w14:textId="77777777" w:rsidR="00BD5D51" w:rsidRDefault="00BD5D51" w:rsidP="00BD5D51">
      <w:pPr>
        <w:rPr>
          <w:b/>
          <w:sz w:val="24"/>
        </w:rPr>
      </w:pPr>
    </w:p>
    <w:p w14:paraId="64ED09E4" w14:textId="77777777" w:rsidR="00BD5D51" w:rsidRDefault="00BD5D51" w:rsidP="00BD5D51">
      <w:r w:rsidRPr="00496AFF">
        <w:rPr>
          <w:highlight w:val="green"/>
        </w:rPr>
        <w:t>REVISED</w:t>
      </w:r>
    </w:p>
    <w:p w14:paraId="74A16B75" w14:textId="77777777" w:rsidR="00BD5D51" w:rsidRDefault="00BD5D51" w:rsidP="00BD5D51"/>
    <w:p w14:paraId="6FA45C77" w14:textId="21F4ADF7" w:rsidR="00BD5D51" w:rsidRDefault="00BD5D51" w:rsidP="00BD5D51">
      <w:r>
        <w:t>Make the changes shown unde</w:t>
      </w:r>
      <w:r w:rsidR="001D78B9">
        <w:t>r “Proposed changes” for CID 3233 in &lt;this document&gt;.</w:t>
      </w:r>
    </w:p>
    <w:p w14:paraId="708E624E" w14:textId="674F4981" w:rsidR="001F53F1" w:rsidRDefault="001F53F1" w:rsidP="001E4173">
      <w:r>
        <w:lastRenderedPageBreak/>
        <w:br w:type="page"/>
      </w:r>
    </w:p>
    <w:p w14:paraId="6140B2CF" w14:textId="406EAA77" w:rsidR="000A241B" w:rsidRDefault="000A241B">
      <w:r>
        <w:lastRenderedPageBreak/>
        <w:t>TBD:</w:t>
      </w:r>
      <w:r w:rsidR="001C66FD">
        <w:br/>
      </w:r>
    </w:p>
    <w:p w14:paraId="54CEB4FE" w14:textId="3B9D8B8C" w:rsidR="002E1F1B" w:rsidRDefault="00BD5D51">
      <w:r>
        <w:t xml:space="preserve">DONE </w:t>
      </w:r>
      <w:r w:rsidR="002E1F1B">
        <w:t>3233</w:t>
      </w:r>
      <w:r w:rsidR="000D1B69">
        <w:t xml:space="preserve"> Tue AM1</w:t>
      </w:r>
      <w:r w:rsidR="002E1F1B">
        <w:t>: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F3C236A" w:rsidR="003D048E" w:rsidRDefault="00BF6626">
      <w:r>
        <w:t xml:space="preserve">DONE (ACCEPTED) </w:t>
      </w:r>
      <w:r w:rsidR="003D048E">
        <w:t xml:space="preserve">3225: what </w:t>
      </w:r>
      <w:r w:rsidR="007B1730">
        <w:t xml:space="preserve">exactly </w:t>
      </w:r>
      <w:r w:rsidR="003D048E">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3535: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refer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SNonce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subclause identified</w:t>
      </w:r>
    </w:p>
    <w:p w14:paraId="7507B947" w14:textId="7937C8DA" w:rsidR="006D0DA5" w:rsidRPr="00A422EC" w:rsidRDefault="008B0FF4">
      <w:r w:rsidRPr="00A422EC">
        <w:t xml:space="preserve"> </w:t>
      </w:r>
      <w:r w:rsidR="006D0DA5" w:rsidRPr="00A422EC">
        <w:t>3726: “MIB attribute” in C.3</w:t>
      </w:r>
      <w:r w:rsidR="009B720D" w:rsidRPr="00A422EC">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Why is there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01D96C4B" w:rsidR="00A44E48"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0D1C32CB" w14:textId="2650BF7F" w:rsidR="006C0524" w:rsidRDefault="00D43D76">
      <w:pPr>
        <w:rPr>
          <w:rFonts w:eastAsia="Times New Roman"/>
          <w:szCs w:val="22"/>
          <w:lang w:eastAsia="ja-JP"/>
        </w:rPr>
      </w:pPr>
      <w:r>
        <w:rPr>
          <w:rFonts w:eastAsia="Times New Roman"/>
          <w:szCs w:val="22"/>
          <w:lang w:eastAsia="ja-JP"/>
        </w:rPr>
        <w:t>DONE 3504</w:t>
      </w:r>
      <w:r w:rsidR="006C0524">
        <w:rPr>
          <w:rFonts w:eastAsia="Times New Roman"/>
          <w:szCs w:val="22"/>
          <w:lang w:eastAsia="ja-JP"/>
        </w:rPr>
        <w:t xml:space="preserve"> different MIB attributes for TDLS, at least security</w:t>
      </w:r>
    </w:p>
    <w:p w14:paraId="6D218084" w14:textId="5B53AB8A" w:rsidR="00620867" w:rsidRDefault="005436F9">
      <w:pPr>
        <w:rPr>
          <w:rFonts w:eastAsia="Times New Roman"/>
          <w:szCs w:val="22"/>
          <w:lang w:eastAsia="ja-JP"/>
        </w:rPr>
      </w:pPr>
      <w:r>
        <w:rPr>
          <w:rFonts w:eastAsia="Times New Roman"/>
          <w:szCs w:val="22"/>
          <w:lang w:eastAsia="ja-JP"/>
        </w:rPr>
        <w:t xml:space="preserve"> </w:t>
      </w:r>
      <w:r w:rsidR="00C54BB7">
        <w:rPr>
          <w:rFonts w:eastAsia="Times New Roman"/>
          <w:szCs w:val="22"/>
          <w:lang w:eastAsia="ja-JP"/>
        </w:rPr>
        <w:t>3499/3500/</w:t>
      </w:r>
      <w:r w:rsidR="00620867">
        <w:rPr>
          <w:rFonts w:eastAsia="Times New Roman"/>
          <w:szCs w:val="22"/>
          <w:lang w:eastAsia="ja-JP"/>
        </w:rPr>
        <w:t>3501</w:t>
      </w:r>
      <w:r>
        <w:rPr>
          <w:rFonts w:eastAsia="Times New Roman"/>
          <w:szCs w:val="22"/>
          <w:lang w:eastAsia="ja-JP"/>
        </w:rPr>
        <w:t xml:space="preserve"> </w:t>
      </w:r>
      <w:r w:rsidRPr="005436F9">
        <w:rPr>
          <w:rFonts w:eastAsia="Times New Roman"/>
          <w:szCs w:val="22"/>
          <w:lang w:eastAsia="ja-JP"/>
        </w:rPr>
        <w:t>Table 9-218--Subelement IDs says that when the subelement ID is 2 the Data field contains the GTK, but this is misleading as it contains other stuff</w:t>
      </w:r>
    </w:p>
    <w:p w14:paraId="1C931D1C" w14:textId="0C4176BB"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3512</w:t>
      </w:r>
      <w:r>
        <w:rPr>
          <w:rFonts w:eastAsia="Times New Roman"/>
          <w:szCs w:val="22"/>
          <w:lang w:eastAsia="ja-JP"/>
        </w:rPr>
        <w:t xml:space="preserve"> missing “otherwise not present”</w:t>
      </w:r>
      <w:r w:rsidR="00C67941">
        <w:rPr>
          <w:rFonts w:eastAsia="Times New Roman"/>
          <w:szCs w:val="22"/>
          <w:lang w:eastAsia="ja-JP"/>
        </w:rPr>
        <w:t xml:space="preserve"> (generic, not RSNE-specific)</w:t>
      </w:r>
    </w:p>
    <w:p w14:paraId="26015578" w14:textId="31EE03C8" w:rsidR="005436F9" w:rsidRPr="005436F9" w:rsidRDefault="005436F9" w:rsidP="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3570</w:t>
      </w:r>
      <w:r>
        <w:rPr>
          <w:rFonts w:eastAsia="Times New Roman"/>
          <w:szCs w:val="22"/>
          <w:lang w:eastAsia="ja-JP"/>
        </w:rPr>
        <w:t xml:space="preserve"> </w:t>
      </w:r>
      <w:r w:rsidRPr="005436F9">
        <w:rPr>
          <w:rFonts w:eastAsia="Times New Roman"/>
          <w:szCs w:val="22"/>
          <w:lang w:eastAsia="ja-JP"/>
        </w:rPr>
        <w:t>"A QoS STA shall use the EDCA Parameter Set Update Count subfield(11ax)</w:t>
      </w:r>
    </w:p>
    <w:p w14:paraId="1C389458" w14:textId="77777777" w:rsidR="005436F9" w:rsidRPr="005436F9" w:rsidRDefault="005436F9" w:rsidP="005436F9">
      <w:pPr>
        <w:rPr>
          <w:rFonts w:eastAsia="Times New Roman"/>
          <w:szCs w:val="22"/>
          <w:lang w:eastAsia="ja-JP"/>
        </w:rPr>
      </w:pPr>
      <w:r w:rsidRPr="005436F9">
        <w:rPr>
          <w:rFonts w:eastAsia="Times New Roman"/>
          <w:szCs w:val="22"/>
          <w:lang w:eastAsia="ja-JP"/>
        </w:rPr>
        <w:t>in the QoS Capability element of Beacon frames, when present, to determine whether the STA is using the</w:t>
      </w:r>
    </w:p>
    <w:p w14:paraId="419FACD7" w14:textId="77777777" w:rsidR="005436F9" w:rsidRPr="005436F9" w:rsidRDefault="005436F9" w:rsidP="005436F9">
      <w:pPr>
        <w:rPr>
          <w:rFonts w:eastAsia="Times New Roman"/>
          <w:szCs w:val="22"/>
          <w:lang w:eastAsia="ja-JP"/>
        </w:rPr>
      </w:pPr>
      <w:r w:rsidRPr="005436F9">
        <w:rPr>
          <w:rFonts w:eastAsia="Times New Roman"/>
          <w:szCs w:val="22"/>
          <w:lang w:eastAsia="ja-JP"/>
        </w:rPr>
        <w:t>current EDCA parameters. If the EDCA Parameter Set Update Count subfield in the QoS Capability element is</w:t>
      </w:r>
    </w:p>
    <w:p w14:paraId="25B688C7" w14:textId="77777777" w:rsidR="005436F9" w:rsidRPr="005436F9" w:rsidRDefault="005436F9" w:rsidP="005436F9">
      <w:pPr>
        <w:rPr>
          <w:rFonts w:eastAsia="Times New Roman"/>
          <w:szCs w:val="22"/>
          <w:lang w:eastAsia="ja-JP"/>
        </w:rPr>
      </w:pPr>
      <w:r w:rsidRPr="005436F9">
        <w:rPr>
          <w:rFonts w:eastAsia="Times New Roman"/>
          <w:szCs w:val="22"/>
          <w:lang w:eastAsia="ja-JP"/>
        </w:rPr>
        <w:t>different from the value that has been stored, the QoS STA shall query the updated EDCA parameters by</w:t>
      </w:r>
    </w:p>
    <w:p w14:paraId="6F1B4415" w14:textId="62A13179" w:rsidR="005436F9" w:rsidRDefault="005436F9" w:rsidP="005436F9">
      <w:pPr>
        <w:rPr>
          <w:rFonts w:eastAsia="Times New Roman"/>
          <w:szCs w:val="22"/>
          <w:lang w:eastAsia="ja-JP"/>
        </w:rPr>
      </w:pPr>
      <w:r w:rsidRPr="005436F9">
        <w:rPr>
          <w:rFonts w:eastAsia="Times New Roman"/>
          <w:szCs w:val="22"/>
          <w:lang w:eastAsia="ja-JP"/>
        </w:rPr>
        <w:t xml:space="preserve">sending a </w:t>
      </w:r>
      <w:r>
        <w:rPr>
          <w:rFonts w:eastAsia="Times New Roman"/>
          <w:szCs w:val="22"/>
          <w:lang w:eastAsia="ja-JP"/>
        </w:rPr>
        <w:t>Probe Request frame to the AP."</w:t>
      </w:r>
      <w:r w:rsidRPr="005436F9">
        <w:rPr>
          <w:rFonts w:eastAsia="Times New Roman"/>
          <w:szCs w:val="22"/>
          <w:lang w:eastAsia="ja-JP"/>
        </w:rPr>
        <w:t xml:space="preserve"> -- what about DMG STAs?  Note no QoS Cap in Announce frames so no</w:t>
      </w:r>
      <w:r>
        <w:rPr>
          <w:rFonts w:eastAsia="Times New Roman"/>
          <w:szCs w:val="22"/>
          <w:lang w:eastAsia="ja-JP"/>
        </w:rPr>
        <w:t>t clear how a DMG STA finds out</w:t>
      </w:r>
    </w:p>
    <w:p w14:paraId="364EDFF2" w14:textId="35F9EAFA"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3607</w:t>
      </w:r>
      <w:r>
        <w:rPr>
          <w:rFonts w:eastAsia="Times New Roman"/>
          <w:szCs w:val="22"/>
          <w:lang w:eastAsia="ja-JP"/>
        </w:rPr>
        <w:t xml:space="preserve"> </w:t>
      </w:r>
      <w:r w:rsidRPr="005436F9">
        <w:rPr>
          <w:rFonts w:eastAsia="Times New Roman"/>
          <w:szCs w:val="22"/>
          <w:lang w:eastAsia="ja-JP"/>
        </w:rPr>
        <w:t>It is not clear whether it is OK to have a Classifier Mask field (where it is not reserved) that is all-0, and if so whether that is an "always matches" or a "never matches"</w:t>
      </w:r>
    </w:p>
    <w:p w14:paraId="050E49CA" w14:textId="75A571CE" w:rsidR="00620867" w:rsidRDefault="005436F9">
      <w:pPr>
        <w:rPr>
          <w:rFonts w:eastAsia="Times New Roman"/>
          <w:szCs w:val="22"/>
          <w:lang w:eastAsia="ja-JP"/>
        </w:rPr>
      </w:pPr>
      <w:r>
        <w:rPr>
          <w:rFonts w:eastAsia="Times New Roman"/>
          <w:szCs w:val="22"/>
          <w:lang w:eastAsia="ja-JP"/>
        </w:rPr>
        <w:lastRenderedPageBreak/>
        <w:t xml:space="preserve"> ?</w:t>
      </w:r>
      <w:r w:rsidR="00620867">
        <w:rPr>
          <w:rFonts w:eastAsia="Times New Roman"/>
          <w:szCs w:val="22"/>
          <w:lang w:eastAsia="ja-JP"/>
        </w:rPr>
        <w:t>3537</w:t>
      </w:r>
      <w:r>
        <w:rPr>
          <w:rFonts w:eastAsia="Times New Roman"/>
          <w:szCs w:val="22"/>
          <w:lang w:eastAsia="ja-JP"/>
        </w:rPr>
        <w:t xml:space="preserve"> </w:t>
      </w:r>
      <w:r w:rsidRPr="005436F9">
        <w:rPr>
          <w:rFonts w:eastAsia="Times New Roman"/>
          <w:szCs w:val="22"/>
          <w:lang w:eastAsia="ja-JP"/>
        </w:rPr>
        <w:t>A DMG SME has suggested that DMG relay should be deprecated.  (And if it isn't the addressing rules need to be clarified)</w:t>
      </w:r>
    </w:p>
    <w:p w14:paraId="670BEFDC" w14:textId="03C189A0" w:rsidR="00296268" w:rsidRDefault="00296268">
      <w:pPr>
        <w:rPr>
          <w:rFonts w:eastAsia="Times New Roman"/>
          <w:szCs w:val="22"/>
          <w:lang w:eastAsia="ja-JP"/>
        </w:rPr>
      </w:pPr>
      <w:r>
        <w:rPr>
          <w:rFonts w:eastAsia="Times New Roman"/>
          <w:szCs w:val="22"/>
          <w:lang w:eastAsia="ja-JP"/>
        </w:rPr>
        <w:t xml:space="preserve"> Send updated </w:t>
      </w:r>
      <w:r w:rsidRPr="00296268">
        <w:rPr>
          <w:rFonts w:eastAsia="Times New Roman"/>
          <w:szCs w:val="22"/>
          <w:lang w:eastAsia="ja-JP"/>
        </w:rPr>
        <w:t>Figure 9-875—PPE Thresholds Info field format</w:t>
      </w:r>
      <w:r>
        <w:rPr>
          <w:rFonts w:eastAsia="Times New Roman"/>
          <w:szCs w:val="22"/>
          <w:lang w:eastAsia="ja-JP"/>
        </w:rPr>
        <w:t xml:space="preserve"> to Editors</w:t>
      </w:r>
    </w:p>
    <w:p w14:paraId="32C96D6F" w14:textId="16F3198C" w:rsidR="001B5F28" w:rsidRPr="001E4173" w:rsidRDefault="001E4173">
      <w:pPr>
        <w:rPr>
          <w:rFonts w:eastAsia="Times New Roman"/>
          <w:szCs w:val="22"/>
          <w:lang w:eastAsia="ja-JP"/>
        </w:rPr>
      </w:pPr>
      <w:r w:rsidRPr="001E4173">
        <w:rPr>
          <w:rFonts w:eastAsia="Times New Roman"/>
          <w:szCs w:val="22"/>
          <w:lang w:eastAsia="ja-JP"/>
        </w:rPr>
        <w:t>DONE</w:t>
      </w:r>
      <w:r w:rsidR="001B5F28" w:rsidRPr="001E4173">
        <w:rPr>
          <w:rFonts w:eastAsia="Times New Roman"/>
          <w:szCs w:val="22"/>
          <w:lang w:eastAsia="ja-JP"/>
        </w:rPr>
        <w:t xml:space="preserve"> 3551 require AP to stop using old GTK as soon as it has used the new GTK</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02762263" w:rsidR="00AE3CD5" w:rsidRDefault="00A47177">
      <w:r>
        <w:t>DONE</w:t>
      </w:r>
      <w:r w:rsidR="00B7226E">
        <w:t xml:space="preserve"> </w:t>
      </w:r>
      <w:r>
        <w:t>~</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DF24BA" w:rsidRPr="004A7A03" w:rsidRDefault="00DF24BA">
      <w:pPr>
        <w:pStyle w:val="CommentText"/>
      </w:pPr>
      <w:r>
        <w:rPr>
          <w:rStyle w:val="CommentReference"/>
        </w:rPr>
        <w:annotationRef/>
      </w:r>
      <w:r>
        <w:t>Or subelements?</w:t>
      </w:r>
    </w:p>
  </w:comment>
  <w:comment w:id="2" w:author="Mark Rison" w:date="2022-12-05T13:56:00Z" w:initials="mgr">
    <w:p w14:paraId="167E48E7" w14:textId="5A70DBCF" w:rsidR="00DF24BA" w:rsidRDefault="00DF24BA">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DF24BA" w:rsidRDefault="00DF24BA">
      <w:pPr>
        <w:pStyle w:val="CommentText"/>
      </w:pPr>
      <w:r>
        <w:rPr>
          <w:rStyle w:val="CommentReference"/>
        </w:rPr>
        <w:annotationRef/>
      </w:r>
      <w:r>
        <w:t>Hm, wonder if we obey this…</w:t>
      </w:r>
    </w:p>
  </w:comment>
  <w:comment w:id="4" w:author="Mark Rison" w:date="2023-01-27T13:50:00Z" w:initials="mgr">
    <w:p w14:paraId="56E031E7" w14:textId="0BFC594D" w:rsidR="00DF24BA" w:rsidRDefault="00DF24BA">
      <w:pPr>
        <w:pStyle w:val="CommentText"/>
      </w:pPr>
      <w:r>
        <w:rPr>
          <w:rStyle w:val="CommentReference"/>
        </w:rPr>
        <w:annotationRef/>
      </w:r>
      <w:r>
        <w:t>But RFC 2578 is not referred to in the standard.  Add to the bibliography?</w:t>
      </w:r>
    </w:p>
  </w:comment>
  <w:comment w:id="5" w:author="Mark Rison" w:date="2023-03-14T15:31:00Z" w:initials="mgr">
    <w:p w14:paraId="20FDBC4F" w14:textId="4356F69D" w:rsidR="00DF24BA" w:rsidRDefault="00DF24BA">
      <w:pPr>
        <w:pStyle w:val="CommentText"/>
      </w:pPr>
      <w:r>
        <w:rPr>
          <w:rStyle w:val="CommentReference"/>
        </w:rPr>
        <w:annotationRef/>
      </w:r>
      <w:r>
        <w:t>These don’t mention CCK, so presumably apply to both DSSS and CCK</w:t>
      </w:r>
    </w:p>
  </w:comment>
  <w:comment w:id="6" w:author="Mark Rison" w:date="2023-03-14T15:32:00Z" w:initials="mgr">
    <w:p w14:paraId="181EA75B" w14:textId="1B959047" w:rsidR="00DF24BA" w:rsidRDefault="00DF24BA">
      <w:pPr>
        <w:pStyle w:val="CommentText"/>
      </w:pPr>
      <w:r>
        <w:rPr>
          <w:rStyle w:val="CommentReference"/>
        </w:rPr>
        <w:annotationRef/>
      </w:r>
      <w:r>
        <w:t>These explicitly mention CCK, so is a Clause 15 reference needed for DSSS?</w:t>
      </w:r>
    </w:p>
  </w:comment>
  <w:comment w:id="7" w:author="Mark Rison" w:date="2022-12-04T17:20:00Z" w:initials="mgr">
    <w:p w14:paraId="3F6E425E" w14:textId="5A12FF7F" w:rsidR="00DF24BA" w:rsidRDefault="00DF24BA">
      <w:pPr>
        <w:pStyle w:val="CommentText"/>
      </w:pPr>
      <w:r>
        <w:rPr>
          <w:rStyle w:val="CommentReference"/>
        </w:rPr>
        <w:annotationRef/>
      </w:r>
      <w:r>
        <w:t>Is this kind of thing allowed?</w:t>
      </w:r>
    </w:p>
  </w:comment>
  <w:comment w:id="8" w:author="Mark Rison" w:date="2022-12-04T17:20:00Z" w:initials="mgr">
    <w:p w14:paraId="5CEEB01F" w14:textId="4A1553E0" w:rsidR="00DF24BA" w:rsidRDefault="00DF24BA">
      <w:pPr>
        <w:pStyle w:val="CommentText"/>
      </w:pPr>
      <w:r>
        <w:rPr>
          <w:rStyle w:val="CommentReference"/>
        </w:rPr>
        <w:annotationRef/>
      </w:r>
      <w:r>
        <w:t>Are calculations allowed?</w:t>
      </w:r>
    </w:p>
  </w:comment>
  <w:comment w:id="9" w:author="Mark Rison" w:date="2022-12-02T17:54:00Z" w:initials="mgr">
    <w:p w14:paraId="129AD6F8" w14:textId="65BBF8ED" w:rsidR="00DF24BA" w:rsidRDefault="00DF24BA">
      <w:pPr>
        <w:pStyle w:val="CommentText"/>
      </w:pPr>
      <w:r>
        <w:rPr>
          <w:rStyle w:val="CommentReference"/>
        </w:rPr>
        <w:annotationRef/>
      </w:r>
      <w:r>
        <w:t>Is this good enough?  At 2922.45 it’s just a vague “MIC”</w:t>
      </w:r>
    </w:p>
  </w:comment>
  <w:comment w:id="10" w:author="Mark Rison" w:date="2022-12-07T13:50:00Z" w:initials="mgr">
    <w:p w14:paraId="6C6D79A6" w14:textId="5770FEB6" w:rsidR="00DF24BA" w:rsidRDefault="00DF24BA">
      <w:pPr>
        <w:pStyle w:val="CommentText"/>
      </w:pPr>
      <w:r>
        <w:rPr>
          <w:rStyle w:val="CommentReference"/>
        </w:rPr>
        <w:annotationRef/>
      </w:r>
      <w:r>
        <w:t>Or “</w:t>
      </w:r>
      <w:r w:rsidRPr="00124AAE">
        <w:t>See corresponding entry in Table 19-1 (TXVECTOR and RXVECTOR parameters)</w:t>
      </w:r>
      <w:r>
        <w:t>.”?</w:t>
      </w:r>
    </w:p>
  </w:comment>
  <w:comment w:id="11" w:author="Mark Rison" w:date="2022-12-07T21:30:00Z" w:initials="mgr">
    <w:p w14:paraId="201210CB" w14:textId="68F0BA73" w:rsidR="00DF24BA" w:rsidRDefault="00DF24BA">
      <w:pPr>
        <w:pStyle w:val="CommentText"/>
      </w:pPr>
      <w:r>
        <w:rPr>
          <w:rStyle w:val="CommentReference"/>
        </w:rPr>
        <w:annotationRef/>
      </w:r>
      <w:r>
        <w:t>Or is the opposite, i.e. with the deletion of those fields these frames are no longer allowed in those contexts ever?</w:t>
      </w:r>
    </w:p>
  </w:comment>
  <w:comment w:id="12" w:author="Mark Rison" w:date="2023-01-18T18:42:00Z" w:initials="mgr">
    <w:p w14:paraId="18427B73" w14:textId="7CD9A179" w:rsidR="00DF24BA" w:rsidRDefault="00DF24BA">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3" w:author="Mark Rison" w:date="2022-12-10T09:48:00Z" w:initials="mgr">
    <w:p w14:paraId="3D85AF30" w14:textId="3BE2A4FC" w:rsidR="00DF24BA" w:rsidRDefault="00DF24BA">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4" w:author="Mark Rison" w:date="2022-12-12T12:26:00Z" w:initials="mgr">
    <w:p w14:paraId="1AFC0FD3" w14:textId="3121BE83" w:rsidR="00DF24BA" w:rsidRDefault="00DF24BA">
      <w:pPr>
        <w:pStyle w:val="CommentText"/>
      </w:pPr>
      <w:r>
        <w:rPr>
          <w:rStyle w:val="CommentReference"/>
        </w:rPr>
        <w:annotationRef/>
      </w:r>
      <w:r>
        <w:t>?</w:t>
      </w:r>
    </w:p>
  </w:comment>
  <w:comment w:id="15" w:author="Mark Rison" w:date="2023-03-04T09:31:00Z" w:initials="mgr">
    <w:p w14:paraId="284B4674" w14:textId="7EDF88B9" w:rsidR="00DF24BA" w:rsidRDefault="00DF24BA">
      <w:pPr>
        <w:pStyle w:val="CommentText"/>
      </w:pPr>
      <w:r>
        <w:rPr>
          <w:rStyle w:val="CommentReference"/>
        </w:rPr>
        <w:annotationRef/>
      </w:r>
      <w:r>
        <w:t>See d) for the actual precise rule</w:t>
      </w:r>
    </w:p>
  </w:comment>
  <w:comment w:id="16" w:author="Mark Rison" w:date="2023-03-03T16:59:00Z" w:initials="mgr">
    <w:p w14:paraId="4B9B6C1B" w14:textId="1356F443" w:rsidR="00DF24BA" w:rsidRDefault="00DF24BA">
      <w:pPr>
        <w:pStyle w:val="CommentText"/>
      </w:pPr>
      <w:r>
        <w:rPr>
          <w:rStyle w:val="CommentReference"/>
        </w:rPr>
        <w:annotationRef/>
      </w:r>
      <w:r>
        <w:t>Is it a security hole to have a separate RC for PV0 and PV1?</w:t>
      </w:r>
    </w:p>
  </w:comment>
  <w:comment w:id="17" w:author="Mark Rison" w:date="2023-03-04T08:46:00Z" w:initials="mgr">
    <w:p w14:paraId="7D132A90" w14:textId="4837B4CE" w:rsidR="00DF24BA" w:rsidRDefault="00DF24BA">
      <w:pPr>
        <w:pStyle w:val="CommentText"/>
      </w:pPr>
      <w:r>
        <w:rPr>
          <w:rStyle w:val="CommentReference"/>
        </w:rPr>
        <w:annotationRef/>
      </w:r>
      <w:r>
        <w:t>See d)</w:t>
      </w:r>
    </w:p>
  </w:comment>
  <w:comment w:id="18" w:author="Mark Rison" w:date="2023-03-04T09:11:00Z" w:initials="mgr">
    <w:p w14:paraId="52DEDB8B" w14:textId="1C4A1FA2" w:rsidR="00DF24BA" w:rsidRDefault="00DF24BA">
      <w:pPr>
        <w:pStyle w:val="CommentText"/>
      </w:pPr>
      <w:r>
        <w:rPr>
          <w:rStyle w:val="CommentReference"/>
        </w:rPr>
        <w:annotationRef/>
      </w:r>
      <w:r>
        <w:t>See d)</w:t>
      </w:r>
    </w:p>
  </w:comment>
  <w:comment w:id="19" w:author="Mark Rison" w:date="2023-03-03T17:18:00Z" w:initials="mgr">
    <w:p w14:paraId="241CD80C" w14:textId="572C208E" w:rsidR="00DF24BA" w:rsidRDefault="00DF24BA">
      <w:pPr>
        <w:pStyle w:val="CommentText"/>
      </w:pPr>
      <w:r>
        <w:rPr>
          <w:rStyle w:val="CommentReference"/>
        </w:rPr>
        <w:annotationRef/>
      </w:r>
      <w:r>
        <w:t>See d); note no sentence for non-QMF</w:t>
      </w:r>
    </w:p>
  </w:comment>
  <w:comment w:id="20" w:author="Mark Rison" w:date="2023-03-04T09:12:00Z" w:initials="mgr">
    <w:p w14:paraId="124AD382" w14:textId="74ADC9BF" w:rsidR="00DF24BA" w:rsidRDefault="00DF24BA">
      <w:pPr>
        <w:pStyle w:val="CommentText"/>
      </w:pPr>
      <w:r>
        <w:rPr>
          <w:rStyle w:val="CommentReference"/>
        </w:rPr>
        <w:annotationRef/>
      </w:r>
      <w:r>
        <w:t>See 12.5.3.6 BIP reception, which actually describes how you do BIP replay detection!</w:t>
      </w:r>
    </w:p>
  </w:comment>
  <w:comment w:id="21" w:author="Mark Rison" w:date="2023-03-04T08:49:00Z" w:initials="mgr">
    <w:p w14:paraId="0A01B825" w14:textId="3A2EAF9D" w:rsidR="00DF24BA" w:rsidRDefault="00DF24BA">
      <w:pPr>
        <w:pStyle w:val="CommentText"/>
      </w:pPr>
      <w:r>
        <w:rPr>
          <w:rStyle w:val="CommentReference"/>
        </w:rPr>
        <w:annotationRef/>
      </w:r>
      <w:r>
        <w:t>See 12.5.3.6</w:t>
      </w:r>
    </w:p>
  </w:comment>
  <w:comment w:id="22" w:author="Mark Rison" w:date="2023-03-04T09:13:00Z" w:initials="mgr">
    <w:p w14:paraId="69D7D910" w14:textId="0F3631B3" w:rsidR="00DF24BA" w:rsidRDefault="00DF24BA">
      <w:pPr>
        <w:pStyle w:val="CommentText"/>
      </w:pPr>
      <w:r>
        <w:rPr>
          <w:rStyle w:val="CommentReference"/>
        </w:rPr>
        <w:annotationRef/>
      </w:r>
      <w:r>
        <w:t>See 12.5.3.6</w:t>
      </w:r>
    </w:p>
  </w:comment>
  <w:comment w:id="23" w:author="Mark Rison" w:date="2023-03-04T11:58:00Z" w:initials="mgr">
    <w:p w14:paraId="4D5C390B" w14:textId="7107E8AD" w:rsidR="00DF24BA" w:rsidRDefault="00DF24BA">
      <w:pPr>
        <w:pStyle w:val="CommentText"/>
      </w:pPr>
      <w:r>
        <w:rPr>
          <w:rStyle w:val="CommentReference"/>
        </w:rPr>
        <w:annotationRef/>
      </w:r>
      <w:r>
        <w:t>What does this mean in terms of GQMFs, which are always broadcast?  Ditto previous sentence about garMfs</w:t>
      </w:r>
    </w:p>
  </w:comment>
  <w:comment w:id="24" w:author="Mark Rison" w:date="2023-03-04T09:08:00Z" w:initials="mgr">
    <w:p w14:paraId="304CF72D" w14:textId="2D432A46" w:rsidR="00DF24BA" w:rsidRDefault="00DF24BA">
      <w:pPr>
        <w:pStyle w:val="CommentText"/>
      </w:pPr>
      <w:r>
        <w:rPr>
          <w:rStyle w:val="CommentReference"/>
        </w:rPr>
        <w:annotationRef/>
      </w:r>
      <w:r>
        <w:t>Doesn’t non-robust Management frames’ order also have to be preserved?</w:t>
      </w:r>
    </w:p>
  </w:comment>
  <w:comment w:id="25" w:author="Mark Rison" w:date="2023-01-06T14:15:00Z" w:initials="mgr">
    <w:p w14:paraId="01F5DB7A" w14:textId="398DAB68" w:rsidR="00DF24BA" w:rsidRDefault="00DF24BA">
      <w:pPr>
        <w:pStyle w:val="CommentText"/>
      </w:pPr>
      <w:r>
        <w:rPr>
          <w:rStyle w:val="CommentReference"/>
        </w:rPr>
        <w:annotationRef/>
      </w:r>
      <w:r>
        <w:t>Or are they still used at the recipient?</w:t>
      </w:r>
    </w:p>
  </w:comment>
  <w:comment w:id="26" w:author="Mark Rison" w:date="2023-01-09T18:03:00Z" w:initials="mgr">
    <w:p w14:paraId="7A1AA18E" w14:textId="32F09E3C" w:rsidR="00DF24BA" w:rsidRDefault="00DF24BA">
      <w:pPr>
        <w:pStyle w:val="CommentText"/>
      </w:pPr>
      <w:r>
        <w:rPr>
          <w:rStyle w:val="CommentReference"/>
        </w:rPr>
        <w:annotationRef/>
      </w:r>
      <w:r>
        <w:t xml:space="preserve">Why isn’t this in </w:t>
      </w:r>
      <w:r w:rsidRPr="00B615F9">
        <w:t>Figure 9-810—Request Tuple field format</w:t>
      </w:r>
      <w:r>
        <w:t>?</w:t>
      </w:r>
    </w:p>
  </w:comment>
  <w:comment w:id="27" w:author="Mark Rison" w:date="2023-01-13T16:08:00Z" w:initials="mgr">
    <w:p w14:paraId="6A5B0EFC" w14:textId="673140B3" w:rsidR="00DF24BA" w:rsidRDefault="00DF24BA">
      <w:pPr>
        <w:pStyle w:val="CommentText"/>
      </w:pPr>
      <w:r>
        <w:rPr>
          <w:rStyle w:val="CommentReference"/>
        </w:rPr>
        <w:annotationRef/>
      </w:r>
      <w:r>
        <w:t>?</w:t>
      </w:r>
    </w:p>
  </w:comment>
  <w:comment w:id="28" w:author="Mark Rison" w:date="2023-01-26T18:47:00Z" w:initials="mgr">
    <w:p w14:paraId="10177884" w14:textId="2CFB0735" w:rsidR="00DF24BA" w:rsidRDefault="00DF24BA">
      <w:pPr>
        <w:pStyle w:val="CommentText"/>
      </w:pPr>
      <w:r>
        <w:rPr>
          <w:rStyle w:val="CommentReference"/>
        </w:rPr>
        <w:annotationRef/>
      </w:r>
      <w:r>
        <w:t>Hm…</w:t>
      </w:r>
    </w:p>
  </w:comment>
  <w:comment w:id="29" w:author="Mark Rison" w:date="2023-01-26T19:53:00Z" w:initials="mgr">
    <w:p w14:paraId="167D3418" w14:textId="26436C47" w:rsidR="00DF24BA" w:rsidRDefault="00DF24BA">
      <w:pPr>
        <w:pStyle w:val="CommentText"/>
      </w:pPr>
      <w:r>
        <w:rPr>
          <w:rStyle w:val="CommentReference"/>
        </w:rPr>
        <w:annotationRef/>
      </w:r>
      <w:r>
        <w:t>Why are we saying this twice?</w:t>
      </w:r>
    </w:p>
  </w:comment>
  <w:comment w:id="30" w:author="Mark Rison" w:date="2023-01-26T18:56:00Z" w:initials="mgr">
    <w:p w14:paraId="6AC01D7D" w14:textId="26EB6C1E" w:rsidR="00DF24BA" w:rsidRDefault="00DF24BA">
      <w:pPr>
        <w:pStyle w:val="CommentText"/>
      </w:pPr>
      <w:r>
        <w:rPr>
          <w:rStyle w:val="CommentReference"/>
        </w:rPr>
        <w:annotationRef/>
      </w:r>
      <w:r>
        <w:t>sic</w:t>
      </w:r>
    </w:p>
  </w:comment>
  <w:comment w:id="31" w:author="Mark Rison" w:date="2023-01-27T13:45:00Z" w:initials="mgr">
    <w:p w14:paraId="3D88E2B4" w14:textId="2B05D16E" w:rsidR="00DF24BA" w:rsidRDefault="00DF24BA">
      <w:pPr>
        <w:pStyle w:val="CommentText"/>
      </w:pPr>
      <w:r>
        <w:rPr>
          <w:rStyle w:val="CommentReference"/>
        </w:rPr>
        <w:annotationRef/>
      </w:r>
      <w:r>
        <w:t>… except for the EDCA Parameters element, if not passed in beacons?</w:t>
      </w:r>
    </w:p>
  </w:comment>
  <w:comment w:id="32" w:author="Mark Rison" w:date="2023-02-04T12:47:00Z" w:initials="mgr">
    <w:p w14:paraId="3C03D1A6" w14:textId="46B61F1E" w:rsidR="00DF24BA" w:rsidRDefault="00DF24BA">
      <w:pPr>
        <w:pStyle w:val="CommentText"/>
      </w:pPr>
      <w:r>
        <w:rPr>
          <w:rStyle w:val="CommentReference"/>
        </w:rPr>
        <w:annotationRef/>
      </w:r>
      <w:r>
        <w:t>Why is all this just informative?</w:t>
      </w:r>
    </w:p>
  </w:comment>
  <w:comment w:id="33" w:author="Mark Rison" w:date="2023-02-04T12:42:00Z" w:initials="mgr">
    <w:p w14:paraId="60ED068A" w14:textId="72AB249E" w:rsidR="00DF24BA" w:rsidRDefault="00DF24BA">
      <w:pPr>
        <w:pStyle w:val="CommentText"/>
      </w:pPr>
      <w:r>
        <w:rPr>
          <w:rStyle w:val="CommentReference"/>
        </w:rPr>
        <w:annotationRef/>
      </w:r>
      <w:r>
        <w:t>Really?  Where?</w:t>
      </w:r>
    </w:p>
  </w:comment>
  <w:comment w:id="34" w:author="Mark Rison" w:date="2023-02-04T12:55:00Z" w:initials="mgr">
    <w:p w14:paraId="0036BCF2" w14:textId="176C4B77" w:rsidR="00DF24BA" w:rsidRDefault="00DF24BA">
      <w:pPr>
        <w:pStyle w:val="CommentText"/>
      </w:pPr>
      <w:r>
        <w:rPr>
          <w:rStyle w:val="CommentReference"/>
        </w:rPr>
        <w:annotationRef/>
      </w:r>
      <w:r>
        <w:t>This is about 802.11 security, since upper-layer security would be within the Payload field</w:t>
      </w:r>
    </w:p>
  </w:comment>
  <w:comment w:id="35" w:author="Mark Rison" w:date="2023-03-16T11:03:00Z" w:initials="mgr">
    <w:p w14:paraId="247CB867" w14:textId="66EF10A1" w:rsidR="00DF24BA" w:rsidRDefault="00DF24BA">
      <w:pPr>
        <w:pStyle w:val="CommentText"/>
      </w:pPr>
      <w:r>
        <w:rPr>
          <w:rStyle w:val="CommentReference"/>
        </w:rPr>
        <w:annotationRef/>
      </w:r>
      <w:r>
        <w:t>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20FDBC4F" w15:done="0"/>
  <w15:commentEx w15:paraId="181EA75B"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284B4674" w15:done="0"/>
  <w15:commentEx w15:paraId="4B9B6C1B" w15:done="0"/>
  <w15:commentEx w15:paraId="7D132A90" w15:done="0"/>
  <w15:commentEx w15:paraId="52DEDB8B" w15:done="0"/>
  <w15:commentEx w15:paraId="241CD80C" w15:done="0"/>
  <w15:commentEx w15:paraId="124AD382" w15:done="0"/>
  <w15:commentEx w15:paraId="0A01B825" w15:done="0"/>
  <w15:commentEx w15:paraId="69D7D910" w15:done="0"/>
  <w15:commentEx w15:paraId="4D5C390B" w15:done="0"/>
  <w15:commentEx w15:paraId="304CF72D" w15:done="0"/>
  <w15:commentEx w15:paraId="01F5DB7A" w15:done="0"/>
  <w15:commentEx w15:paraId="7A1AA18E"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Ex w15:paraId="247CB8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794B" w14:textId="77777777" w:rsidR="004D6930" w:rsidRDefault="004D6930">
      <w:r>
        <w:separator/>
      </w:r>
    </w:p>
  </w:endnote>
  <w:endnote w:type="continuationSeparator" w:id="0">
    <w:p w14:paraId="0758E350" w14:textId="77777777" w:rsidR="004D6930" w:rsidRDefault="004D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9109957" w:rsidR="00DF24BA" w:rsidRDefault="004D6930">
    <w:pPr>
      <w:pStyle w:val="Footer"/>
      <w:tabs>
        <w:tab w:val="clear" w:pos="6480"/>
        <w:tab w:val="center" w:pos="4680"/>
        <w:tab w:val="right" w:pos="9360"/>
      </w:tabs>
    </w:pPr>
    <w:r>
      <w:fldChar w:fldCharType="begin"/>
    </w:r>
    <w:r>
      <w:instrText xml:space="preserve"> SUBJECT  \* MERGEFORMAT </w:instrText>
    </w:r>
    <w:r>
      <w:fldChar w:fldCharType="separate"/>
    </w:r>
    <w:r w:rsidR="00DF24BA">
      <w:t>Submission</w:t>
    </w:r>
    <w:r>
      <w:fldChar w:fldCharType="end"/>
    </w:r>
    <w:r w:rsidR="00DF24BA">
      <w:tab/>
      <w:t xml:space="preserve">page </w:t>
    </w:r>
    <w:r w:rsidR="00DF24BA">
      <w:fldChar w:fldCharType="begin"/>
    </w:r>
    <w:r w:rsidR="00DF24BA">
      <w:instrText xml:space="preserve">page </w:instrText>
    </w:r>
    <w:r w:rsidR="00DF24BA">
      <w:fldChar w:fldCharType="separate"/>
    </w:r>
    <w:r w:rsidR="003561D1">
      <w:rPr>
        <w:noProof/>
      </w:rPr>
      <w:t>2</w:t>
    </w:r>
    <w:r w:rsidR="00DF24BA">
      <w:rPr>
        <w:noProof/>
      </w:rPr>
      <w:fldChar w:fldCharType="end"/>
    </w:r>
    <w:r w:rsidR="00DF24BA">
      <w:tab/>
    </w:r>
    <w:r>
      <w:fldChar w:fldCharType="begin"/>
    </w:r>
    <w:r>
      <w:instrText xml:space="preserve"> COMMENTS  \* MERGEFORMAT </w:instrText>
    </w:r>
    <w:r>
      <w:fldChar w:fldCharType="separate"/>
    </w:r>
    <w:r w:rsidR="00DF24BA">
      <w:t>Mark RISON (Samsung)</w:t>
    </w:r>
    <w:r>
      <w:fldChar w:fldCharType="end"/>
    </w:r>
  </w:p>
  <w:p w14:paraId="38435E49" w14:textId="77777777" w:rsidR="00DF24BA" w:rsidRDefault="00DF24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4E69" w14:textId="77777777" w:rsidR="004D6930" w:rsidRDefault="004D6930">
      <w:r>
        <w:separator/>
      </w:r>
    </w:p>
  </w:footnote>
  <w:footnote w:type="continuationSeparator" w:id="0">
    <w:p w14:paraId="612A1A71" w14:textId="77777777" w:rsidR="004D6930" w:rsidRDefault="004D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01DC971" w:rsidR="00DF24BA" w:rsidRDefault="004D6930">
    <w:pPr>
      <w:pStyle w:val="Header"/>
      <w:tabs>
        <w:tab w:val="clear" w:pos="6480"/>
        <w:tab w:val="center" w:pos="4680"/>
        <w:tab w:val="right" w:pos="9360"/>
      </w:tabs>
    </w:pPr>
    <w:r>
      <w:fldChar w:fldCharType="begin"/>
    </w:r>
    <w:r>
      <w:instrText xml:space="preserve"> KEYWORDS  \* MERGEFORMAT </w:instrText>
    </w:r>
    <w:r>
      <w:fldChar w:fldCharType="separate"/>
    </w:r>
    <w:r w:rsidR="00DF24BA">
      <w:t>March 2023</w:t>
    </w:r>
    <w:r>
      <w:fldChar w:fldCharType="end"/>
    </w:r>
    <w:r w:rsidR="00DF24BA">
      <w:tab/>
    </w:r>
    <w:r w:rsidR="00DF24BA">
      <w:tab/>
    </w:r>
    <w:r>
      <w:fldChar w:fldCharType="begin"/>
    </w:r>
    <w:r>
      <w:instrText xml:space="preserve"> TITLE  \* MERGEFORMAT </w:instrText>
    </w:r>
    <w:r>
      <w:fldChar w:fldCharType="separate"/>
    </w:r>
    <w:r w:rsidR="003561D1">
      <w:t>doc.: IEEE 802.11-22/2069r10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2"/>
  </w:num>
  <w:num w:numId="7">
    <w:abstractNumId w:val="17"/>
  </w:num>
  <w:num w:numId="8">
    <w:abstractNumId w:val="4"/>
  </w:num>
  <w:num w:numId="9">
    <w:abstractNumId w:val="6"/>
  </w:num>
  <w:num w:numId="10">
    <w:abstractNumId w:val="18"/>
  </w:num>
  <w:num w:numId="11">
    <w:abstractNumId w:val="15"/>
  </w:num>
  <w:num w:numId="12">
    <w:abstractNumId w:val="19"/>
  </w:num>
  <w:num w:numId="13">
    <w:abstractNumId w:val="1"/>
  </w:num>
  <w:num w:numId="14">
    <w:abstractNumId w:val="11"/>
  </w:num>
  <w:num w:numId="15">
    <w:abstractNumId w:val="10"/>
  </w:num>
  <w:num w:numId="16">
    <w:abstractNumId w:val="5"/>
  </w:num>
  <w:num w:numId="17">
    <w:abstractNumId w:val="8"/>
  </w:num>
  <w:num w:numId="18">
    <w:abstractNumId w:val="21"/>
  </w:num>
  <w:num w:numId="19">
    <w:abstractNumId w:val="7"/>
  </w:num>
  <w:num w:numId="20">
    <w:abstractNumId w:val="2"/>
  </w:num>
  <w:num w:numId="21">
    <w:abstractNumId w:val="20"/>
  </w:num>
  <w:num w:numId="22">
    <w:abstractNumId w:val="12"/>
  </w:num>
  <w:num w:numId="23">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43A"/>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19A"/>
    <w:rsid w:val="003573F9"/>
    <w:rsid w:val="003577B5"/>
    <w:rsid w:val="00357D4A"/>
    <w:rsid w:val="00357DFA"/>
    <w:rsid w:val="00360221"/>
    <w:rsid w:val="00360EB7"/>
    <w:rsid w:val="00360EC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6F9"/>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0B1"/>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3CE"/>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41CA"/>
    <w:rsid w:val="00C64AE3"/>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5F61"/>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85"/>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CCFB9-5882-4D12-B2AD-A63558C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49658</TotalTime>
  <Pages>119</Pages>
  <Words>33803</Words>
  <Characters>192679</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doc.: IEEE 802.11-22/2069r9</vt:lpstr>
    </vt:vector>
  </TitlesOfParts>
  <Company>Some Company</Company>
  <LinksUpToDate>false</LinksUpToDate>
  <CharactersWithSpaces>226030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802.11-22/2069r10</dc:title>
  <dc:subject>Submission</dc:subject>
  <dc:creator>Mark RISON</dc:creator>
  <cp:keywords>March 2023</cp:keywords>
  <dc:description/>
  <cp:lastModifiedBy>Mark Rison</cp:lastModifiedBy>
  <cp:revision>170</cp:revision>
  <cp:lastPrinted>2015-09-03T00:05:00Z</cp:lastPrinted>
  <dcterms:created xsi:type="dcterms:W3CDTF">2022-12-16T20:45:00Z</dcterms:created>
  <dcterms:modified xsi:type="dcterms:W3CDTF">2023-03-19T07:49:00Z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