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6473D8B6"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CC40 - Part </w:t>
            </w:r>
            <w:r w:rsidR="00392FEE">
              <w:rPr>
                <w:lang w:val="en-US"/>
              </w:rPr>
              <w:t>4</w:t>
            </w:r>
          </w:p>
        </w:tc>
      </w:tr>
      <w:tr w:rsidR="00CA09B2" w:rsidRPr="00CF09FE" w14:paraId="4D274C0E" w14:textId="77777777">
        <w:trPr>
          <w:trHeight w:val="359"/>
          <w:jc w:val="center"/>
        </w:trPr>
        <w:tc>
          <w:tcPr>
            <w:tcW w:w="9576" w:type="dxa"/>
            <w:gridSpan w:val="5"/>
            <w:vAlign w:val="center"/>
          </w:tcPr>
          <w:p w14:paraId="6DFAE4C5" w14:textId="591E19EB"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283156">
              <w:rPr>
                <w:b w:val="0"/>
                <w:sz w:val="20"/>
                <w:lang w:val="en-US"/>
              </w:rPr>
              <w:t>11</w:t>
            </w:r>
            <w:r w:rsidRPr="00CF09FE">
              <w:rPr>
                <w:b w:val="0"/>
                <w:sz w:val="20"/>
                <w:lang w:val="en-US"/>
              </w:rPr>
              <w:t>-</w:t>
            </w:r>
            <w:r w:rsidR="00283156">
              <w:rPr>
                <w:b w:val="0"/>
                <w:sz w:val="20"/>
                <w:lang w:val="en-US"/>
              </w:rPr>
              <w:t>03</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1BD8D903" w:rsidR="0029020B" w:rsidRPr="0093015E" w:rsidRDefault="001E3D4B">
                            <w:pPr>
                              <w:jc w:val="both"/>
                            </w:pPr>
                            <w:r w:rsidRPr="001E3D4B">
                              <w:t xml:space="preserve">This submission proposes resolutions to editorial comments submitted in CC40. The text used as </w:t>
                            </w:r>
                            <w:r w:rsidRPr="0093015E">
                              <w:t>reference is D0.</w:t>
                            </w:r>
                            <w:r w:rsidR="00C465E2">
                              <w:t>3</w:t>
                            </w:r>
                            <w:r w:rsidRPr="0093015E">
                              <w:t>.</w:t>
                            </w:r>
                          </w:p>
                          <w:p w14:paraId="450CA67A" w14:textId="115B796B" w:rsidR="0093015E" w:rsidRPr="0093015E" w:rsidRDefault="0093015E">
                            <w:pPr>
                              <w:jc w:val="both"/>
                            </w:pPr>
                          </w:p>
                          <w:p w14:paraId="654E75F1" w14:textId="1D531719" w:rsidR="0093015E" w:rsidRDefault="0093015E" w:rsidP="0093015E">
                            <w:pPr>
                              <w:jc w:val="both"/>
                            </w:pPr>
                            <w:r w:rsidRPr="0093015E">
                              <w:t xml:space="preserve">CIDs: </w:t>
                            </w:r>
                            <w:r w:rsidR="00E75DEE">
                              <w:t xml:space="preserve">137 151 152 </w:t>
                            </w:r>
                            <w:r w:rsidR="001E4D42">
                              <w:t>281 98 548 624</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55ECF639" w:rsidR="00C97C6F" w:rsidRPr="00E75DEE" w:rsidRDefault="006F1A1C" w:rsidP="00E75DEE">
                            <w:pPr>
                              <w:jc w:val="both"/>
                              <w:rPr>
                                <w:color w:val="000000"/>
                                <w:szCs w:val="22"/>
                                <w:lang w:val="en-US"/>
                              </w:rPr>
                            </w:pPr>
                            <w:r>
                              <w:rPr>
                                <w:color w:val="000000"/>
                                <w:szCs w:val="22"/>
                                <w:lang w:val="en-US"/>
                              </w:rPr>
                              <w:t>R0: Original version</w:t>
                            </w: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1CCD9621" w14:textId="1BD8D903" w:rsidR="0029020B" w:rsidRPr="0093015E" w:rsidRDefault="001E3D4B">
                      <w:pPr>
                        <w:jc w:val="both"/>
                      </w:pPr>
                      <w:r w:rsidRPr="001E3D4B">
                        <w:t xml:space="preserve">This submission proposes resolutions to editorial comments submitted in CC40. The text used as </w:t>
                      </w:r>
                      <w:r w:rsidRPr="0093015E">
                        <w:t>reference is D0.</w:t>
                      </w:r>
                      <w:r w:rsidR="00C465E2">
                        <w:t>3</w:t>
                      </w:r>
                      <w:r w:rsidRPr="0093015E">
                        <w:t>.</w:t>
                      </w:r>
                    </w:p>
                    <w:p w14:paraId="450CA67A" w14:textId="115B796B" w:rsidR="0093015E" w:rsidRPr="0093015E" w:rsidRDefault="0093015E">
                      <w:pPr>
                        <w:jc w:val="both"/>
                      </w:pPr>
                    </w:p>
                    <w:p w14:paraId="654E75F1" w14:textId="1D531719" w:rsidR="0093015E" w:rsidRDefault="0093015E" w:rsidP="0093015E">
                      <w:pPr>
                        <w:jc w:val="both"/>
                      </w:pPr>
                      <w:r w:rsidRPr="0093015E">
                        <w:t xml:space="preserve">CIDs: </w:t>
                      </w:r>
                      <w:r w:rsidR="00E75DEE">
                        <w:t xml:space="preserve">137 151 152 </w:t>
                      </w:r>
                      <w:r w:rsidR="001E4D42">
                        <w:t>281 98 548 624</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55ECF639" w:rsidR="00C97C6F" w:rsidRPr="00E75DEE" w:rsidRDefault="006F1A1C" w:rsidP="00E75DEE">
                      <w:pPr>
                        <w:jc w:val="both"/>
                        <w:rPr>
                          <w:color w:val="000000"/>
                          <w:szCs w:val="22"/>
                          <w:lang w:val="en-US"/>
                        </w:rPr>
                      </w:pPr>
                      <w:r>
                        <w:rPr>
                          <w:color w:val="000000"/>
                          <w:szCs w:val="22"/>
                          <w:lang w:val="en-US"/>
                        </w:rPr>
                        <w:t>R0: Original version</w:t>
                      </w: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919D2" w:rsidRPr="00B236C2" w14:paraId="431E890D" w14:textId="77777777" w:rsidTr="00AD6163">
        <w:tc>
          <w:tcPr>
            <w:tcW w:w="656" w:type="dxa"/>
            <w:shd w:val="clear" w:color="auto" w:fill="auto"/>
          </w:tcPr>
          <w:p w14:paraId="38F266D1" w14:textId="77777777" w:rsidR="005919D2" w:rsidRPr="00B236C2" w:rsidRDefault="005919D2" w:rsidP="00AD6163">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465F439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810" w:type="dxa"/>
            <w:shd w:val="clear" w:color="auto" w:fill="auto"/>
          </w:tcPr>
          <w:p w14:paraId="4FB074EF" w14:textId="77777777" w:rsidR="005919D2" w:rsidRPr="00B236C2" w:rsidRDefault="005919D2" w:rsidP="00AD6163">
            <w:pPr>
              <w:widowControl w:val="0"/>
              <w:suppressAutoHyphens/>
              <w:rPr>
                <w:b/>
                <w:szCs w:val="22"/>
                <w:lang w:val="en-US"/>
              </w:rPr>
            </w:pPr>
            <w:r w:rsidRPr="00B236C2">
              <w:rPr>
                <w:b/>
                <w:szCs w:val="22"/>
                <w:lang w:val="en-US"/>
              </w:rPr>
              <w:t>Page</w:t>
            </w:r>
          </w:p>
        </w:tc>
        <w:tc>
          <w:tcPr>
            <w:tcW w:w="2767" w:type="dxa"/>
            <w:shd w:val="clear" w:color="auto" w:fill="auto"/>
          </w:tcPr>
          <w:p w14:paraId="3F82CB71"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775" w:type="dxa"/>
            <w:shd w:val="clear" w:color="auto" w:fill="auto"/>
          </w:tcPr>
          <w:p w14:paraId="17C386FE"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0C442D" w:rsidRPr="00831251" w14:paraId="152D9409" w14:textId="77777777" w:rsidTr="00AD6163">
        <w:tc>
          <w:tcPr>
            <w:tcW w:w="656" w:type="dxa"/>
            <w:shd w:val="clear" w:color="auto" w:fill="auto"/>
          </w:tcPr>
          <w:p w14:paraId="057C9C35" w14:textId="59372837" w:rsidR="000C442D" w:rsidRPr="00831251" w:rsidRDefault="000C442D" w:rsidP="000C442D">
            <w:pPr>
              <w:widowControl w:val="0"/>
              <w:suppressAutoHyphens/>
              <w:rPr>
                <w:szCs w:val="22"/>
                <w:lang w:val="en-US"/>
              </w:rPr>
            </w:pPr>
            <w:r>
              <w:rPr>
                <w:szCs w:val="22"/>
                <w:lang w:val="en-US"/>
              </w:rPr>
              <w:t>137</w:t>
            </w:r>
          </w:p>
        </w:tc>
        <w:tc>
          <w:tcPr>
            <w:tcW w:w="1342" w:type="dxa"/>
            <w:shd w:val="clear" w:color="auto" w:fill="auto"/>
          </w:tcPr>
          <w:p w14:paraId="1881409F" w14:textId="271B6EFF" w:rsidR="000C442D" w:rsidRPr="00831251" w:rsidRDefault="000C442D" w:rsidP="000C442D">
            <w:pPr>
              <w:widowControl w:val="0"/>
              <w:suppressAutoHyphens/>
              <w:jc w:val="center"/>
              <w:rPr>
                <w:szCs w:val="22"/>
                <w:lang w:val="en-US"/>
              </w:rPr>
            </w:pPr>
            <w:r>
              <w:rPr>
                <w:rFonts w:ascii="Arial" w:hAnsi="Arial" w:cs="Arial"/>
                <w:sz w:val="20"/>
              </w:rPr>
              <w:t>11.21.18.6.3</w:t>
            </w:r>
          </w:p>
        </w:tc>
        <w:tc>
          <w:tcPr>
            <w:tcW w:w="810" w:type="dxa"/>
            <w:shd w:val="clear" w:color="auto" w:fill="auto"/>
          </w:tcPr>
          <w:p w14:paraId="3198E369" w14:textId="26A74529" w:rsidR="000C442D" w:rsidRPr="00831251" w:rsidRDefault="000C442D" w:rsidP="000C442D">
            <w:pPr>
              <w:widowControl w:val="0"/>
              <w:suppressAutoHyphens/>
              <w:rPr>
                <w:szCs w:val="22"/>
                <w:lang w:val="en-US"/>
              </w:rPr>
            </w:pPr>
            <w:r>
              <w:rPr>
                <w:rFonts w:ascii="Arial" w:hAnsi="Arial" w:cs="Arial"/>
                <w:sz w:val="20"/>
              </w:rPr>
              <w:t>31.18</w:t>
            </w:r>
          </w:p>
        </w:tc>
        <w:tc>
          <w:tcPr>
            <w:tcW w:w="2767" w:type="dxa"/>
            <w:shd w:val="clear" w:color="auto" w:fill="auto"/>
          </w:tcPr>
          <w:p w14:paraId="51591034" w14:textId="1BFBDF15" w:rsidR="000C442D" w:rsidRPr="00831251" w:rsidRDefault="000C442D" w:rsidP="000C442D">
            <w:pPr>
              <w:widowControl w:val="0"/>
              <w:suppressAutoHyphens/>
              <w:rPr>
                <w:szCs w:val="22"/>
                <w:lang w:val="en-US"/>
              </w:rPr>
            </w:pPr>
            <w:r>
              <w:rPr>
                <w:rFonts w:ascii="Arial" w:hAnsi="Arial" w:cs="Arial"/>
                <w:sz w:val="20"/>
              </w:rPr>
              <w:t>"If the number of available sensing transmitters exceeds the available uplink resources, multiple sequential trigger</w:t>
            </w:r>
            <w:r>
              <w:rPr>
                <w:rFonts w:ascii="Arial" w:hAnsi="Arial" w:cs="Arial"/>
                <w:sz w:val="20"/>
              </w:rPr>
              <w:br/>
              <w:t xml:space="preserve">frames can be transmitted within the acquired TXOP."  In some scenarios and use cases, using multiple sequential trigger frames to accommodate </w:t>
            </w:r>
            <w:proofErr w:type="gramStart"/>
            <w:r>
              <w:rPr>
                <w:rFonts w:ascii="Arial" w:hAnsi="Arial" w:cs="Arial"/>
                <w:sz w:val="20"/>
              </w:rPr>
              <w:t>a large number of</w:t>
            </w:r>
            <w:proofErr w:type="gramEnd"/>
            <w:r>
              <w:rPr>
                <w:rFonts w:ascii="Arial" w:hAnsi="Arial" w:cs="Arial"/>
                <w:sz w:val="20"/>
              </w:rPr>
              <w:t xml:space="preserve"> sensors may be inefficient.</w:t>
            </w:r>
          </w:p>
        </w:tc>
        <w:tc>
          <w:tcPr>
            <w:tcW w:w="3775" w:type="dxa"/>
            <w:shd w:val="clear" w:color="auto" w:fill="auto"/>
          </w:tcPr>
          <w:p w14:paraId="60CF8BA8" w14:textId="1A78C670" w:rsidR="000C442D" w:rsidRPr="00831251" w:rsidRDefault="000C442D" w:rsidP="000C442D">
            <w:pPr>
              <w:widowControl w:val="0"/>
              <w:suppressAutoHyphens/>
              <w:rPr>
                <w:szCs w:val="22"/>
                <w:lang w:val="en-US"/>
              </w:rPr>
            </w:pPr>
            <w:r>
              <w:rPr>
                <w:rFonts w:ascii="Arial" w:hAnsi="Arial" w:cs="Arial"/>
                <w:sz w:val="20"/>
              </w:rPr>
              <w:t>Enable allocation of the same uplink resource to multiple STAs to cover the use cases with large number of sensors. Contribution 22/0654 provides a proposed solution.</w:t>
            </w:r>
          </w:p>
        </w:tc>
      </w:tr>
    </w:tbl>
    <w:p w14:paraId="69D114BE" w14:textId="1094D53F" w:rsidR="00021D54" w:rsidRDefault="00021D54" w:rsidP="00021D54">
      <w:pPr>
        <w:rPr>
          <w:szCs w:val="22"/>
          <w:lang w:val="en-US"/>
        </w:rPr>
      </w:pPr>
    </w:p>
    <w:p w14:paraId="0A11E00D" w14:textId="28497638" w:rsidR="000C442D" w:rsidRPr="00CF09FE" w:rsidRDefault="000C442D" w:rsidP="000C442D">
      <w:pPr>
        <w:rPr>
          <w:szCs w:val="22"/>
          <w:lang w:val="en-US"/>
        </w:rPr>
      </w:pPr>
      <w:r w:rsidRPr="00CF09FE">
        <w:rPr>
          <w:b/>
          <w:szCs w:val="22"/>
          <w:lang w:val="en-US"/>
        </w:rPr>
        <w:t>Proposed resolution</w:t>
      </w:r>
      <w:r w:rsidRPr="00CF09FE">
        <w:rPr>
          <w:szCs w:val="22"/>
          <w:lang w:val="en-US"/>
        </w:rPr>
        <w:t xml:space="preserve">: </w:t>
      </w:r>
      <w:r>
        <w:rPr>
          <w:szCs w:val="22"/>
          <w:lang w:val="en-US"/>
        </w:rPr>
        <w:t>Reject</w:t>
      </w:r>
      <w:r w:rsidR="00EA49F9">
        <w:rPr>
          <w:szCs w:val="22"/>
          <w:lang w:val="en-US"/>
        </w:rPr>
        <w:t>ed</w:t>
      </w:r>
      <w:r>
        <w:rPr>
          <w:szCs w:val="22"/>
          <w:lang w:val="en-US"/>
        </w:rPr>
        <w:t>.</w:t>
      </w:r>
    </w:p>
    <w:p w14:paraId="6ACCFA35" w14:textId="77777777" w:rsidR="000C442D" w:rsidRPr="00532E0B" w:rsidRDefault="000C442D" w:rsidP="000C442D">
      <w:pPr>
        <w:rPr>
          <w:bCs/>
          <w:szCs w:val="22"/>
          <w:lang w:val="en-US"/>
        </w:rPr>
      </w:pPr>
    </w:p>
    <w:p w14:paraId="54A7B8E4" w14:textId="3D46ED04" w:rsidR="000C442D" w:rsidRDefault="000C442D" w:rsidP="000C442D">
      <w:pPr>
        <w:rPr>
          <w:szCs w:val="22"/>
          <w:lang w:val="en-US"/>
        </w:rPr>
      </w:pPr>
      <w:r w:rsidRPr="00CF09FE">
        <w:rPr>
          <w:b/>
          <w:szCs w:val="22"/>
          <w:lang w:val="en-US"/>
        </w:rPr>
        <w:t>Discussion</w:t>
      </w:r>
      <w:r w:rsidRPr="00CF09FE">
        <w:rPr>
          <w:szCs w:val="22"/>
          <w:lang w:val="en-US"/>
        </w:rPr>
        <w:t xml:space="preserve">: </w:t>
      </w:r>
      <w:proofErr w:type="spellStart"/>
      <w:r w:rsidR="00EA49F9">
        <w:rPr>
          <w:szCs w:val="22"/>
          <w:lang w:val="en-US"/>
        </w:rPr>
        <w:t>TGbf</w:t>
      </w:r>
      <w:proofErr w:type="spellEnd"/>
      <w:r w:rsidR="00EA49F9">
        <w:rPr>
          <w:szCs w:val="22"/>
          <w:lang w:val="en-US"/>
        </w:rPr>
        <w:t xml:space="preserve"> reviewed contribution DCN0654 </w:t>
      </w:r>
      <w:r w:rsidR="009465F3">
        <w:rPr>
          <w:szCs w:val="22"/>
          <w:lang w:val="en-US"/>
        </w:rPr>
        <w:t>and decided not to go with this proposal. T</w:t>
      </w:r>
      <w:r w:rsidR="00EA49F9">
        <w:rPr>
          <w:szCs w:val="22"/>
          <w:lang w:val="en-US"/>
        </w:rPr>
        <w:t xml:space="preserve">he authors </w:t>
      </w:r>
      <w:r w:rsidR="009465F3">
        <w:rPr>
          <w:szCs w:val="22"/>
          <w:lang w:val="en-US"/>
        </w:rPr>
        <w:t>also</w:t>
      </w:r>
      <w:r w:rsidR="00EA49F9">
        <w:rPr>
          <w:szCs w:val="22"/>
          <w:lang w:val="en-US"/>
        </w:rPr>
        <w:t xml:space="preserve"> confirmed that they will not proceed</w:t>
      </w:r>
      <w:r w:rsidR="009465F3">
        <w:rPr>
          <w:szCs w:val="22"/>
          <w:lang w:val="en-US"/>
        </w:rPr>
        <w:t xml:space="preserve"> with the contribution and are fine with rejecting this CID.</w:t>
      </w:r>
      <w:r w:rsidR="00EA49F9">
        <w:rPr>
          <w:szCs w:val="22"/>
          <w:lang w:val="en-US"/>
        </w:rPr>
        <w:t xml:space="preserve"> </w:t>
      </w:r>
    </w:p>
    <w:p w14:paraId="38C5794D" w14:textId="77777777" w:rsidR="005919D2" w:rsidRDefault="005919D2" w:rsidP="00021D54">
      <w:pPr>
        <w:rPr>
          <w:szCs w:val="22"/>
          <w:lang w:val="en-US"/>
        </w:rPr>
      </w:pPr>
    </w:p>
    <w:p w14:paraId="705680C2" w14:textId="2BCF883C" w:rsidR="005919D2" w:rsidRDefault="005919D2" w:rsidP="00021D5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919D2" w:rsidRPr="00CF09FE" w14:paraId="088D8F19" w14:textId="77777777" w:rsidTr="00AD6163">
        <w:tc>
          <w:tcPr>
            <w:tcW w:w="656" w:type="dxa"/>
            <w:shd w:val="clear" w:color="auto" w:fill="auto"/>
          </w:tcPr>
          <w:p w14:paraId="059ACCBB" w14:textId="77777777" w:rsidR="005919D2" w:rsidRPr="00B236C2" w:rsidRDefault="005919D2" w:rsidP="00AD6163">
            <w:pPr>
              <w:widowControl w:val="0"/>
              <w:suppressAutoHyphens/>
              <w:rPr>
                <w:b/>
                <w:szCs w:val="22"/>
                <w:lang w:val="en-US"/>
              </w:rPr>
            </w:pPr>
            <w:r w:rsidRPr="00B236C2">
              <w:rPr>
                <w:b/>
                <w:szCs w:val="22"/>
                <w:lang w:val="en-US"/>
              </w:rPr>
              <w:t>CID</w:t>
            </w:r>
          </w:p>
        </w:tc>
        <w:tc>
          <w:tcPr>
            <w:tcW w:w="1342" w:type="dxa"/>
            <w:shd w:val="clear" w:color="auto" w:fill="auto"/>
          </w:tcPr>
          <w:p w14:paraId="1EACCD0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810" w:type="dxa"/>
            <w:shd w:val="clear" w:color="auto" w:fill="auto"/>
          </w:tcPr>
          <w:p w14:paraId="6641FD4D" w14:textId="77777777" w:rsidR="005919D2" w:rsidRPr="00B236C2" w:rsidRDefault="005919D2" w:rsidP="00AD6163">
            <w:pPr>
              <w:widowControl w:val="0"/>
              <w:suppressAutoHyphens/>
              <w:rPr>
                <w:b/>
                <w:szCs w:val="22"/>
                <w:lang w:val="en-US"/>
              </w:rPr>
            </w:pPr>
            <w:r w:rsidRPr="00B236C2">
              <w:rPr>
                <w:b/>
                <w:szCs w:val="22"/>
                <w:lang w:val="en-US"/>
              </w:rPr>
              <w:t>Page</w:t>
            </w:r>
          </w:p>
        </w:tc>
        <w:tc>
          <w:tcPr>
            <w:tcW w:w="2767" w:type="dxa"/>
            <w:shd w:val="clear" w:color="auto" w:fill="auto"/>
          </w:tcPr>
          <w:p w14:paraId="0C9F4D90"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775" w:type="dxa"/>
            <w:shd w:val="clear" w:color="auto" w:fill="auto"/>
          </w:tcPr>
          <w:p w14:paraId="566F57F1"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5919D2" w:rsidRPr="00CF09FE" w14:paraId="1EFA8D38" w14:textId="77777777" w:rsidTr="00AD6163">
        <w:tc>
          <w:tcPr>
            <w:tcW w:w="656" w:type="dxa"/>
            <w:shd w:val="clear" w:color="auto" w:fill="auto"/>
          </w:tcPr>
          <w:p w14:paraId="39B75DB1" w14:textId="77777777" w:rsidR="005919D2" w:rsidRPr="00831251" w:rsidRDefault="005919D2" w:rsidP="00AD6163">
            <w:pPr>
              <w:widowControl w:val="0"/>
              <w:suppressAutoHyphens/>
              <w:rPr>
                <w:szCs w:val="22"/>
                <w:lang w:val="en-US"/>
              </w:rPr>
            </w:pPr>
            <w:r>
              <w:rPr>
                <w:szCs w:val="22"/>
                <w:lang w:val="en-US"/>
              </w:rPr>
              <w:t>151</w:t>
            </w:r>
          </w:p>
        </w:tc>
        <w:tc>
          <w:tcPr>
            <w:tcW w:w="1342" w:type="dxa"/>
            <w:shd w:val="clear" w:color="auto" w:fill="auto"/>
          </w:tcPr>
          <w:p w14:paraId="4A921E33" w14:textId="77777777" w:rsidR="005919D2" w:rsidRPr="00831251" w:rsidRDefault="005919D2" w:rsidP="00AD6163">
            <w:pPr>
              <w:widowControl w:val="0"/>
              <w:suppressAutoHyphens/>
              <w:jc w:val="center"/>
              <w:rPr>
                <w:szCs w:val="22"/>
                <w:lang w:val="en-US"/>
              </w:rPr>
            </w:pPr>
            <w:r>
              <w:rPr>
                <w:rFonts w:ascii="Arial" w:hAnsi="Arial" w:cs="Arial"/>
                <w:sz w:val="20"/>
              </w:rPr>
              <w:t>11.21.18.4</w:t>
            </w:r>
          </w:p>
        </w:tc>
        <w:tc>
          <w:tcPr>
            <w:tcW w:w="810" w:type="dxa"/>
            <w:shd w:val="clear" w:color="auto" w:fill="auto"/>
          </w:tcPr>
          <w:p w14:paraId="629D6EA1" w14:textId="77777777" w:rsidR="005919D2" w:rsidRPr="00831251" w:rsidRDefault="005919D2" w:rsidP="00AD6163">
            <w:pPr>
              <w:widowControl w:val="0"/>
              <w:suppressAutoHyphens/>
              <w:rPr>
                <w:szCs w:val="22"/>
                <w:lang w:val="en-US"/>
              </w:rPr>
            </w:pPr>
            <w:r>
              <w:rPr>
                <w:rFonts w:ascii="Arial" w:hAnsi="Arial" w:cs="Arial"/>
                <w:sz w:val="20"/>
              </w:rPr>
              <w:t>68.31</w:t>
            </w:r>
          </w:p>
        </w:tc>
        <w:tc>
          <w:tcPr>
            <w:tcW w:w="2767" w:type="dxa"/>
            <w:shd w:val="clear" w:color="auto" w:fill="auto"/>
          </w:tcPr>
          <w:p w14:paraId="4CAA0A1A" w14:textId="77777777" w:rsidR="005919D2" w:rsidRPr="00831251" w:rsidRDefault="005919D2" w:rsidP="00AD6163">
            <w:pPr>
              <w:widowControl w:val="0"/>
              <w:suppressAutoHyphens/>
              <w:rPr>
                <w:szCs w:val="22"/>
                <w:lang w:val="en-US"/>
              </w:rPr>
            </w:pPr>
            <w:r>
              <w:rPr>
                <w:rFonts w:ascii="Arial" w:hAnsi="Arial" w:cs="Arial"/>
                <w:sz w:val="20"/>
              </w:rPr>
              <w:t>"The measurement setup ID shall be assigned by a sensing initiator ... ". It is not clear what the measurement setup ID refers to. Does it refer to a specific application or a certain set of parameters?</w:t>
            </w:r>
          </w:p>
        </w:tc>
        <w:tc>
          <w:tcPr>
            <w:tcW w:w="3775" w:type="dxa"/>
            <w:shd w:val="clear" w:color="auto" w:fill="auto"/>
          </w:tcPr>
          <w:p w14:paraId="32526BB3" w14:textId="77777777" w:rsidR="005919D2" w:rsidRPr="00831251" w:rsidRDefault="005919D2" w:rsidP="00AD6163">
            <w:pPr>
              <w:widowControl w:val="0"/>
              <w:suppressAutoHyphens/>
              <w:rPr>
                <w:szCs w:val="22"/>
                <w:lang w:val="en-US"/>
              </w:rPr>
            </w:pPr>
            <w:r>
              <w:rPr>
                <w:rFonts w:ascii="Arial" w:hAnsi="Arial" w:cs="Arial"/>
                <w:sz w:val="20"/>
              </w:rPr>
              <w:t>Define what is the measurement setup ID and include the rules for setting this ID in the specs.</w:t>
            </w:r>
          </w:p>
        </w:tc>
      </w:tr>
      <w:tr w:rsidR="005919D2" w:rsidRPr="00CF09FE" w14:paraId="7DBA93B4" w14:textId="77777777" w:rsidTr="00AD6163">
        <w:tc>
          <w:tcPr>
            <w:tcW w:w="656" w:type="dxa"/>
            <w:shd w:val="clear" w:color="auto" w:fill="auto"/>
          </w:tcPr>
          <w:p w14:paraId="0D0852FF" w14:textId="77777777" w:rsidR="005919D2" w:rsidRDefault="005919D2" w:rsidP="00AD6163">
            <w:pPr>
              <w:widowControl w:val="0"/>
              <w:suppressAutoHyphens/>
              <w:rPr>
                <w:szCs w:val="22"/>
                <w:lang w:val="en-US"/>
              </w:rPr>
            </w:pPr>
            <w:r>
              <w:rPr>
                <w:szCs w:val="22"/>
                <w:lang w:val="en-US"/>
              </w:rPr>
              <w:t>152</w:t>
            </w:r>
          </w:p>
        </w:tc>
        <w:tc>
          <w:tcPr>
            <w:tcW w:w="1342" w:type="dxa"/>
            <w:shd w:val="clear" w:color="auto" w:fill="auto"/>
          </w:tcPr>
          <w:p w14:paraId="1364B637" w14:textId="77777777" w:rsidR="005919D2" w:rsidRDefault="005919D2" w:rsidP="00AD6163">
            <w:pPr>
              <w:widowControl w:val="0"/>
              <w:suppressAutoHyphens/>
              <w:jc w:val="center"/>
              <w:rPr>
                <w:rFonts w:ascii="Arial" w:hAnsi="Arial" w:cs="Arial"/>
                <w:sz w:val="20"/>
              </w:rPr>
            </w:pPr>
            <w:r>
              <w:rPr>
                <w:rFonts w:ascii="Arial" w:hAnsi="Arial" w:cs="Arial"/>
                <w:sz w:val="20"/>
              </w:rPr>
              <w:t>11.21.18.5</w:t>
            </w:r>
          </w:p>
        </w:tc>
        <w:tc>
          <w:tcPr>
            <w:tcW w:w="810" w:type="dxa"/>
            <w:shd w:val="clear" w:color="auto" w:fill="auto"/>
          </w:tcPr>
          <w:p w14:paraId="19AF0A97" w14:textId="77777777" w:rsidR="005919D2" w:rsidRDefault="005919D2" w:rsidP="00AD6163">
            <w:pPr>
              <w:widowControl w:val="0"/>
              <w:suppressAutoHyphens/>
              <w:rPr>
                <w:rFonts w:ascii="Arial" w:hAnsi="Arial" w:cs="Arial"/>
                <w:sz w:val="20"/>
              </w:rPr>
            </w:pPr>
            <w:r>
              <w:rPr>
                <w:rFonts w:ascii="Arial" w:hAnsi="Arial" w:cs="Arial"/>
                <w:sz w:val="20"/>
              </w:rPr>
              <w:t>68.4</w:t>
            </w:r>
          </w:p>
        </w:tc>
        <w:tc>
          <w:tcPr>
            <w:tcW w:w="2767" w:type="dxa"/>
            <w:shd w:val="clear" w:color="auto" w:fill="auto"/>
          </w:tcPr>
          <w:p w14:paraId="6B35F594" w14:textId="77777777" w:rsidR="005919D2" w:rsidRDefault="005919D2" w:rsidP="00AD6163">
            <w:pPr>
              <w:widowControl w:val="0"/>
              <w:suppressAutoHyphens/>
              <w:rPr>
                <w:rFonts w:ascii="Arial" w:hAnsi="Arial" w:cs="Arial"/>
                <w:sz w:val="20"/>
              </w:rPr>
            </w:pPr>
            <w:r>
              <w:rPr>
                <w:rFonts w:ascii="Arial" w:hAnsi="Arial" w:cs="Arial"/>
                <w:sz w:val="20"/>
              </w:rPr>
              <w:t>It is not clear what is the definition of The Measurement Instance ID and what is the range of values applicable to this ID</w:t>
            </w:r>
          </w:p>
        </w:tc>
        <w:tc>
          <w:tcPr>
            <w:tcW w:w="3775" w:type="dxa"/>
            <w:shd w:val="clear" w:color="auto" w:fill="auto"/>
          </w:tcPr>
          <w:p w14:paraId="101B2DD9" w14:textId="77777777" w:rsidR="005919D2" w:rsidRDefault="005919D2" w:rsidP="00AD6163">
            <w:pPr>
              <w:widowControl w:val="0"/>
              <w:suppressAutoHyphens/>
              <w:rPr>
                <w:rFonts w:ascii="Arial" w:hAnsi="Arial" w:cs="Arial"/>
                <w:sz w:val="20"/>
              </w:rPr>
            </w:pPr>
            <w:r>
              <w:rPr>
                <w:rFonts w:ascii="Arial" w:hAnsi="Arial" w:cs="Arial"/>
                <w:sz w:val="20"/>
              </w:rPr>
              <w:t>Define what is the measurement instance ID and include the rules for setting this ID in the specs.</w:t>
            </w:r>
          </w:p>
        </w:tc>
      </w:tr>
    </w:tbl>
    <w:p w14:paraId="261A2E7A" w14:textId="274669A9" w:rsidR="005919D2" w:rsidRPr="00CF09FE" w:rsidRDefault="005919D2" w:rsidP="00021D54">
      <w:pPr>
        <w:rPr>
          <w:szCs w:val="22"/>
          <w:lang w:val="en-US"/>
        </w:rPr>
      </w:pPr>
    </w:p>
    <w:p w14:paraId="15159F7B" w14:textId="6EA97510" w:rsidR="00021D54" w:rsidRPr="00CF09FE" w:rsidRDefault="00021D54" w:rsidP="00021D54">
      <w:pPr>
        <w:rPr>
          <w:szCs w:val="22"/>
          <w:lang w:val="en-US"/>
        </w:rPr>
      </w:pPr>
      <w:r w:rsidRPr="00CF09FE">
        <w:rPr>
          <w:b/>
          <w:szCs w:val="22"/>
          <w:lang w:val="en-US"/>
        </w:rPr>
        <w:t>Proposed resolution</w:t>
      </w:r>
      <w:r w:rsidRPr="00CF09FE">
        <w:rPr>
          <w:szCs w:val="22"/>
          <w:lang w:val="en-US"/>
        </w:rPr>
        <w:t xml:space="preserve">: </w:t>
      </w:r>
      <w:r w:rsidR="003F1287">
        <w:rPr>
          <w:szCs w:val="22"/>
          <w:lang w:val="en-US"/>
        </w:rPr>
        <w:t>Revised to all</w:t>
      </w:r>
      <w:r w:rsidR="00216E50">
        <w:rPr>
          <w:szCs w:val="22"/>
          <w:lang w:val="en-US"/>
        </w:rPr>
        <w:t>.</w:t>
      </w:r>
      <w:r w:rsidR="00A91BE7">
        <w:rPr>
          <w:szCs w:val="22"/>
          <w:lang w:val="en-US"/>
        </w:rPr>
        <w:t xml:space="preserve"> Already resolved in D0.4.</w:t>
      </w:r>
    </w:p>
    <w:p w14:paraId="4CE4DD3C" w14:textId="77777777" w:rsidR="00021D54" w:rsidRPr="00532E0B" w:rsidRDefault="00021D54" w:rsidP="00021D54">
      <w:pPr>
        <w:rPr>
          <w:bCs/>
          <w:szCs w:val="22"/>
          <w:lang w:val="en-US"/>
        </w:rPr>
      </w:pPr>
    </w:p>
    <w:p w14:paraId="42DD0AAC" w14:textId="57128109" w:rsidR="000E0617" w:rsidRDefault="00021D54" w:rsidP="008B5E20">
      <w:pPr>
        <w:rPr>
          <w:szCs w:val="22"/>
          <w:lang w:val="en-US"/>
        </w:rPr>
      </w:pPr>
      <w:r w:rsidRPr="00CF09FE">
        <w:rPr>
          <w:b/>
          <w:szCs w:val="22"/>
          <w:lang w:val="en-US"/>
        </w:rPr>
        <w:t>Discussion</w:t>
      </w:r>
      <w:r w:rsidRPr="00CF09FE">
        <w:rPr>
          <w:szCs w:val="22"/>
          <w:lang w:val="en-US"/>
        </w:rPr>
        <w:t xml:space="preserve">: </w:t>
      </w:r>
      <w:r w:rsidR="00252AA4">
        <w:rPr>
          <w:szCs w:val="22"/>
          <w:lang w:val="en-US"/>
        </w:rPr>
        <w:t>In the latest 11bf draft D0.4</w:t>
      </w:r>
      <w:r w:rsidR="00BC5C1E">
        <w:rPr>
          <w:szCs w:val="22"/>
          <w:lang w:val="en-US"/>
        </w:rPr>
        <w:t xml:space="preserve"> and some recent contributions ready for motion</w:t>
      </w:r>
      <w:r w:rsidR="00252AA4">
        <w:rPr>
          <w:szCs w:val="22"/>
          <w:lang w:val="en-US"/>
        </w:rPr>
        <w:t>, we already added clear definitions and descriptions of the measurement setup ID and measurement instance ID</w:t>
      </w:r>
      <w:r w:rsidR="00224AB5">
        <w:rPr>
          <w:szCs w:val="22"/>
          <w:lang w:val="en-US"/>
        </w:rPr>
        <w:t>, which are sufficient to resolve these two CIDs</w:t>
      </w:r>
      <w:r w:rsidR="006E6115">
        <w:rPr>
          <w:szCs w:val="22"/>
          <w:lang w:val="en-US"/>
        </w:rPr>
        <w:t xml:space="preserve">. </w:t>
      </w:r>
      <w:r w:rsidR="00F75D72">
        <w:rPr>
          <w:szCs w:val="22"/>
          <w:lang w:val="en-US"/>
        </w:rPr>
        <w:t>Examples are included in the below. Therefore, no further changes are needed</w:t>
      </w:r>
      <w:r w:rsidR="00224AB5">
        <w:rPr>
          <w:szCs w:val="22"/>
          <w:lang w:val="en-US"/>
        </w:rPr>
        <w:t>.</w:t>
      </w:r>
    </w:p>
    <w:p w14:paraId="39BBA581" w14:textId="77777777" w:rsidR="000873FB" w:rsidRDefault="000873FB" w:rsidP="008B5E20">
      <w:pPr>
        <w:rPr>
          <w:szCs w:val="22"/>
          <w:lang w:val="en-US"/>
        </w:rPr>
      </w:pPr>
    </w:p>
    <w:p w14:paraId="04FDB673" w14:textId="5661C6CF" w:rsidR="006E6115" w:rsidRDefault="006E6115" w:rsidP="008B5E20">
      <w:pPr>
        <w:rPr>
          <w:szCs w:val="22"/>
          <w:lang w:val="en-US"/>
        </w:rPr>
      </w:pPr>
      <w:r w:rsidRPr="00943B26">
        <w:rPr>
          <w:szCs w:val="22"/>
          <w:highlight w:val="yellow"/>
          <w:lang w:val="en-US"/>
        </w:rPr>
        <w:t>Measurement setup ID:</w:t>
      </w:r>
    </w:p>
    <w:p w14:paraId="0014DCC7" w14:textId="77777777" w:rsidR="00FB74E9" w:rsidRDefault="00FB74E9" w:rsidP="008B5E20">
      <w:pPr>
        <w:rPr>
          <w:szCs w:val="22"/>
          <w:lang w:val="en-US"/>
        </w:rPr>
      </w:pPr>
    </w:p>
    <w:p w14:paraId="195E9914" w14:textId="3A581946" w:rsidR="006E6115" w:rsidRPr="00685D4A" w:rsidRDefault="00D57AC2" w:rsidP="008B5E20">
      <w:pPr>
        <w:rPr>
          <w:b/>
          <w:bCs/>
          <w:szCs w:val="22"/>
          <w:lang w:val="en-US"/>
        </w:rPr>
      </w:pPr>
      <w:r w:rsidRPr="00685D4A">
        <w:rPr>
          <w:b/>
          <w:bCs/>
          <w:szCs w:val="22"/>
          <w:lang w:val="en-US"/>
        </w:rPr>
        <w:t xml:space="preserve">9.6.7.49 Sensing Measurement Setup </w:t>
      </w:r>
      <w:proofErr w:type="spellStart"/>
      <w:r w:rsidRPr="00685D4A">
        <w:rPr>
          <w:b/>
          <w:bCs/>
          <w:szCs w:val="22"/>
          <w:lang w:val="en-US"/>
        </w:rPr>
        <w:t>Reqeust</w:t>
      </w:r>
      <w:proofErr w:type="spellEnd"/>
      <w:r w:rsidRPr="00685D4A">
        <w:rPr>
          <w:b/>
          <w:bCs/>
          <w:szCs w:val="22"/>
          <w:lang w:val="en-US"/>
        </w:rPr>
        <w:t xml:space="preserve"> frame format</w:t>
      </w:r>
    </w:p>
    <w:p w14:paraId="78DCE944" w14:textId="34E8E0E2" w:rsidR="00D57AC2" w:rsidRDefault="005279D7" w:rsidP="008B5E20">
      <w:pPr>
        <w:rPr>
          <w:rFonts w:ascii="TimesNewRoman" w:hAnsi="TimesNewRoman"/>
          <w:color w:val="000000"/>
          <w:sz w:val="20"/>
        </w:rPr>
      </w:pPr>
      <w:r w:rsidRPr="005279D7">
        <w:rPr>
          <w:rFonts w:ascii="TimesNewRoman" w:hAnsi="TimesNewRoman"/>
          <w:color w:val="000000"/>
          <w:sz w:val="20"/>
        </w:rPr>
        <w:t>The Measurement Setup ID field in the Sensing Measurement Setup Request frame indicates a Measurement</w:t>
      </w:r>
      <w:r w:rsidRPr="005279D7">
        <w:rPr>
          <w:rFonts w:ascii="TimesNewRoman" w:hAnsi="TimesNewRoman"/>
          <w:color w:val="000000"/>
          <w:sz w:val="20"/>
        </w:rPr>
        <w:br/>
        <w:t>Setup ID that identifies assigned operational parameters in the Sensing Measurement Parameters Element to</w:t>
      </w:r>
      <w:r w:rsidRPr="005279D7">
        <w:rPr>
          <w:rFonts w:ascii="TimesNewRoman" w:hAnsi="TimesNewRoman"/>
          <w:color w:val="000000"/>
          <w:sz w:val="20"/>
        </w:rPr>
        <w:br/>
        <w:t>be used in the corresponding sensing measurement instances as shown in Figure 9-1140b (Measurement</w:t>
      </w:r>
      <w:r w:rsidRPr="005279D7">
        <w:rPr>
          <w:rFonts w:ascii="TimesNewRoman" w:hAnsi="TimesNewRoman"/>
          <w:color w:val="000000"/>
          <w:sz w:val="20"/>
        </w:rPr>
        <w:br/>
        <w:t>Setup ID field format</w:t>
      </w:r>
      <w:r>
        <w:rPr>
          <w:rFonts w:ascii="TimesNewRoman" w:hAnsi="TimesNewRoman"/>
          <w:color w:val="000000"/>
          <w:sz w:val="20"/>
        </w:rPr>
        <w:t xml:space="preserve"> </w:t>
      </w:r>
      <w:r w:rsidRPr="005279D7">
        <w:rPr>
          <w:rFonts w:ascii="TimesNewRoman" w:hAnsi="TimesNewRoman"/>
          <w:color w:val="000000"/>
          <w:sz w:val="20"/>
        </w:rPr>
        <w:t>(#76, #261, #518)).</w:t>
      </w:r>
    </w:p>
    <w:p w14:paraId="6508091A" w14:textId="005223D5" w:rsidR="00685D4A" w:rsidRDefault="00685D4A" w:rsidP="008B5E20">
      <w:pPr>
        <w:rPr>
          <w:rFonts w:ascii="TimesNewRoman" w:hAnsi="TimesNewRoman"/>
          <w:color w:val="000000"/>
          <w:sz w:val="20"/>
        </w:rPr>
      </w:pPr>
    </w:p>
    <w:p w14:paraId="6A355FBE" w14:textId="30D1CAB5" w:rsidR="00685D4A" w:rsidRPr="00FB74E9" w:rsidRDefault="00685D4A" w:rsidP="008B5E20">
      <w:pPr>
        <w:rPr>
          <w:b/>
          <w:bCs/>
          <w:szCs w:val="22"/>
          <w:lang w:val="en-US"/>
        </w:rPr>
      </w:pPr>
      <w:r w:rsidRPr="00FB74E9">
        <w:rPr>
          <w:b/>
          <w:bCs/>
          <w:szCs w:val="22"/>
          <w:lang w:val="en-US"/>
        </w:rPr>
        <w:t>11.55.1.1 Overview</w:t>
      </w:r>
    </w:p>
    <w:p w14:paraId="7B5A4B8E" w14:textId="1EF65926" w:rsidR="00685D4A" w:rsidRDefault="009A2E15" w:rsidP="008B5E20">
      <w:pPr>
        <w:rPr>
          <w:rFonts w:ascii="TimesNewRoman" w:hAnsi="TimesNewRoman"/>
          <w:color w:val="000000"/>
          <w:sz w:val="20"/>
        </w:rPr>
      </w:pPr>
      <w:r w:rsidRPr="009A2E15">
        <w:rPr>
          <w:rFonts w:ascii="TimesNewRoman" w:hAnsi="TimesNewRoman"/>
          <w:color w:val="000000"/>
          <w:sz w:val="20"/>
        </w:rPr>
        <w:t xml:space="preserve">As defined in 11.55.1.4 (Sensing measurement </w:t>
      </w:r>
      <w:proofErr w:type="gramStart"/>
      <w:r w:rsidRPr="009A2E15">
        <w:rPr>
          <w:rFonts w:ascii="TimesNewRoman" w:hAnsi="TimesNewRoman"/>
          <w:color w:val="000000"/>
          <w:sz w:val="20"/>
        </w:rPr>
        <w:t>setup)</w:t>
      </w:r>
      <w:r w:rsidRPr="009A2E15">
        <w:rPr>
          <w:rFonts w:ascii="TimesNewRoman" w:hAnsi="TimesNewRoman"/>
          <w:color w:val="218A21"/>
          <w:sz w:val="20"/>
        </w:rPr>
        <w:t>(</w:t>
      </w:r>
      <w:proofErr w:type="gramEnd"/>
      <w:r w:rsidRPr="009A2E15">
        <w:rPr>
          <w:rFonts w:ascii="TimesNewRoman" w:hAnsi="TimesNewRoman"/>
          <w:color w:val="218A21"/>
          <w:sz w:val="20"/>
        </w:rPr>
        <w:t>#188, #231, #342, #745)</w:t>
      </w:r>
      <w:r w:rsidRPr="009A2E15">
        <w:rPr>
          <w:rFonts w:ascii="TimesNewRoman" w:hAnsi="TimesNewRoman"/>
          <w:color w:val="000000"/>
          <w:sz w:val="20"/>
        </w:rPr>
        <w:t>, operational parameters associated with sensing measurement instance(s) of a given Measurement Setup ID are set in the sensing measurement setup</w:t>
      </w:r>
      <w:r w:rsidRPr="009A2E15">
        <w:rPr>
          <w:rFonts w:ascii="TimesNewRoman" w:hAnsi="TimesNewRoman"/>
          <w:color w:val="218A21"/>
          <w:sz w:val="20"/>
        </w:rPr>
        <w:t>(#429, #665, #848, #852, #853, #854, #856, #858, #859, #841, #185)</w:t>
      </w:r>
      <w:r w:rsidRPr="009A2E15">
        <w:rPr>
          <w:rFonts w:ascii="TimesNewRoman" w:hAnsi="TimesNewRoman"/>
          <w:color w:val="000000"/>
          <w:sz w:val="20"/>
        </w:rPr>
        <w:t>. Multiple sensing</w:t>
      </w:r>
      <w:r w:rsidR="006822E4">
        <w:rPr>
          <w:rFonts w:ascii="TimesNewRoman" w:hAnsi="TimesNewRoman"/>
          <w:color w:val="000000"/>
          <w:sz w:val="20"/>
        </w:rPr>
        <w:t xml:space="preserve"> </w:t>
      </w:r>
      <w:r w:rsidRPr="009A2E15">
        <w:rPr>
          <w:rFonts w:ascii="TimesNewRoman" w:hAnsi="TimesNewRoman"/>
          <w:color w:val="000000"/>
          <w:sz w:val="20"/>
        </w:rPr>
        <w:t>measurement setups may be established between a sensing initiator and a sensing responder, which are</w:t>
      </w:r>
      <w:r w:rsidRPr="009A2E15">
        <w:rPr>
          <w:rFonts w:ascii="TimesNewRoman" w:hAnsi="TimesNewRoman"/>
          <w:color w:val="000000"/>
          <w:sz w:val="20"/>
        </w:rPr>
        <w:br/>
        <w:t xml:space="preserve">assigned different Measurement Setup </w:t>
      </w:r>
      <w:proofErr w:type="gramStart"/>
      <w:r w:rsidRPr="009A2E15">
        <w:rPr>
          <w:rFonts w:ascii="TimesNewRoman" w:hAnsi="TimesNewRoman"/>
          <w:color w:val="000000"/>
          <w:sz w:val="20"/>
        </w:rPr>
        <w:t>IDs</w:t>
      </w:r>
      <w:r w:rsidRPr="009A2E15">
        <w:rPr>
          <w:rFonts w:ascii="TimesNewRoman" w:hAnsi="TimesNewRoman"/>
          <w:color w:val="218A21"/>
          <w:sz w:val="20"/>
        </w:rPr>
        <w:t>(</w:t>
      </w:r>
      <w:proofErr w:type="gramEnd"/>
      <w:r w:rsidRPr="009A2E15">
        <w:rPr>
          <w:rFonts w:ascii="TimesNewRoman" w:hAnsi="TimesNewRoman"/>
          <w:color w:val="218A21"/>
          <w:sz w:val="20"/>
        </w:rPr>
        <w:t>#17)</w:t>
      </w:r>
      <w:r w:rsidRPr="009A2E15">
        <w:rPr>
          <w:rFonts w:ascii="TimesNewRoman" w:hAnsi="TimesNewRoman"/>
          <w:color w:val="000000"/>
          <w:sz w:val="20"/>
        </w:rPr>
        <w:t>.</w:t>
      </w:r>
    </w:p>
    <w:p w14:paraId="0A1DE807" w14:textId="385B1715" w:rsidR="00FB74E9" w:rsidRDefault="00FB74E9" w:rsidP="008B5E20">
      <w:pPr>
        <w:rPr>
          <w:rFonts w:ascii="TimesNewRoman" w:hAnsi="TimesNewRoman"/>
          <w:color w:val="000000"/>
          <w:sz w:val="20"/>
        </w:rPr>
      </w:pPr>
    </w:p>
    <w:p w14:paraId="19913F7F" w14:textId="750258C2" w:rsidR="00FB74E9" w:rsidRPr="001267A6" w:rsidRDefault="00FB74E9" w:rsidP="008B5E20">
      <w:pPr>
        <w:rPr>
          <w:b/>
          <w:bCs/>
          <w:szCs w:val="22"/>
          <w:lang w:val="en-US"/>
        </w:rPr>
      </w:pPr>
      <w:r w:rsidRPr="001267A6">
        <w:rPr>
          <w:b/>
          <w:bCs/>
          <w:szCs w:val="22"/>
          <w:lang w:val="en-US"/>
        </w:rPr>
        <w:t>11.55.1.4 Sensing measurement setup</w:t>
      </w:r>
    </w:p>
    <w:p w14:paraId="773CBC98" w14:textId="26184A79" w:rsidR="005279D7" w:rsidRDefault="001267A6" w:rsidP="008B5E20">
      <w:pPr>
        <w:rPr>
          <w:rFonts w:ascii="TimesNewRoman" w:hAnsi="TimesNewRoman"/>
          <w:color w:val="000000"/>
          <w:sz w:val="20"/>
        </w:rPr>
      </w:pPr>
      <w:r w:rsidRPr="001267A6">
        <w:rPr>
          <w:rFonts w:ascii="TimesNewRoman" w:hAnsi="TimesNewRoman"/>
          <w:color w:val="000000"/>
          <w:sz w:val="20"/>
        </w:rPr>
        <w:t>Sensing measurement setup allows for a sensing initiator and a sensing responder to exchange and agree on</w:t>
      </w:r>
      <w:r w:rsidRPr="001267A6">
        <w:rPr>
          <w:rFonts w:ascii="TimesNewRoman" w:hAnsi="TimesNewRoman"/>
          <w:color w:val="000000"/>
          <w:sz w:val="20"/>
        </w:rPr>
        <w:br/>
        <w:t>operational parameters associated with sensing measurement instance(s</w:t>
      </w:r>
      <w:proofErr w:type="gramStart"/>
      <w:r w:rsidRPr="001267A6">
        <w:rPr>
          <w:rFonts w:ascii="TimesNewRoman" w:hAnsi="TimesNewRoman"/>
          <w:color w:val="000000"/>
          <w:sz w:val="20"/>
        </w:rPr>
        <w:t>)</w:t>
      </w:r>
      <w:r w:rsidRPr="001267A6">
        <w:rPr>
          <w:rFonts w:ascii="TimesNewRoman" w:hAnsi="TimesNewRoman"/>
          <w:color w:val="218A21"/>
          <w:sz w:val="20"/>
        </w:rPr>
        <w:t>(</w:t>
      </w:r>
      <w:proofErr w:type="gramEnd"/>
      <w:r w:rsidRPr="001267A6">
        <w:rPr>
          <w:rFonts w:ascii="TimesNewRoman" w:hAnsi="TimesNewRoman"/>
          <w:color w:val="218A21"/>
          <w:sz w:val="20"/>
        </w:rPr>
        <w:t>#429, #665, #848, #852, #853,</w:t>
      </w:r>
      <w:r w:rsidRPr="001267A6">
        <w:rPr>
          <w:rFonts w:ascii="TimesNewRoman" w:hAnsi="TimesNewRoman"/>
          <w:color w:val="218A21"/>
          <w:sz w:val="20"/>
        </w:rPr>
        <w:br/>
        <w:t xml:space="preserve">#854, #856, #858, #859, #841) </w:t>
      </w:r>
      <w:r w:rsidRPr="001267A6">
        <w:rPr>
          <w:rFonts w:ascii="TimesNewRoman" w:hAnsi="TimesNewRoman"/>
          <w:color w:val="000000"/>
          <w:sz w:val="20"/>
        </w:rPr>
        <w:t>of a given Measurement Setup ID</w:t>
      </w:r>
      <w:r w:rsidRPr="001267A6">
        <w:rPr>
          <w:rFonts w:ascii="TimesNewRoman" w:hAnsi="TimesNewRoman"/>
          <w:color w:val="218A21"/>
          <w:sz w:val="20"/>
        </w:rPr>
        <w:t>(#191)</w:t>
      </w:r>
      <w:r w:rsidRPr="001267A6">
        <w:rPr>
          <w:rFonts w:ascii="TimesNewRoman" w:hAnsi="TimesNewRoman"/>
          <w:color w:val="000000"/>
          <w:sz w:val="20"/>
        </w:rPr>
        <w:t>.</w:t>
      </w:r>
    </w:p>
    <w:p w14:paraId="00D41FF8" w14:textId="5155FC0A" w:rsidR="005279D7" w:rsidRDefault="005279D7" w:rsidP="008B5E20">
      <w:pPr>
        <w:rPr>
          <w:rFonts w:ascii="TimesNewRoman" w:hAnsi="TimesNewRoman"/>
          <w:color w:val="000000"/>
          <w:sz w:val="20"/>
        </w:rPr>
      </w:pPr>
    </w:p>
    <w:p w14:paraId="6AB2F1C2" w14:textId="323DD35F" w:rsidR="001267A6" w:rsidRDefault="001267A6" w:rsidP="008B5E20">
      <w:pPr>
        <w:rPr>
          <w:rFonts w:ascii="TimesNewRoman" w:hAnsi="TimesNewRoman"/>
          <w:color w:val="218A21"/>
          <w:sz w:val="20"/>
        </w:rPr>
      </w:pPr>
      <w:r w:rsidRPr="001267A6">
        <w:rPr>
          <w:rFonts w:ascii="TimesNewRoman" w:hAnsi="TimesNewRoman"/>
          <w:color w:val="000000"/>
          <w:sz w:val="20"/>
        </w:rPr>
        <w:t xml:space="preserve">The Measurement Setup </w:t>
      </w:r>
      <w:proofErr w:type="gramStart"/>
      <w:r w:rsidRPr="001267A6">
        <w:rPr>
          <w:rFonts w:ascii="TimesNewRoman" w:hAnsi="TimesNewRoman"/>
          <w:color w:val="000000"/>
          <w:sz w:val="20"/>
        </w:rPr>
        <w:t>ID</w:t>
      </w:r>
      <w:r w:rsidRPr="001267A6">
        <w:rPr>
          <w:rFonts w:ascii="TimesNewRoman" w:hAnsi="TimesNewRoman"/>
          <w:color w:val="218A21"/>
          <w:sz w:val="20"/>
        </w:rPr>
        <w:t>(</w:t>
      </w:r>
      <w:proofErr w:type="gramEnd"/>
      <w:r w:rsidRPr="001267A6">
        <w:rPr>
          <w:rFonts w:ascii="TimesNewRoman" w:hAnsi="TimesNewRoman"/>
          <w:color w:val="218A21"/>
          <w:sz w:val="20"/>
        </w:rPr>
        <w:t xml:space="preserve">#217) </w:t>
      </w:r>
      <w:r w:rsidRPr="001267A6">
        <w:rPr>
          <w:rFonts w:ascii="TimesNewRoman" w:hAnsi="TimesNewRoman"/>
          <w:color w:val="000000"/>
          <w:sz w:val="20"/>
        </w:rPr>
        <w:t>shall be assigned by a sensing initiator, the &lt;sensing initiator’s MAC</w:t>
      </w:r>
      <w:r w:rsidRPr="001267A6">
        <w:rPr>
          <w:rFonts w:ascii="TimesNewRoman" w:hAnsi="TimesNewRoman"/>
          <w:color w:val="000000"/>
          <w:sz w:val="20"/>
        </w:rPr>
        <w:br/>
        <w:t>address, Measurement Setup ID&gt; tuple should be used to uniquely</w:t>
      </w:r>
      <w:r w:rsidRPr="001267A6">
        <w:rPr>
          <w:rFonts w:ascii="TimesNewRoman" w:hAnsi="TimesNewRoman"/>
          <w:color w:val="218A21"/>
          <w:sz w:val="20"/>
        </w:rPr>
        <w:t xml:space="preserve">(#25) </w:t>
      </w:r>
      <w:r w:rsidRPr="001267A6">
        <w:rPr>
          <w:rFonts w:ascii="TimesNewRoman" w:hAnsi="TimesNewRoman"/>
          <w:color w:val="000000"/>
          <w:sz w:val="20"/>
        </w:rPr>
        <w:t>identify the corresponding sensing</w:t>
      </w:r>
      <w:r w:rsidRPr="001267A6">
        <w:rPr>
          <w:rFonts w:ascii="TimesNewRoman" w:hAnsi="TimesNewRoman"/>
          <w:color w:val="000000"/>
          <w:sz w:val="20"/>
        </w:rPr>
        <w:br/>
        <w:t>measurement setup</w:t>
      </w:r>
      <w:r w:rsidRPr="001267A6">
        <w:rPr>
          <w:rFonts w:ascii="TimesNewRoman" w:hAnsi="TimesNewRoman"/>
          <w:color w:val="218A21"/>
          <w:sz w:val="20"/>
        </w:rPr>
        <w:t>(#861, #752)</w:t>
      </w:r>
    </w:p>
    <w:p w14:paraId="08E2BDF4" w14:textId="7D9DF654" w:rsidR="000873FB" w:rsidRDefault="000873FB" w:rsidP="008B5E20">
      <w:pPr>
        <w:rPr>
          <w:rFonts w:ascii="TimesNewRoman" w:hAnsi="TimesNewRoman"/>
          <w:color w:val="218A21"/>
          <w:sz w:val="20"/>
        </w:rPr>
      </w:pPr>
    </w:p>
    <w:p w14:paraId="2FFFF9AA" w14:textId="4E255EAA" w:rsidR="000873FB" w:rsidRDefault="000873FB" w:rsidP="008B5E20">
      <w:pPr>
        <w:rPr>
          <w:rFonts w:ascii="TimesNewRoman" w:hAnsi="TimesNewRoman"/>
          <w:color w:val="000000"/>
          <w:sz w:val="20"/>
        </w:rPr>
      </w:pPr>
      <w:r w:rsidRPr="000873FB">
        <w:rPr>
          <w:rFonts w:ascii="TimesNewRoman" w:hAnsi="TimesNewRoman"/>
          <w:color w:val="000000"/>
          <w:sz w:val="20"/>
        </w:rPr>
        <w:t xml:space="preserve">The assignment of sensing transmitter and/or sensing receiver role(s) of a STA corresponding to a Measurement Setup </w:t>
      </w:r>
      <w:proofErr w:type="gramStart"/>
      <w:r w:rsidRPr="000873FB">
        <w:rPr>
          <w:rFonts w:ascii="TimesNewRoman" w:hAnsi="TimesNewRoman"/>
          <w:color w:val="000000"/>
          <w:sz w:val="20"/>
        </w:rPr>
        <w:t>ID</w:t>
      </w:r>
      <w:r w:rsidRPr="000873FB">
        <w:rPr>
          <w:rFonts w:ascii="TimesNewRoman" w:hAnsi="TimesNewRoman"/>
          <w:color w:val="218A21"/>
          <w:sz w:val="20"/>
        </w:rPr>
        <w:t>(</w:t>
      </w:r>
      <w:proofErr w:type="gramEnd"/>
      <w:r w:rsidRPr="000873FB">
        <w:rPr>
          <w:rFonts w:ascii="TimesNewRoman" w:hAnsi="TimesNewRoman"/>
          <w:color w:val="218A21"/>
          <w:sz w:val="20"/>
        </w:rPr>
        <w:t xml:space="preserve">#217) </w:t>
      </w:r>
      <w:r w:rsidRPr="000873FB">
        <w:rPr>
          <w:rFonts w:ascii="TimesNewRoman" w:hAnsi="TimesNewRoman"/>
          <w:color w:val="000000"/>
          <w:sz w:val="20"/>
        </w:rPr>
        <w:t>shall be fixed until the sensing measurement setup is terminated.</w:t>
      </w:r>
    </w:p>
    <w:p w14:paraId="0AAD776D" w14:textId="3BCB5801" w:rsidR="000873FB" w:rsidRDefault="000873FB" w:rsidP="008B5E20">
      <w:pPr>
        <w:rPr>
          <w:rFonts w:ascii="TimesNewRoman" w:hAnsi="TimesNewRoman"/>
          <w:color w:val="000000"/>
          <w:sz w:val="20"/>
        </w:rPr>
      </w:pPr>
    </w:p>
    <w:p w14:paraId="02FBFC2D" w14:textId="0EE6E78E" w:rsidR="000873FB" w:rsidRDefault="000873FB" w:rsidP="008B5E20">
      <w:pPr>
        <w:rPr>
          <w:szCs w:val="22"/>
          <w:lang w:val="en-US"/>
        </w:rPr>
      </w:pPr>
      <w:r w:rsidRPr="00943B26">
        <w:rPr>
          <w:szCs w:val="22"/>
          <w:highlight w:val="yellow"/>
          <w:lang w:val="en-US"/>
        </w:rPr>
        <w:t>Measurement Instance ID</w:t>
      </w:r>
      <w:r w:rsidR="00C80597" w:rsidRPr="00943B26">
        <w:rPr>
          <w:szCs w:val="22"/>
          <w:highlight w:val="yellow"/>
          <w:lang w:val="en-US"/>
        </w:rPr>
        <w:t>:</w:t>
      </w:r>
    </w:p>
    <w:p w14:paraId="0D91012E" w14:textId="77777777" w:rsidR="00C80597" w:rsidRPr="000873FB" w:rsidRDefault="00C80597" w:rsidP="008B5E20">
      <w:pPr>
        <w:rPr>
          <w:szCs w:val="22"/>
          <w:lang w:val="en-US"/>
        </w:rPr>
      </w:pPr>
    </w:p>
    <w:p w14:paraId="07377C51" w14:textId="77777777" w:rsidR="009029CB" w:rsidRPr="00FB74E9" w:rsidRDefault="009029CB" w:rsidP="009029CB">
      <w:pPr>
        <w:rPr>
          <w:b/>
          <w:bCs/>
          <w:szCs w:val="22"/>
          <w:lang w:val="en-US"/>
        </w:rPr>
      </w:pPr>
      <w:r w:rsidRPr="00FB74E9">
        <w:rPr>
          <w:b/>
          <w:bCs/>
          <w:szCs w:val="22"/>
          <w:lang w:val="en-US"/>
        </w:rPr>
        <w:t>11.55.1.1 Overview</w:t>
      </w:r>
    </w:p>
    <w:p w14:paraId="3695F68C" w14:textId="7F59AF42" w:rsidR="000873FB" w:rsidRDefault="006822E4" w:rsidP="008B5E20">
      <w:pPr>
        <w:rPr>
          <w:rFonts w:ascii="TimesNewRoman" w:hAnsi="TimesNewRoman"/>
          <w:color w:val="000000"/>
          <w:sz w:val="20"/>
        </w:rPr>
      </w:pPr>
      <w:r w:rsidRPr="006822E4">
        <w:rPr>
          <w:rFonts w:ascii="TimesNewRoman" w:hAnsi="TimesNewRoman"/>
          <w:color w:val="000000"/>
          <w:sz w:val="20"/>
        </w:rPr>
        <w:t xml:space="preserve">Each measurement instance is </w:t>
      </w:r>
      <w:proofErr w:type="gramStart"/>
      <w:r w:rsidRPr="006822E4">
        <w:rPr>
          <w:rFonts w:ascii="TimesNewRoman" w:hAnsi="TimesNewRoman"/>
          <w:color w:val="000000"/>
          <w:sz w:val="20"/>
        </w:rPr>
        <w:t>assigned</w:t>
      </w:r>
      <w:r w:rsidRPr="006822E4">
        <w:rPr>
          <w:rFonts w:ascii="TimesNewRoman" w:hAnsi="TimesNewRoman"/>
          <w:color w:val="218A21"/>
          <w:sz w:val="20"/>
        </w:rPr>
        <w:t>(</w:t>
      </w:r>
      <w:proofErr w:type="gramEnd"/>
      <w:r w:rsidRPr="006822E4">
        <w:rPr>
          <w:rFonts w:ascii="TimesNewRoman" w:hAnsi="TimesNewRoman"/>
          <w:color w:val="218A21"/>
          <w:sz w:val="20"/>
        </w:rPr>
        <w:t xml:space="preserve">#851) </w:t>
      </w:r>
      <w:r w:rsidRPr="006822E4">
        <w:rPr>
          <w:rFonts w:ascii="TimesNewRoman" w:hAnsi="TimesNewRoman"/>
          <w:color w:val="000000"/>
          <w:sz w:val="20"/>
        </w:rPr>
        <w:t>a Measurement Instance ID (see</w:t>
      </w:r>
      <w:r>
        <w:rPr>
          <w:rFonts w:ascii="TimesNewRoman" w:hAnsi="TimesNewRoman"/>
          <w:color w:val="000000"/>
          <w:sz w:val="20"/>
        </w:rPr>
        <w:t xml:space="preserve"> </w:t>
      </w:r>
      <w:r w:rsidRPr="006822E4">
        <w:rPr>
          <w:rFonts w:ascii="TimesNewRoman" w:hAnsi="TimesNewRoman"/>
          <w:color w:val="000000"/>
          <w:sz w:val="20"/>
        </w:rPr>
        <w:t>11.55.1.5 (Sensing measurement instance)</w:t>
      </w:r>
      <w:r w:rsidRPr="006822E4">
        <w:rPr>
          <w:rFonts w:ascii="TimesNewRoman" w:hAnsi="TimesNewRoman"/>
          <w:color w:val="218A21"/>
          <w:sz w:val="20"/>
        </w:rPr>
        <w:t>(#190, #234, #462, #609)</w:t>
      </w:r>
      <w:r w:rsidRPr="006822E4">
        <w:rPr>
          <w:rFonts w:ascii="TimesNewRoman" w:hAnsi="TimesNewRoman"/>
          <w:color w:val="000000"/>
          <w:sz w:val="20"/>
        </w:rPr>
        <w:t>).</w:t>
      </w:r>
    </w:p>
    <w:p w14:paraId="0CF1E8B2" w14:textId="315668AB" w:rsidR="005279D7" w:rsidRDefault="005279D7" w:rsidP="008B5E20"/>
    <w:p w14:paraId="5AFA2663" w14:textId="1DDBA49F" w:rsidR="00C80597" w:rsidRDefault="00C80597" w:rsidP="008B5E20">
      <w:pPr>
        <w:rPr>
          <w:rFonts w:ascii="TimesNewRoman" w:hAnsi="TimesNewRoman"/>
          <w:color w:val="000000"/>
          <w:sz w:val="20"/>
        </w:rPr>
      </w:pPr>
      <w:r w:rsidRPr="00C80597">
        <w:rPr>
          <w:rFonts w:ascii="TimesNewRoman" w:hAnsi="TimesNewRoman"/>
          <w:color w:val="000000"/>
          <w:sz w:val="20"/>
        </w:rPr>
        <w:t>The Measurement Instance ID may be used to identify sensing measurement instance(s) that have the sensing measurement setup identified by the &lt;Sensing Initiator’s MAC address, Measurement Setup ID&gt;</w:t>
      </w:r>
      <w:r>
        <w:rPr>
          <w:rFonts w:ascii="TimesNewRoman" w:hAnsi="TimesNewRoman"/>
          <w:color w:val="000000"/>
          <w:sz w:val="20"/>
        </w:rPr>
        <w:t xml:space="preserve"> </w:t>
      </w:r>
      <w:proofErr w:type="gramStart"/>
      <w:r w:rsidRPr="00C80597">
        <w:rPr>
          <w:rFonts w:ascii="TimesNewRoman" w:hAnsi="TimesNewRoman"/>
          <w:color w:val="000000"/>
          <w:sz w:val="20"/>
        </w:rPr>
        <w:t>tuple</w:t>
      </w:r>
      <w:r w:rsidRPr="00C80597">
        <w:rPr>
          <w:rFonts w:ascii="TimesNewRoman" w:hAnsi="TimesNewRoman"/>
          <w:color w:val="218A21"/>
          <w:sz w:val="20"/>
        </w:rPr>
        <w:t>(</w:t>
      </w:r>
      <w:proofErr w:type="gramEnd"/>
      <w:r w:rsidRPr="00C80597">
        <w:rPr>
          <w:rFonts w:ascii="TimesNewRoman" w:hAnsi="TimesNewRoman"/>
          <w:color w:val="218A21"/>
          <w:sz w:val="20"/>
        </w:rPr>
        <w:t>#429, #665, #848, #852, #853, #854, #856, #858, #859, #841, #614)</w:t>
      </w:r>
      <w:r w:rsidRPr="00C80597">
        <w:rPr>
          <w:rFonts w:ascii="TimesNewRoman" w:hAnsi="TimesNewRoman"/>
          <w:color w:val="000000"/>
          <w:sz w:val="20"/>
        </w:rPr>
        <w:t>.</w:t>
      </w:r>
    </w:p>
    <w:p w14:paraId="0E47388A" w14:textId="5D50B244" w:rsidR="002F1E54" w:rsidRDefault="002F1E54" w:rsidP="008B5E20">
      <w:pPr>
        <w:rPr>
          <w:rFonts w:ascii="TimesNewRoman" w:hAnsi="TimesNewRoman"/>
          <w:color w:val="000000"/>
          <w:sz w:val="20"/>
        </w:rPr>
      </w:pPr>
    </w:p>
    <w:p w14:paraId="7BD3B404" w14:textId="64E70ECD" w:rsidR="002F1E54" w:rsidRDefault="002F1E54" w:rsidP="008B5E20">
      <w:pPr>
        <w:rPr>
          <w:rFonts w:ascii="TimesNewRoman" w:hAnsi="TimesNewRoman"/>
          <w:color w:val="000000"/>
          <w:sz w:val="20"/>
        </w:rPr>
      </w:pPr>
      <w:r>
        <w:rPr>
          <w:rFonts w:ascii="TimesNewRoman" w:hAnsi="TimesNewRoman"/>
          <w:color w:val="000000"/>
          <w:sz w:val="20"/>
        </w:rPr>
        <w:t>DCN1579r3 ready for motion:</w:t>
      </w:r>
    </w:p>
    <w:p w14:paraId="0F2FCBAE" w14:textId="17FA6F15" w:rsidR="002F1E54" w:rsidRDefault="00BC5C1E" w:rsidP="008B5E20">
      <w:pPr>
        <w:rPr>
          <w:rFonts w:ascii="TimesNewRoman" w:hAnsi="TimesNewRoman"/>
          <w:color w:val="000000"/>
          <w:sz w:val="20"/>
        </w:rPr>
      </w:pPr>
      <w:r w:rsidRPr="00BC5C1E">
        <w:rPr>
          <w:rFonts w:ascii="TimesNewRoman" w:eastAsia="Times New Roman" w:hAnsi="TimesNewRoman"/>
          <w:color w:val="000000"/>
          <w:sz w:val="20"/>
        </w:rPr>
        <w:t>Measurement Instance ID: Indicates the sensing measurement instance corresponding to the Sensing Measurement Report and identifies the different segments of the same report.</w:t>
      </w:r>
    </w:p>
    <w:p w14:paraId="7D8439BD" w14:textId="54A801F1" w:rsidR="006A6CC8" w:rsidRDefault="006A6CC8" w:rsidP="008B5E20">
      <w:pPr>
        <w:rPr>
          <w:rFonts w:ascii="TimesNewRoman" w:hAnsi="TimesNewRoman"/>
          <w:color w:val="000000"/>
          <w:sz w:val="20"/>
        </w:rPr>
      </w:pPr>
    </w:p>
    <w:p w14:paraId="4C5F652C" w14:textId="77777777" w:rsidR="006A6CC8" w:rsidRPr="00BC5C1E" w:rsidRDefault="006A6CC8" w:rsidP="008B5E20">
      <w:pPr>
        <w:rPr>
          <w:rFonts w:ascii="TimesNewRoman" w:eastAsia="Times New Roman" w:hAnsi="TimesNewRoman"/>
          <w:color w:val="000000"/>
          <w:sz w:val="20"/>
        </w:rPr>
      </w:pPr>
    </w:p>
    <w:p w14:paraId="0F283DC7" w14:textId="77777777" w:rsidR="00063BA7" w:rsidRDefault="00063BA7"/>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63BA7" w:rsidRPr="00B236C2" w14:paraId="791708AC" w14:textId="77777777" w:rsidTr="00AD6163">
        <w:tc>
          <w:tcPr>
            <w:tcW w:w="656" w:type="dxa"/>
            <w:shd w:val="clear" w:color="auto" w:fill="auto"/>
          </w:tcPr>
          <w:p w14:paraId="0C7974A4" w14:textId="77777777" w:rsidR="00063BA7" w:rsidRPr="00B236C2" w:rsidRDefault="00063BA7" w:rsidP="00AD6163">
            <w:pPr>
              <w:widowControl w:val="0"/>
              <w:suppressAutoHyphens/>
              <w:rPr>
                <w:b/>
                <w:szCs w:val="22"/>
                <w:lang w:val="en-US"/>
              </w:rPr>
            </w:pPr>
            <w:r w:rsidRPr="00B236C2">
              <w:rPr>
                <w:b/>
                <w:szCs w:val="22"/>
                <w:lang w:val="en-US"/>
              </w:rPr>
              <w:t>CID</w:t>
            </w:r>
          </w:p>
        </w:tc>
        <w:tc>
          <w:tcPr>
            <w:tcW w:w="1342" w:type="dxa"/>
            <w:shd w:val="clear" w:color="auto" w:fill="auto"/>
          </w:tcPr>
          <w:p w14:paraId="2A7C6D9A" w14:textId="77777777" w:rsidR="00063BA7" w:rsidRPr="00B236C2" w:rsidRDefault="00063BA7" w:rsidP="00AD6163">
            <w:pPr>
              <w:widowControl w:val="0"/>
              <w:suppressAutoHyphens/>
              <w:rPr>
                <w:b/>
                <w:szCs w:val="22"/>
                <w:lang w:val="en-US"/>
              </w:rPr>
            </w:pPr>
            <w:r w:rsidRPr="00B236C2">
              <w:rPr>
                <w:b/>
                <w:szCs w:val="22"/>
                <w:lang w:val="en-US"/>
              </w:rPr>
              <w:t>Clause</w:t>
            </w:r>
          </w:p>
        </w:tc>
        <w:tc>
          <w:tcPr>
            <w:tcW w:w="810" w:type="dxa"/>
            <w:shd w:val="clear" w:color="auto" w:fill="auto"/>
          </w:tcPr>
          <w:p w14:paraId="0285855D" w14:textId="77777777" w:rsidR="00063BA7" w:rsidRPr="00B236C2" w:rsidRDefault="00063BA7" w:rsidP="00AD6163">
            <w:pPr>
              <w:widowControl w:val="0"/>
              <w:suppressAutoHyphens/>
              <w:rPr>
                <w:b/>
                <w:szCs w:val="22"/>
                <w:lang w:val="en-US"/>
              </w:rPr>
            </w:pPr>
            <w:r w:rsidRPr="00B236C2">
              <w:rPr>
                <w:b/>
                <w:szCs w:val="22"/>
                <w:lang w:val="en-US"/>
              </w:rPr>
              <w:t>Page</w:t>
            </w:r>
          </w:p>
        </w:tc>
        <w:tc>
          <w:tcPr>
            <w:tcW w:w="2767" w:type="dxa"/>
            <w:shd w:val="clear" w:color="auto" w:fill="auto"/>
          </w:tcPr>
          <w:p w14:paraId="575A0126" w14:textId="77777777" w:rsidR="00063BA7" w:rsidRPr="00B236C2" w:rsidRDefault="00063BA7" w:rsidP="00AD6163">
            <w:pPr>
              <w:widowControl w:val="0"/>
              <w:suppressAutoHyphens/>
              <w:rPr>
                <w:b/>
                <w:szCs w:val="22"/>
                <w:lang w:val="en-US"/>
              </w:rPr>
            </w:pPr>
            <w:r w:rsidRPr="00B236C2">
              <w:rPr>
                <w:b/>
                <w:szCs w:val="22"/>
                <w:lang w:val="en-US"/>
              </w:rPr>
              <w:t>Comment</w:t>
            </w:r>
          </w:p>
        </w:tc>
        <w:tc>
          <w:tcPr>
            <w:tcW w:w="3775" w:type="dxa"/>
            <w:shd w:val="clear" w:color="auto" w:fill="auto"/>
          </w:tcPr>
          <w:p w14:paraId="32EAE9C5" w14:textId="77777777" w:rsidR="00063BA7" w:rsidRPr="00B236C2" w:rsidRDefault="00063BA7" w:rsidP="00AD6163">
            <w:pPr>
              <w:widowControl w:val="0"/>
              <w:suppressAutoHyphens/>
              <w:rPr>
                <w:b/>
                <w:szCs w:val="22"/>
                <w:lang w:val="en-US"/>
              </w:rPr>
            </w:pPr>
            <w:r w:rsidRPr="00B236C2">
              <w:rPr>
                <w:b/>
                <w:szCs w:val="22"/>
                <w:lang w:val="en-US"/>
              </w:rPr>
              <w:t>Proposed change</w:t>
            </w:r>
          </w:p>
        </w:tc>
      </w:tr>
      <w:tr w:rsidR="006A6CC8" w:rsidRPr="00831251" w14:paraId="4AF17672" w14:textId="77777777" w:rsidTr="00AD6163">
        <w:tc>
          <w:tcPr>
            <w:tcW w:w="656" w:type="dxa"/>
            <w:shd w:val="clear" w:color="auto" w:fill="auto"/>
          </w:tcPr>
          <w:p w14:paraId="03B4B416" w14:textId="7134CB8B" w:rsidR="006A6CC8" w:rsidRPr="00831251" w:rsidRDefault="006A6CC8" w:rsidP="006A6CC8">
            <w:pPr>
              <w:widowControl w:val="0"/>
              <w:suppressAutoHyphens/>
              <w:rPr>
                <w:szCs w:val="22"/>
                <w:lang w:val="en-US"/>
              </w:rPr>
            </w:pPr>
            <w:r>
              <w:rPr>
                <w:szCs w:val="22"/>
                <w:lang w:val="en-US"/>
              </w:rPr>
              <w:t>281</w:t>
            </w:r>
          </w:p>
        </w:tc>
        <w:tc>
          <w:tcPr>
            <w:tcW w:w="1342" w:type="dxa"/>
            <w:shd w:val="clear" w:color="auto" w:fill="auto"/>
          </w:tcPr>
          <w:p w14:paraId="466D5E5F" w14:textId="3360E5EE" w:rsidR="006A6CC8" w:rsidRPr="00831251" w:rsidRDefault="006A6CC8" w:rsidP="006A6CC8">
            <w:pPr>
              <w:widowControl w:val="0"/>
              <w:suppressAutoHyphens/>
              <w:jc w:val="center"/>
              <w:rPr>
                <w:szCs w:val="22"/>
                <w:lang w:val="en-US"/>
              </w:rPr>
            </w:pPr>
            <w:r>
              <w:rPr>
                <w:rFonts w:ascii="Arial" w:hAnsi="Arial" w:cs="Arial"/>
                <w:sz w:val="20"/>
              </w:rPr>
              <w:t>9.6.7.51</w:t>
            </w:r>
          </w:p>
        </w:tc>
        <w:tc>
          <w:tcPr>
            <w:tcW w:w="810" w:type="dxa"/>
            <w:shd w:val="clear" w:color="auto" w:fill="auto"/>
          </w:tcPr>
          <w:p w14:paraId="6CCA4D0F" w14:textId="68F70D01" w:rsidR="006A6CC8" w:rsidRPr="00831251" w:rsidRDefault="006A6CC8" w:rsidP="006A6CC8">
            <w:pPr>
              <w:widowControl w:val="0"/>
              <w:suppressAutoHyphens/>
              <w:rPr>
                <w:szCs w:val="22"/>
                <w:lang w:val="en-US"/>
              </w:rPr>
            </w:pPr>
            <w:r>
              <w:rPr>
                <w:rFonts w:ascii="Arial" w:hAnsi="Arial" w:cs="Arial"/>
                <w:sz w:val="20"/>
              </w:rPr>
              <w:t>59.28</w:t>
            </w:r>
          </w:p>
        </w:tc>
        <w:tc>
          <w:tcPr>
            <w:tcW w:w="2767" w:type="dxa"/>
            <w:shd w:val="clear" w:color="auto" w:fill="auto"/>
          </w:tcPr>
          <w:p w14:paraId="27FB1D87" w14:textId="70556B18" w:rsidR="006A6CC8" w:rsidRPr="00831251" w:rsidRDefault="006A6CC8" w:rsidP="006A6CC8">
            <w:pPr>
              <w:widowControl w:val="0"/>
              <w:suppressAutoHyphens/>
              <w:rPr>
                <w:szCs w:val="22"/>
                <w:lang w:val="en-US"/>
              </w:rPr>
            </w:pPr>
            <w:r>
              <w:rPr>
                <w:rFonts w:ascii="Arial" w:hAnsi="Arial" w:cs="Arial"/>
                <w:sz w:val="20"/>
              </w:rPr>
              <w:t>It is confusing saying the Sensing Measurement Report element contains one or more Sensing Measurement Report element. It's better to change the name of it.</w:t>
            </w:r>
          </w:p>
        </w:tc>
        <w:tc>
          <w:tcPr>
            <w:tcW w:w="3775" w:type="dxa"/>
            <w:shd w:val="clear" w:color="auto" w:fill="auto"/>
          </w:tcPr>
          <w:p w14:paraId="67A89F3B" w14:textId="6450372E" w:rsidR="006A6CC8" w:rsidRPr="00831251" w:rsidRDefault="006A6CC8" w:rsidP="006A6CC8">
            <w:pPr>
              <w:widowControl w:val="0"/>
              <w:suppressAutoHyphens/>
              <w:rPr>
                <w:szCs w:val="22"/>
                <w:lang w:val="en-US"/>
              </w:rPr>
            </w:pPr>
            <w:r>
              <w:rPr>
                <w:rFonts w:ascii="Arial" w:hAnsi="Arial" w:cs="Arial"/>
                <w:sz w:val="20"/>
              </w:rPr>
              <w:t>As in the comment.</w:t>
            </w:r>
          </w:p>
        </w:tc>
      </w:tr>
    </w:tbl>
    <w:p w14:paraId="4A050511" w14:textId="77777777" w:rsidR="00EA1E3B" w:rsidRDefault="00EA1E3B"/>
    <w:p w14:paraId="3DA04301" w14:textId="6AAB55CC" w:rsidR="00EA1E3B" w:rsidRPr="00CF09FE" w:rsidRDefault="00EA1E3B" w:rsidP="00EA1E3B">
      <w:pPr>
        <w:rPr>
          <w:szCs w:val="22"/>
          <w:lang w:val="en-US"/>
        </w:rPr>
      </w:pPr>
      <w:r w:rsidRPr="00CF09FE">
        <w:rPr>
          <w:b/>
          <w:szCs w:val="22"/>
          <w:lang w:val="en-US"/>
        </w:rPr>
        <w:t>Proposed resolution</w:t>
      </w:r>
      <w:r w:rsidRPr="00CF09FE">
        <w:rPr>
          <w:szCs w:val="22"/>
          <w:lang w:val="en-US"/>
        </w:rPr>
        <w:t xml:space="preserve">: </w:t>
      </w:r>
      <w:r>
        <w:rPr>
          <w:szCs w:val="22"/>
          <w:lang w:val="en-US"/>
        </w:rPr>
        <w:t>Revised.</w:t>
      </w:r>
      <w:r w:rsidR="00A91BE7">
        <w:rPr>
          <w:szCs w:val="22"/>
          <w:lang w:val="en-US"/>
        </w:rPr>
        <w:t xml:space="preserve"> Already resolved in DCN1579r3.</w:t>
      </w:r>
    </w:p>
    <w:p w14:paraId="4837516F" w14:textId="77777777" w:rsidR="00EA1E3B" w:rsidRPr="00532E0B" w:rsidRDefault="00EA1E3B" w:rsidP="00EA1E3B">
      <w:pPr>
        <w:rPr>
          <w:bCs/>
          <w:szCs w:val="22"/>
          <w:lang w:val="en-US"/>
        </w:rPr>
      </w:pPr>
    </w:p>
    <w:p w14:paraId="0D3BE186" w14:textId="01F5127F" w:rsidR="00EA1E3B" w:rsidRDefault="00EA1E3B" w:rsidP="00EA1E3B">
      <w:pPr>
        <w:rPr>
          <w:szCs w:val="22"/>
          <w:lang w:val="en-US"/>
        </w:rPr>
      </w:pPr>
      <w:r w:rsidRPr="00CF09FE">
        <w:rPr>
          <w:b/>
          <w:szCs w:val="22"/>
          <w:lang w:val="en-US"/>
        </w:rPr>
        <w:t>Discussion</w:t>
      </w:r>
      <w:r w:rsidRPr="00CF09FE">
        <w:rPr>
          <w:szCs w:val="22"/>
          <w:lang w:val="en-US"/>
        </w:rPr>
        <w:t xml:space="preserve">: </w:t>
      </w:r>
      <w:r>
        <w:rPr>
          <w:szCs w:val="22"/>
          <w:lang w:val="en-US"/>
        </w:rPr>
        <w:t xml:space="preserve">In </w:t>
      </w:r>
      <w:r>
        <w:rPr>
          <w:szCs w:val="22"/>
          <w:lang w:val="en-US"/>
        </w:rPr>
        <w:t>DCN</w:t>
      </w:r>
      <w:r w:rsidR="00FB2B96">
        <w:rPr>
          <w:szCs w:val="22"/>
          <w:lang w:val="en-US"/>
        </w:rPr>
        <w:t xml:space="preserve">1579r3 which is ready for motion, the format of the </w:t>
      </w:r>
      <w:r w:rsidR="0000575E">
        <w:rPr>
          <w:szCs w:val="22"/>
          <w:lang w:val="en-US"/>
        </w:rPr>
        <w:t>S</w:t>
      </w:r>
      <w:r w:rsidR="00FB2B96">
        <w:rPr>
          <w:szCs w:val="22"/>
          <w:lang w:val="en-US"/>
        </w:rPr>
        <w:t xml:space="preserve">ensing </w:t>
      </w:r>
      <w:r w:rsidR="0000575E">
        <w:rPr>
          <w:szCs w:val="22"/>
          <w:lang w:val="en-US"/>
        </w:rPr>
        <w:t>M</w:t>
      </w:r>
      <w:r w:rsidR="00762A88">
        <w:rPr>
          <w:szCs w:val="22"/>
          <w:lang w:val="en-US"/>
        </w:rPr>
        <w:t xml:space="preserve">easurement </w:t>
      </w:r>
      <w:r w:rsidR="0000575E">
        <w:rPr>
          <w:szCs w:val="22"/>
          <w:lang w:val="en-US"/>
        </w:rPr>
        <w:t>R</w:t>
      </w:r>
      <w:r w:rsidR="00762A88">
        <w:rPr>
          <w:szCs w:val="22"/>
          <w:lang w:val="en-US"/>
        </w:rPr>
        <w:t xml:space="preserve">eport </w:t>
      </w:r>
      <w:r w:rsidR="0000575E">
        <w:rPr>
          <w:szCs w:val="22"/>
          <w:lang w:val="en-US"/>
        </w:rPr>
        <w:t xml:space="preserve">frame has been changed. Currently, the Sensing Measurement Report frame consists of </w:t>
      </w:r>
      <w:r w:rsidR="00C2704D">
        <w:rPr>
          <w:szCs w:val="22"/>
          <w:lang w:val="en-US"/>
        </w:rPr>
        <w:t>one or more Sensing Measurement Report Container fields</w:t>
      </w:r>
      <w:r w:rsidR="00C83B2B">
        <w:rPr>
          <w:szCs w:val="22"/>
          <w:lang w:val="en-US"/>
        </w:rPr>
        <w:t>,</w:t>
      </w:r>
      <w:r w:rsidR="0000575E">
        <w:rPr>
          <w:szCs w:val="22"/>
          <w:lang w:val="en-US"/>
        </w:rPr>
        <w:t xml:space="preserve"> </w:t>
      </w:r>
      <w:r w:rsidR="00C83B2B">
        <w:rPr>
          <w:szCs w:val="22"/>
          <w:lang w:val="en-US"/>
        </w:rPr>
        <w:t xml:space="preserve">and each Sensing Measurement Report Contain field further includes one Sensing Measurement </w:t>
      </w:r>
      <w:r w:rsidR="0056753D">
        <w:rPr>
          <w:szCs w:val="22"/>
          <w:lang w:val="en-US"/>
        </w:rPr>
        <w:t>Report subfield. No further action is required at this stage.</w:t>
      </w:r>
    </w:p>
    <w:p w14:paraId="43FFA571" w14:textId="5FDD0C88" w:rsidR="00BC5C1E" w:rsidRDefault="00BC5C1E"/>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969D0" w:rsidRPr="00B236C2" w14:paraId="53043DDC" w14:textId="77777777" w:rsidTr="00AD6163">
        <w:tc>
          <w:tcPr>
            <w:tcW w:w="656" w:type="dxa"/>
            <w:shd w:val="clear" w:color="auto" w:fill="auto"/>
          </w:tcPr>
          <w:p w14:paraId="4F5DBD2C" w14:textId="77777777" w:rsidR="00F969D0" w:rsidRPr="00B236C2" w:rsidRDefault="00F969D0" w:rsidP="00AD6163">
            <w:pPr>
              <w:widowControl w:val="0"/>
              <w:suppressAutoHyphens/>
              <w:rPr>
                <w:b/>
                <w:szCs w:val="22"/>
                <w:lang w:val="en-US"/>
              </w:rPr>
            </w:pPr>
            <w:r w:rsidRPr="00B236C2">
              <w:rPr>
                <w:b/>
                <w:szCs w:val="22"/>
                <w:lang w:val="en-US"/>
              </w:rPr>
              <w:t>CID</w:t>
            </w:r>
          </w:p>
        </w:tc>
        <w:tc>
          <w:tcPr>
            <w:tcW w:w="1342" w:type="dxa"/>
            <w:shd w:val="clear" w:color="auto" w:fill="auto"/>
          </w:tcPr>
          <w:p w14:paraId="5A2F0E02" w14:textId="77777777" w:rsidR="00F969D0" w:rsidRPr="00B236C2" w:rsidRDefault="00F969D0" w:rsidP="00AD6163">
            <w:pPr>
              <w:widowControl w:val="0"/>
              <w:suppressAutoHyphens/>
              <w:rPr>
                <w:b/>
                <w:szCs w:val="22"/>
                <w:lang w:val="en-US"/>
              </w:rPr>
            </w:pPr>
            <w:r w:rsidRPr="00B236C2">
              <w:rPr>
                <w:b/>
                <w:szCs w:val="22"/>
                <w:lang w:val="en-US"/>
              </w:rPr>
              <w:t>Clause</w:t>
            </w:r>
          </w:p>
        </w:tc>
        <w:tc>
          <w:tcPr>
            <w:tcW w:w="810" w:type="dxa"/>
            <w:shd w:val="clear" w:color="auto" w:fill="auto"/>
          </w:tcPr>
          <w:p w14:paraId="5A395870" w14:textId="77777777" w:rsidR="00F969D0" w:rsidRPr="00B236C2" w:rsidRDefault="00F969D0" w:rsidP="00AD6163">
            <w:pPr>
              <w:widowControl w:val="0"/>
              <w:suppressAutoHyphens/>
              <w:rPr>
                <w:b/>
                <w:szCs w:val="22"/>
                <w:lang w:val="en-US"/>
              </w:rPr>
            </w:pPr>
            <w:r w:rsidRPr="00B236C2">
              <w:rPr>
                <w:b/>
                <w:szCs w:val="22"/>
                <w:lang w:val="en-US"/>
              </w:rPr>
              <w:t>Page</w:t>
            </w:r>
          </w:p>
        </w:tc>
        <w:tc>
          <w:tcPr>
            <w:tcW w:w="2767" w:type="dxa"/>
            <w:shd w:val="clear" w:color="auto" w:fill="auto"/>
          </w:tcPr>
          <w:p w14:paraId="6502A83D" w14:textId="77777777" w:rsidR="00F969D0" w:rsidRPr="00B236C2" w:rsidRDefault="00F969D0" w:rsidP="00AD6163">
            <w:pPr>
              <w:widowControl w:val="0"/>
              <w:suppressAutoHyphens/>
              <w:rPr>
                <w:b/>
                <w:szCs w:val="22"/>
                <w:lang w:val="en-US"/>
              </w:rPr>
            </w:pPr>
            <w:r w:rsidRPr="00B236C2">
              <w:rPr>
                <w:b/>
                <w:szCs w:val="22"/>
                <w:lang w:val="en-US"/>
              </w:rPr>
              <w:t>Comment</w:t>
            </w:r>
          </w:p>
        </w:tc>
        <w:tc>
          <w:tcPr>
            <w:tcW w:w="3775" w:type="dxa"/>
            <w:shd w:val="clear" w:color="auto" w:fill="auto"/>
          </w:tcPr>
          <w:p w14:paraId="31FD070D" w14:textId="77777777" w:rsidR="00F969D0" w:rsidRPr="00B236C2" w:rsidRDefault="00F969D0" w:rsidP="00AD6163">
            <w:pPr>
              <w:widowControl w:val="0"/>
              <w:suppressAutoHyphens/>
              <w:rPr>
                <w:b/>
                <w:szCs w:val="22"/>
                <w:lang w:val="en-US"/>
              </w:rPr>
            </w:pPr>
            <w:r w:rsidRPr="00B236C2">
              <w:rPr>
                <w:b/>
                <w:szCs w:val="22"/>
                <w:lang w:val="en-US"/>
              </w:rPr>
              <w:t>Proposed change</w:t>
            </w:r>
          </w:p>
        </w:tc>
      </w:tr>
      <w:tr w:rsidR="005355C6" w:rsidRPr="00B236C2" w14:paraId="7C6EFE37" w14:textId="77777777" w:rsidTr="00AD6163">
        <w:tc>
          <w:tcPr>
            <w:tcW w:w="656" w:type="dxa"/>
            <w:shd w:val="clear" w:color="auto" w:fill="auto"/>
          </w:tcPr>
          <w:p w14:paraId="7ED89138" w14:textId="40E142DB" w:rsidR="005355C6" w:rsidRPr="005355C6" w:rsidRDefault="005355C6" w:rsidP="005355C6">
            <w:pPr>
              <w:widowControl w:val="0"/>
              <w:suppressAutoHyphens/>
              <w:rPr>
                <w:rFonts w:ascii="Arial" w:hAnsi="Arial" w:cs="Arial"/>
                <w:sz w:val="20"/>
              </w:rPr>
            </w:pPr>
            <w:r w:rsidRPr="005355C6">
              <w:rPr>
                <w:rFonts w:ascii="Arial" w:hAnsi="Arial" w:cs="Arial"/>
                <w:sz w:val="20"/>
              </w:rPr>
              <w:t>98</w:t>
            </w:r>
          </w:p>
        </w:tc>
        <w:tc>
          <w:tcPr>
            <w:tcW w:w="1342" w:type="dxa"/>
            <w:shd w:val="clear" w:color="auto" w:fill="auto"/>
          </w:tcPr>
          <w:p w14:paraId="5548136B" w14:textId="16A90008" w:rsidR="005355C6" w:rsidRPr="005355C6" w:rsidRDefault="005355C6" w:rsidP="005355C6">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491DD64C" w14:textId="3E969B8B" w:rsidR="005355C6" w:rsidRPr="00B236C2" w:rsidRDefault="005355C6" w:rsidP="005355C6">
            <w:pPr>
              <w:widowControl w:val="0"/>
              <w:suppressAutoHyphens/>
              <w:rPr>
                <w:b/>
                <w:szCs w:val="22"/>
                <w:lang w:val="en-US"/>
              </w:rPr>
            </w:pPr>
            <w:r>
              <w:rPr>
                <w:rFonts w:ascii="Arial" w:hAnsi="Arial" w:cs="Arial"/>
                <w:sz w:val="20"/>
              </w:rPr>
              <w:t>69.38</w:t>
            </w:r>
          </w:p>
        </w:tc>
        <w:tc>
          <w:tcPr>
            <w:tcW w:w="2767" w:type="dxa"/>
            <w:shd w:val="clear" w:color="auto" w:fill="auto"/>
          </w:tcPr>
          <w:p w14:paraId="18B30711" w14:textId="0730E38E" w:rsidR="005355C6" w:rsidRPr="00B236C2" w:rsidRDefault="005355C6" w:rsidP="005355C6">
            <w:pPr>
              <w:widowControl w:val="0"/>
              <w:suppressAutoHyphens/>
              <w:rPr>
                <w:b/>
                <w:szCs w:val="22"/>
                <w:lang w:val="en-US"/>
              </w:rPr>
            </w:pPr>
            <w:r>
              <w:rPr>
                <w:rFonts w:ascii="Arial" w:hAnsi="Arial" w:cs="Arial"/>
                <w:sz w:val="20"/>
              </w:rPr>
              <w:t xml:space="preserve">Intent of the note is not clear.  </w:t>
            </w:r>
            <w:proofErr w:type="gramStart"/>
            <w:r>
              <w:rPr>
                <w:rFonts w:ascii="Arial" w:hAnsi="Arial" w:cs="Arial"/>
                <w:sz w:val="20"/>
              </w:rPr>
              <w:t>It is clear that polling/requests</w:t>
            </w:r>
            <w:proofErr w:type="gramEnd"/>
            <w:r>
              <w:rPr>
                <w:rFonts w:ascii="Arial" w:hAnsi="Arial" w:cs="Arial"/>
                <w:sz w:val="20"/>
              </w:rPr>
              <w:t xml:space="preserve"> should take the </w:t>
            </w:r>
            <w:proofErr w:type="spellStart"/>
            <w:r>
              <w:rPr>
                <w:rFonts w:ascii="Arial" w:hAnsi="Arial" w:cs="Arial"/>
                <w:sz w:val="20"/>
              </w:rPr>
              <w:t>erceiver's</w:t>
            </w:r>
            <w:proofErr w:type="spellEnd"/>
            <w:r>
              <w:rPr>
                <w:rFonts w:ascii="Arial" w:hAnsi="Arial" w:cs="Arial"/>
                <w:sz w:val="20"/>
              </w:rPr>
              <w:t xml:space="preserve"> capability into account.  Details will need to be defined when defining the frame.</w:t>
            </w:r>
          </w:p>
        </w:tc>
        <w:tc>
          <w:tcPr>
            <w:tcW w:w="3775" w:type="dxa"/>
            <w:shd w:val="clear" w:color="auto" w:fill="auto"/>
          </w:tcPr>
          <w:p w14:paraId="2722C868" w14:textId="7996811E" w:rsidR="005355C6" w:rsidRPr="00B236C2" w:rsidRDefault="005355C6" w:rsidP="005355C6">
            <w:pPr>
              <w:widowControl w:val="0"/>
              <w:suppressAutoHyphens/>
              <w:rPr>
                <w:b/>
                <w:szCs w:val="22"/>
                <w:lang w:val="en-US"/>
              </w:rPr>
            </w:pPr>
            <w:r>
              <w:rPr>
                <w:rFonts w:ascii="Arial" w:hAnsi="Arial" w:cs="Arial"/>
                <w:sz w:val="20"/>
              </w:rPr>
              <w:t>Delete the Editor's Note.</w:t>
            </w:r>
          </w:p>
        </w:tc>
      </w:tr>
      <w:tr w:rsidR="0000316E" w:rsidRPr="00831251" w14:paraId="23672068" w14:textId="77777777" w:rsidTr="00AD6163">
        <w:tc>
          <w:tcPr>
            <w:tcW w:w="656" w:type="dxa"/>
            <w:shd w:val="clear" w:color="auto" w:fill="auto"/>
          </w:tcPr>
          <w:p w14:paraId="64C60D57" w14:textId="40B4777F" w:rsidR="0000316E" w:rsidRPr="00831251" w:rsidRDefault="0000316E" w:rsidP="0000316E">
            <w:pPr>
              <w:widowControl w:val="0"/>
              <w:suppressAutoHyphens/>
              <w:rPr>
                <w:szCs w:val="22"/>
                <w:lang w:val="en-US"/>
              </w:rPr>
            </w:pPr>
            <w:r>
              <w:rPr>
                <w:szCs w:val="22"/>
                <w:lang w:val="en-US"/>
              </w:rPr>
              <w:t>548</w:t>
            </w:r>
          </w:p>
        </w:tc>
        <w:tc>
          <w:tcPr>
            <w:tcW w:w="1342" w:type="dxa"/>
            <w:shd w:val="clear" w:color="auto" w:fill="auto"/>
          </w:tcPr>
          <w:p w14:paraId="1CFABC71" w14:textId="35FFBFF9" w:rsidR="0000316E" w:rsidRPr="00831251" w:rsidRDefault="0000316E" w:rsidP="0000316E">
            <w:pPr>
              <w:widowControl w:val="0"/>
              <w:suppressAutoHyphens/>
              <w:rPr>
                <w:szCs w:val="22"/>
                <w:lang w:val="en-US"/>
              </w:rPr>
            </w:pPr>
            <w:r>
              <w:rPr>
                <w:rFonts w:ascii="Arial" w:hAnsi="Arial" w:cs="Arial"/>
                <w:sz w:val="20"/>
              </w:rPr>
              <w:t>11.21.18.6.1</w:t>
            </w:r>
          </w:p>
        </w:tc>
        <w:tc>
          <w:tcPr>
            <w:tcW w:w="810" w:type="dxa"/>
            <w:shd w:val="clear" w:color="auto" w:fill="auto"/>
          </w:tcPr>
          <w:p w14:paraId="5A1BFBDD" w14:textId="013213AB" w:rsidR="0000316E" w:rsidRPr="00831251" w:rsidRDefault="0000316E" w:rsidP="0000316E">
            <w:pPr>
              <w:widowControl w:val="0"/>
              <w:suppressAutoHyphens/>
              <w:rPr>
                <w:szCs w:val="22"/>
                <w:lang w:val="en-US"/>
              </w:rPr>
            </w:pPr>
            <w:r>
              <w:rPr>
                <w:rFonts w:ascii="Arial" w:hAnsi="Arial" w:cs="Arial"/>
                <w:sz w:val="20"/>
              </w:rPr>
              <w:t>69.38</w:t>
            </w:r>
          </w:p>
        </w:tc>
        <w:tc>
          <w:tcPr>
            <w:tcW w:w="2767" w:type="dxa"/>
            <w:shd w:val="clear" w:color="auto" w:fill="auto"/>
          </w:tcPr>
          <w:p w14:paraId="7E9A2BB1" w14:textId="0FBDE091" w:rsidR="0000316E" w:rsidRPr="00831251" w:rsidRDefault="0000316E" w:rsidP="0000316E">
            <w:pPr>
              <w:widowControl w:val="0"/>
              <w:suppressAutoHyphens/>
              <w:rPr>
                <w:szCs w:val="22"/>
                <w:lang w:val="en-US"/>
              </w:rPr>
            </w:pPr>
            <w:r>
              <w:rPr>
                <w:rFonts w:ascii="Arial" w:hAnsi="Arial" w:cs="Arial"/>
                <w:sz w:val="20"/>
              </w:rPr>
              <w:t xml:space="preserve">Through the sensing measurement setup phase, AP can know the STA's capabilities and based on </w:t>
            </w:r>
            <w:r>
              <w:rPr>
                <w:rFonts w:ascii="Arial" w:hAnsi="Arial" w:cs="Arial"/>
                <w:sz w:val="20"/>
              </w:rPr>
              <w:lastRenderedPageBreak/>
              <w:t xml:space="preserve">the result of this phase, AP can decide on the STAs that can participate in the sensing measurement. </w:t>
            </w:r>
            <w:proofErr w:type="spellStart"/>
            <w:r>
              <w:rPr>
                <w:rFonts w:ascii="Arial" w:hAnsi="Arial" w:cs="Arial"/>
                <w:sz w:val="20"/>
              </w:rPr>
              <w:t>So.</w:t>
            </w:r>
            <w:proofErr w:type="spellEnd"/>
            <w:r>
              <w:rPr>
                <w:rFonts w:ascii="Arial" w:hAnsi="Arial" w:cs="Arial"/>
                <w:sz w:val="20"/>
              </w:rPr>
              <w:t xml:space="preserve"> Editor's note seems does not need.</w:t>
            </w:r>
          </w:p>
        </w:tc>
        <w:tc>
          <w:tcPr>
            <w:tcW w:w="3775" w:type="dxa"/>
            <w:shd w:val="clear" w:color="auto" w:fill="auto"/>
          </w:tcPr>
          <w:p w14:paraId="7B8B2068" w14:textId="025CD75F" w:rsidR="0000316E" w:rsidRPr="00831251" w:rsidRDefault="0000316E" w:rsidP="0000316E">
            <w:pPr>
              <w:widowControl w:val="0"/>
              <w:suppressAutoHyphens/>
              <w:rPr>
                <w:szCs w:val="22"/>
                <w:lang w:val="en-US"/>
              </w:rPr>
            </w:pPr>
            <w:r>
              <w:rPr>
                <w:rFonts w:ascii="Arial" w:hAnsi="Arial" w:cs="Arial"/>
                <w:sz w:val="20"/>
              </w:rPr>
              <w:lastRenderedPageBreak/>
              <w:t>Delete the Editor's note</w:t>
            </w:r>
          </w:p>
        </w:tc>
      </w:tr>
    </w:tbl>
    <w:p w14:paraId="699C4218" w14:textId="77777777" w:rsidR="005355C6" w:rsidRDefault="005355C6" w:rsidP="005355C6"/>
    <w:p w14:paraId="2AA08FDA" w14:textId="2FA01381" w:rsidR="005355C6" w:rsidRPr="00CF09FE" w:rsidRDefault="005355C6" w:rsidP="005355C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6CBB5EB5" w14:textId="77777777" w:rsidR="005355C6" w:rsidRPr="00532E0B" w:rsidRDefault="005355C6" w:rsidP="005355C6">
      <w:pPr>
        <w:rPr>
          <w:bCs/>
          <w:szCs w:val="22"/>
          <w:lang w:val="en-US"/>
        </w:rPr>
      </w:pPr>
    </w:p>
    <w:p w14:paraId="6B2D2EA7" w14:textId="1C8326E9" w:rsidR="005355C6" w:rsidRDefault="005355C6" w:rsidP="005355C6">
      <w:pPr>
        <w:rPr>
          <w:szCs w:val="22"/>
          <w:lang w:val="en-US"/>
        </w:rPr>
      </w:pPr>
      <w:r w:rsidRPr="00CF09FE">
        <w:rPr>
          <w:b/>
          <w:szCs w:val="22"/>
          <w:lang w:val="en-US"/>
        </w:rPr>
        <w:t>Discussion</w:t>
      </w:r>
      <w:r w:rsidRPr="00CF09FE">
        <w:rPr>
          <w:szCs w:val="22"/>
          <w:lang w:val="en-US"/>
        </w:rPr>
        <w:t xml:space="preserve">: </w:t>
      </w:r>
      <w:r w:rsidR="00050DAA">
        <w:rPr>
          <w:szCs w:val="22"/>
          <w:lang w:val="en-US"/>
        </w:rPr>
        <w:t>In DCN1577r3 that is ready for motion, we already added the corresponding “Poll Required”</w:t>
      </w:r>
      <w:r w:rsidR="00AD1A80">
        <w:rPr>
          <w:szCs w:val="22"/>
          <w:lang w:val="en-US"/>
        </w:rPr>
        <w:t xml:space="preserve"> capability field in the Sensing </w:t>
      </w:r>
      <w:r w:rsidR="00231C5B">
        <w:rPr>
          <w:szCs w:val="22"/>
          <w:lang w:val="en-US"/>
        </w:rPr>
        <w:t xml:space="preserve">element, and the “Poll Assigned” </w:t>
      </w:r>
      <w:r w:rsidR="00681D8C">
        <w:rPr>
          <w:szCs w:val="22"/>
          <w:lang w:val="en-US"/>
        </w:rPr>
        <w:t xml:space="preserve">subfield in the TB Specific </w:t>
      </w:r>
      <w:proofErr w:type="spellStart"/>
      <w:r w:rsidR="00681D8C">
        <w:rPr>
          <w:szCs w:val="22"/>
          <w:lang w:val="en-US"/>
        </w:rPr>
        <w:t>subelement</w:t>
      </w:r>
      <w:proofErr w:type="spellEnd"/>
      <w:r w:rsidR="00681D8C">
        <w:rPr>
          <w:szCs w:val="22"/>
          <w:lang w:val="en-US"/>
        </w:rPr>
        <w:t xml:space="preserve"> in the Sensing Measurement Parameters element. So, </w:t>
      </w:r>
      <w:proofErr w:type="gramStart"/>
      <w:r w:rsidR="00681D8C">
        <w:rPr>
          <w:szCs w:val="22"/>
          <w:lang w:val="en-US"/>
        </w:rPr>
        <w:t>it is clear that the</w:t>
      </w:r>
      <w:proofErr w:type="gramEnd"/>
      <w:r w:rsidR="00681D8C">
        <w:rPr>
          <w:szCs w:val="22"/>
          <w:lang w:val="en-US"/>
        </w:rPr>
        <w:t xml:space="preserve"> AP will determine whether to assign a STA to the polling phase</w:t>
      </w:r>
      <w:r w:rsidR="009B3634">
        <w:rPr>
          <w:szCs w:val="22"/>
          <w:lang w:val="en-US"/>
        </w:rPr>
        <w:t xml:space="preserve"> based on the </w:t>
      </w:r>
      <w:proofErr w:type="spellStart"/>
      <w:r w:rsidR="009B3634">
        <w:rPr>
          <w:szCs w:val="22"/>
          <w:lang w:val="en-US"/>
        </w:rPr>
        <w:t>capabilieis</w:t>
      </w:r>
      <w:proofErr w:type="spellEnd"/>
      <w:r w:rsidR="009B3634">
        <w:rPr>
          <w:szCs w:val="22"/>
          <w:lang w:val="en-US"/>
        </w:rPr>
        <w:t xml:space="preserve"> of the STA. Therefore, we can delete the Editor’s note.</w:t>
      </w:r>
    </w:p>
    <w:p w14:paraId="3E369778" w14:textId="0C2E3F3F" w:rsidR="00F969D0" w:rsidRDefault="00F969D0">
      <w:pPr>
        <w:rPr>
          <w:b/>
          <w:sz w:val="28"/>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515A4" w:rsidRPr="00B236C2" w14:paraId="7D85FD8E" w14:textId="77777777" w:rsidTr="00AD6163">
        <w:tc>
          <w:tcPr>
            <w:tcW w:w="656" w:type="dxa"/>
            <w:shd w:val="clear" w:color="auto" w:fill="auto"/>
          </w:tcPr>
          <w:p w14:paraId="1B47857A" w14:textId="77777777" w:rsidR="00D515A4" w:rsidRPr="00B236C2" w:rsidRDefault="00D515A4" w:rsidP="00AD6163">
            <w:pPr>
              <w:widowControl w:val="0"/>
              <w:suppressAutoHyphens/>
              <w:rPr>
                <w:b/>
                <w:szCs w:val="22"/>
                <w:lang w:val="en-US"/>
              </w:rPr>
            </w:pPr>
            <w:r w:rsidRPr="00B236C2">
              <w:rPr>
                <w:b/>
                <w:szCs w:val="22"/>
                <w:lang w:val="en-US"/>
              </w:rPr>
              <w:t>CID</w:t>
            </w:r>
          </w:p>
        </w:tc>
        <w:tc>
          <w:tcPr>
            <w:tcW w:w="1342" w:type="dxa"/>
            <w:shd w:val="clear" w:color="auto" w:fill="auto"/>
          </w:tcPr>
          <w:p w14:paraId="21D85A0F" w14:textId="77777777" w:rsidR="00D515A4" w:rsidRPr="00B236C2" w:rsidRDefault="00D515A4" w:rsidP="00AD6163">
            <w:pPr>
              <w:widowControl w:val="0"/>
              <w:suppressAutoHyphens/>
              <w:rPr>
                <w:b/>
                <w:szCs w:val="22"/>
                <w:lang w:val="en-US"/>
              </w:rPr>
            </w:pPr>
            <w:r w:rsidRPr="00B236C2">
              <w:rPr>
                <w:b/>
                <w:szCs w:val="22"/>
                <w:lang w:val="en-US"/>
              </w:rPr>
              <w:t>Clause</w:t>
            </w:r>
          </w:p>
        </w:tc>
        <w:tc>
          <w:tcPr>
            <w:tcW w:w="810" w:type="dxa"/>
            <w:shd w:val="clear" w:color="auto" w:fill="auto"/>
          </w:tcPr>
          <w:p w14:paraId="0403C8E5" w14:textId="77777777" w:rsidR="00D515A4" w:rsidRPr="00B236C2" w:rsidRDefault="00D515A4" w:rsidP="00AD6163">
            <w:pPr>
              <w:widowControl w:val="0"/>
              <w:suppressAutoHyphens/>
              <w:rPr>
                <w:b/>
                <w:szCs w:val="22"/>
                <w:lang w:val="en-US"/>
              </w:rPr>
            </w:pPr>
            <w:r w:rsidRPr="00B236C2">
              <w:rPr>
                <w:b/>
                <w:szCs w:val="22"/>
                <w:lang w:val="en-US"/>
              </w:rPr>
              <w:t>Page</w:t>
            </w:r>
          </w:p>
        </w:tc>
        <w:tc>
          <w:tcPr>
            <w:tcW w:w="2767" w:type="dxa"/>
            <w:shd w:val="clear" w:color="auto" w:fill="auto"/>
          </w:tcPr>
          <w:p w14:paraId="203EABB2" w14:textId="77777777" w:rsidR="00D515A4" w:rsidRPr="00B236C2" w:rsidRDefault="00D515A4" w:rsidP="00AD6163">
            <w:pPr>
              <w:widowControl w:val="0"/>
              <w:suppressAutoHyphens/>
              <w:rPr>
                <w:b/>
                <w:szCs w:val="22"/>
                <w:lang w:val="en-US"/>
              </w:rPr>
            </w:pPr>
            <w:r w:rsidRPr="00B236C2">
              <w:rPr>
                <w:b/>
                <w:szCs w:val="22"/>
                <w:lang w:val="en-US"/>
              </w:rPr>
              <w:t>Comment</w:t>
            </w:r>
          </w:p>
        </w:tc>
        <w:tc>
          <w:tcPr>
            <w:tcW w:w="3775" w:type="dxa"/>
            <w:shd w:val="clear" w:color="auto" w:fill="auto"/>
          </w:tcPr>
          <w:p w14:paraId="1F4D8F7A" w14:textId="77777777" w:rsidR="00D515A4" w:rsidRPr="00B236C2" w:rsidRDefault="00D515A4" w:rsidP="00AD6163">
            <w:pPr>
              <w:widowControl w:val="0"/>
              <w:suppressAutoHyphens/>
              <w:rPr>
                <w:b/>
                <w:szCs w:val="22"/>
                <w:lang w:val="en-US"/>
              </w:rPr>
            </w:pPr>
            <w:r w:rsidRPr="00B236C2">
              <w:rPr>
                <w:b/>
                <w:szCs w:val="22"/>
                <w:lang w:val="en-US"/>
              </w:rPr>
              <w:t>Proposed change</w:t>
            </w:r>
          </w:p>
        </w:tc>
      </w:tr>
      <w:tr w:rsidR="00A91BE7" w:rsidRPr="00B236C2" w14:paraId="1D81CFF8" w14:textId="77777777" w:rsidTr="00AD6163">
        <w:tc>
          <w:tcPr>
            <w:tcW w:w="656" w:type="dxa"/>
            <w:shd w:val="clear" w:color="auto" w:fill="auto"/>
          </w:tcPr>
          <w:p w14:paraId="185D204F" w14:textId="5A3E4484" w:rsidR="00A91BE7" w:rsidRPr="005355C6" w:rsidRDefault="00A91BE7" w:rsidP="00A91BE7">
            <w:pPr>
              <w:widowControl w:val="0"/>
              <w:suppressAutoHyphens/>
              <w:rPr>
                <w:rFonts w:ascii="Arial" w:hAnsi="Arial" w:cs="Arial"/>
                <w:sz w:val="20"/>
              </w:rPr>
            </w:pPr>
            <w:r>
              <w:rPr>
                <w:rFonts w:ascii="Arial" w:hAnsi="Arial" w:cs="Arial"/>
                <w:sz w:val="20"/>
              </w:rPr>
              <w:t>624</w:t>
            </w:r>
          </w:p>
        </w:tc>
        <w:tc>
          <w:tcPr>
            <w:tcW w:w="1342" w:type="dxa"/>
            <w:shd w:val="clear" w:color="auto" w:fill="auto"/>
          </w:tcPr>
          <w:p w14:paraId="47AD2395" w14:textId="06A1B06C" w:rsidR="00A91BE7" w:rsidRPr="005355C6" w:rsidRDefault="00A91BE7" w:rsidP="00A91BE7">
            <w:pPr>
              <w:widowControl w:val="0"/>
              <w:suppressAutoHyphens/>
              <w:rPr>
                <w:rFonts w:ascii="Arial" w:hAnsi="Arial" w:cs="Arial"/>
                <w:sz w:val="20"/>
              </w:rPr>
            </w:pPr>
            <w:r>
              <w:rPr>
                <w:rFonts w:ascii="Arial" w:hAnsi="Arial" w:cs="Arial"/>
                <w:sz w:val="20"/>
              </w:rPr>
              <w:t>11.21.18.6.3</w:t>
            </w:r>
          </w:p>
        </w:tc>
        <w:tc>
          <w:tcPr>
            <w:tcW w:w="810" w:type="dxa"/>
            <w:shd w:val="clear" w:color="auto" w:fill="auto"/>
          </w:tcPr>
          <w:p w14:paraId="583ADD66" w14:textId="7BBEC63F" w:rsidR="00A91BE7" w:rsidRPr="00B236C2" w:rsidRDefault="00A91BE7" w:rsidP="00A91BE7">
            <w:pPr>
              <w:widowControl w:val="0"/>
              <w:suppressAutoHyphens/>
              <w:rPr>
                <w:b/>
                <w:szCs w:val="22"/>
                <w:lang w:val="en-US"/>
              </w:rPr>
            </w:pPr>
            <w:r>
              <w:rPr>
                <w:rFonts w:ascii="Arial" w:hAnsi="Arial" w:cs="Arial"/>
                <w:sz w:val="20"/>
              </w:rPr>
              <w:t>70.18</w:t>
            </w:r>
          </w:p>
        </w:tc>
        <w:tc>
          <w:tcPr>
            <w:tcW w:w="2767" w:type="dxa"/>
            <w:shd w:val="clear" w:color="auto" w:fill="auto"/>
          </w:tcPr>
          <w:p w14:paraId="654C7CD3" w14:textId="34D43F71" w:rsidR="00A91BE7" w:rsidRPr="00B236C2" w:rsidRDefault="00A91BE7" w:rsidP="00A91BE7">
            <w:pPr>
              <w:widowControl w:val="0"/>
              <w:suppressAutoHyphens/>
              <w:rPr>
                <w:b/>
                <w:szCs w:val="22"/>
                <w:lang w:val="en-US"/>
              </w:rPr>
            </w:pPr>
            <w:r>
              <w:rPr>
                <w:rFonts w:ascii="Arial" w:hAnsi="Arial" w:cs="Arial"/>
                <w:sz w:val="20"/>
              </w:rPr>
              <w:t xml:space="preserve">If there are hundreds of responders, there is no </w:t>
            </w:r>
            <w:proofErr w:type="spellStart"/>
            <w:r>
              <w:rPr>
                <w:rFonts w:ascii="Arial" w:hAnsi="Arial" w:cs="Arial"/>
                <w:sz w:val="20"/>
              </w:rPr>
              <w:t>gurantee</w:t>
            </w:r>
            <w:proofErr w:type="spellEnd"/>
            <w:r>
              <w:rPr>
                <w:rFonts w:ascii="Arial" w:hAnsi="Arial" w:cs="Arial"/>
                <w:sz w:val="20"/>
              </w:rPr>
              <w:t xml:space="preserve"> that the TF sounding could be completed in one TXOP.</w:t>
            </w:r>
          </w:p>
        </w:tc>
        <w:tc>
          <w:tcPr>
            <w:tcW w:w="3775" w:type="dxa"/>
            <w:shd w:val="clear" w:color="auto" w:fill="auto"/>
          </w:tcPr>
          <w:p w14:paraId="425DA4A3" w14:textId="0F8593BE" w:rsidR="00A91BE7" w:rsidRPr="00B236C2" w:rsidRDefault="00A91BE7" w:rsidP="00A91BE7">
            <w:pPr>
              <w:widowControl w:val="0"/>
              <w:suppressAutoHyphens/>
              <w:rPr>
                <w:b/>
                <w:szCs w:val="22"/>
                <w:lang w:val="en-US"/>
              </w:rPr>
            </w:pPr>
            <w:r>
              <w:rPr>
                <w:rFonts w:ascii="Arial" w:hAnsi="Arial" w:cs="Arial"/>
                <w:sz w:val="20"/>
              </w:rPr>
              <w:t xml:space="preserve">Put a limitation to the number of </w:t>
            </w:r>
            <w:proofErr w:type="gramStart"/>
            <w:r>
              <w:rPr>
                <w:rFonts w:ascii="Arial" w:hAnsi="Arial" w:cs="Arial"/>
                <w:sz w:val="20"/>
              </w:rPr>
              <w:t>responders, and</w:t>
            </w:r>
            <w:proofErr w:type="gramEnd"/>
            <w:r>
              <w:rPr>
                <w:rFonts w:ascii="Arial" w:hAnsi="Arial" w:cs="Arial"/>
                <w:sz w:val="20"/>
              </w:rPr>
              <w:t xml:space="preserve"> allow the AP initiate multiple MSs for one application.</w:t>
            </w:r>
          </w:p>
        </w:tc>
      </w:tr>
    </w:tbl>
    <w:p w14:paraId="690D4D37" w14:textId="77777777" w:rsidR="00A91BE7" w:rsidRDefault="00A91BE7" w:rsidP="00A91BE7">
      <w:pPr>
        <w:rPr>
          <w:b/>
          <w:szCs w:val="22"/>
          <w:lang w:val="en-US"/>
        </w:rPr>
      </w:pPr>
    </w:p>
    <w:p w14:paraId="7E949124" w14:textId="4375BC57" w:rsidR="00A91BE7" w:rsidRDefault="00A91BE7" w:rsidP="00A91BE7">
      <w:pPr>
        <w:rPr>
          <w:szCs w:val="22"/>
          <w:lang w:val="en-US"/>
        </w:rPr>
      </w:pPr>
      <w:r w:rsidRPr="00CF09FE">
        <w:rPr>
          <w:b/>
          <w:szCs w:val="22"/>
          <w:lang w:val="en-US"/>
        </w:rPr>
        <w:t>Proposed resolution</w:t>
      </w:r>
      <w:r w:rsidRPr="00CF09FE">
        <w:rPr>
          <w:szCs w:val="22"/>
          <w:lang w:val="en-US"/>
        </w:rPr>
        <w:t xml:space="preserve">: </w:t>
      </w:r>
      <w:r>
        <w:rPr>
          <w:szCs w:val="22"/>
          <w:lang w:val="en-US"/>
        </w:rPr>
        <w:t>Revised</w:t>
      </w:r>
      <w:r>
        <w:rPr>
          <w:szCs w:val="22"/>
          <w:lang w:val="en-US"/>
        </w:rPr>
        <w:t>.</w:t>
      </w:r>
      <w:r>
        <w:rPr>
          <w:szCs w:val="22"/>
          <w:lang w:val="en-US"/>
        </w:rPr>
        <w:t xml:space="preserve"> Already resolved in D0.4.</w:t>
      </w:r>
    </w:p>
    <w:p w14:paraId="36544690" w14:textId="5A23DED9" w:rsidR="00A91BE7" w:rsidRDefault="00A91BE7" w:rsidP="00A91BE7">
      <w:pPr>
        <w:rPr>
          <w:szCs w:val="22"/>
          <w:lang w:val="en-US"/>
        </w:rPr>
      </w:pPr>
    </w:p>
    <w:p w14:paraId="7F2DC4DD" w14:textId="77777777" w:rsidR="00484C0D" w:rsidRDefault="00A91BE7" w:rsidP="002202F5">
      <w:pPr>
        <w:rPr>
          <w:szCs w:val="22"/>
          <w:lang w:val="en-US"/>
        </w:rPr>
      </w:pPr>
      <w:r w:rsidRPr="00CF09FE">
        <w:rPr>
          <w:b/>
          <w:szCs w:val="22"/>
          <w:lang w:val="en-US"/>
        </w:rPr>
        <w:t>Discussion</w:t>
      </w:r>
      <w:r w:rsidRPr="00CF09FE">
        <w:rPr>
          <w:szCs w:val="22"/>
          <w:lang w:val="en-US"/>
        </w:rPr>
        <w:t>:</w:t>
      </w:r>
      <w:r w:rsidR="005A1091">
        <w:rPr>
          <w:szCs w:val="22"/>
          <w:lang w:val="en-US"/>
        </w:rPr>
        <w:t xml:space="preserve"> </w:t>
      </w:r>
    </w:p>
    <w:p w14:paraId="653CFF45" w14:textId="42FA5628" w:rsidR="005355C6" w:rsidRDefault="005A1091" w:rsidP="002202F5">
      <w:pPr>
        <w:rPr>
          <w:szCs w:val="22"/>
          <w:lang w:val="en-US"/>
        </w:rPr>
      </w:pPr>
      <w:r>
        <w:rPr>
          <w:szCs w:val="22"/>
          <w:lang w:val="en-US"/>
        </w:rPr>
        <w:t xml:space="preserve">We already agreed in D0.4 that each sensing availability window may consist of one or more TXOPs, and each TXOP may consist of one or more TB sensing measurement instances. Moreover, in the TF sounding phase, </w:t>
      </w:r>
      <w:r w:rsidR="002202F5" w:rsidRPr="002202F5">
        <w:rPr>
          <w:szCs w:val="22"/>
          <w:lang w:val="en-US"/>
        </w:rPr>
        <w:t>If the number of available sensing transmitters exceeds the available uplink resources, the AP may perform</w:t>
      </w:r>
      <w:r w:rsidR="002202F5">
        <w:rPr>
          <w:szCs w:val="22"/>
          <w:lang w:val="en-US"/>
        </w:rPr>
        <w:t xml:space="preserve"> </w:t>
      </w:r>
      <w:r w:rsidR="002202F5" w:rsidRPr="002202F5">
        <w:rPr>
          <w:szCs w:val="22"/>
          <w:lang w:val="en-US"/>
        </w:rPr>
        <w:t>the frame exchange of transmitting a Sensing Sounding Trigger frame and soliciting the SR2SI NDP transmission(s) multiple times during the TF sounding phase in a TB sensing measurement instance</w:t>
      </w:r>
      <w:r w:rsidR="002202F5">
        <w:rPr>
          <w:szCs w:val="22"/>
          <w:lang w:val="en-US"/>
        </w:rPr>
        <w:t xml:space="preserve">. All these should be enough to </w:t>
      </w:r>
      <w:r w:rsidR="00E658BD">
        <w:rPr>
          <w:szCs w:val="22"/>
          <w:lang w:val="en-US"/>
        </w:rPr>
        <w:t>cope with the scenario where there are many sensing responders in the TF sounding phase</w:t>
      </w:r>
      <w:r w:rsidR="002202F5">
        <w:rPr>
          <w:szCs w:val="22"/>
          <w:lang w:val="en-US"/>
        </w:rPr>
        <w:t>.</w:t>
      </w:r>
      <w:r w:rsidR="00484C0D">
        <w:rPr>
          <w:szCs w:val="22"/>
          <w:lang w:val="en-US"/>
        </w:rPr>
        <w:t xml:space="preserve"> Therefore, there is no need to put a limitation to the number of responders, and there is no need to allow the AP to initiate multiple MSs for one application.</w:t>
      </w:r>
    </w:p>
    <w:p w14:paraId="7AB158D2" w14:textId="77777777" w:rsidR="00484C0D" w:rsidRPr="002202F5" w:rsidRDefault="00484C0D" w:rsidP="002202F5">
      <w:pPr>
        <w:rPr>
          <w:szCs w:val="22"/>
          <w:lang w:val="en-US"/>
        </w:rPr>
      </w:pPr>
    </w:p>
    <w:p w14:paraId="28EC8473" w14:textId="77777777" w:rsidR="00A91BE7" w:rsidRDefault="00A91BE7">
      <w:pPr>
        <w:rPr>
          <w:b/>
          <w:sz w:val="28"/>
          <w:u w:val="single"/>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1439E6CC" w:rsidR="00544870" w:rsidRDefault="00544870" w:rsidP="00544870">
      <w:r>
        <w:t xml:space="preserve">Do you support the proposed resolutions to the following CIDs and incorporate the text changes into the latest </w:t>
      </w:r>
      <w:proofErr w:type="spellStart"/>
      <w:r>
        <w:t>TGbf</w:t>
      </w:r>
      <w:proofErr w:type="spellEnd"/>
      <w:r>
        <w:t xml:space="preserve"> draft:</w:t>
      </w:r>
      <w:r w:rsidR="009B3634">
        <w:t xml:space="preserve"> </w:t>
      </w:r>
      <w:r w:rsidR="001E4D42">
        <w:t>137 151 152 281 98 548 624</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EC3BA" w14:textId="77777777" w:rsidR="00BF09FA" w:rsidRDefault="00BF09FA">
      <w:r>
        <w:separator/>
      </w:r>
    </w:p>
  </w:endnote>
  <w:endnote w:type="continuationSeparator" w:id="0">
    <w:p w14:paraId="6B11212D" w14:textId="77777777" w:rsidR="00BF09FA" w:rsidRDefault="00BF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C97C6F"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8C186" w14:textId="77777777" w:rsidR="00BF09FA" w:rsidRDefault="00BF09FA">
      <w:r>
        <w:separator/>
      </w:r>
    </w:p>
  </w:footnote>
  <w:footnote w:type="continuationSeparator" w:id="0">
    <w:p w14:paraId="576FA028" w14:textId="77777777" w:rsidR="00BF09FA" w:rsidRDefault="00BF0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4A84DBB3" w:rsidR="0029020B" w:rsidRDefault="00C97C6F">
    <w:pPr>
      <w:pStyle w:val="Header"/>
      <w:tabs>
        <w:tab w:val="clear" w:pos="6480"/>
        <w:tab w:val="center" w:pos="4680"/>
        <w:tab w:val="right" w:pos="9360"/>
      </w:tabs>
    </w:pPr>
    <w:fldSimple w:instr=" KEYWORDS  \* MERGEFORMAT ">
      <w:r w:rsidR="00283156">
        <w:t>November</w:t>
      </w:r>
      <w:r w:rsidR="00A3771D">
        <w:t xml:space="preserve"> 2022</w:t>
      </w:r>
    </w:fldSimple>
    <w:r w:rsidR="0029020B">
      <w:tab/>
    </w:r>
    <w:r w:rsidR="0029020B">
      <w:tab/>
    </w:r>
    <w:fldSimple w:instr=" TITLE  \* MERGEFORMAT ">
      <w:r w:rsidR="005610A7">
        <w:t>doc.: IEEE 802.11-</w:t>
      </w:r>
      <w:r w:rsidR="00A3771D">
        <w:t>22</w:t>
      </w:r>
      <w:r w:rsidR="005610A7">
        <w:t>/</w:t>
      </w:r>
      <w:r w:rsidR="00283156">
        <w:t>1888r0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4"/>
  </w:num>
  <w:num w:numId="4">
    <w:abstractNumId w:val="10"/>
  </w:num>
  <w:num w:numId="5">
    <w:abstractNumId w:val="7"/>
  </w:num>
  <w:num w:numId="6">
    <w:abstractNumId w:val="16"/>
  </w:num>
  <w:num w:numId="7">
    <w:abstractNumId w:val="12"/>
  </w:num>
  <w:num w:numId="8">
    <w:abstractNumId w:val="20"/>
  </w:num>
  <w:num w:numId="9">
    <w:abstractNumId w:val="6"/>
  </w:num>
  <w:num w:numId="10">
    <w:abstractNumId w:val="8"/>
  </w:num>
  <w:num w:numId="11">
    <w:abstractNumId w:val="13"/>
  </w:num>
  <w:num w:numId="12">
    <w:abstractNumId w:val="11"/>
  </w:num>
  <w:num w:numId="13">
    <w:abstractNumId w:val="14"/>
  </w:num>
  <w:num w:numId="14">
    <w:abstractNumId w:val="21"/>
  </w:num>
  <w:num w:numId="15">
    <w:abstractNumId w:val="1"/>
  </w:num>
  <w:num w:numId="16">
    <w:abstractNumId w:val="2"/>
  </w:num>
  <w:num w:numId="17">
    <w:abstractNumId w:val="19"/>
  </w:num>
  <w:num w:numId="18">
    <w:abstractNumId w:val="22"/>
  </w:num>
  <w:num w:numId="19">
    <w:abstractNumId w:val="5"/>
  </w:num>
  <w:num w:numId="20">
    <w:abstractNumId w:val="0"/>
  </w:num>
  <w:num w:numId="21">
    <w:abstractNumId w:val="18"/>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3309F"/>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31AC"/>
    <w:rsid w:val="000737BC"/>
    <w:rsid w:val="0007595D"/>
    <w:rsid w:val="000818F7"/>
    <w:rsid w:val="00081C9B"/>
    <w:rsid w:val="00085804"/>
    <w:rsid w:val="00086917"/>
    <w:rsid w:val="000873FB"/>
    <w:rsid w:val="00090ACC"/>
    <w:rsid w:val="00093DBA"/>
    <w:rsid w:val="000966F9"/>
    <w:rsid w:val="000A0403"/>
    <w:rsid w:val="000A1EBC"/>
    <w:rsid w:val="000A4E6A"/>
    <w:rsid w:val="000B2E8E"/>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F575D"/>
    <w:rsid w:val="000F76E4"/>
    <w:rsid w:val="00100CAB"/>
    <w:rsid w:val="001062B0"/>
    <w:rsid w:val="00111D7B"/>
    <w:rsid w:val="0011282D"/>
    <w:rsid w:val="001148A2"/>
    <w:rsid w:val="001154FB"/>
    <w:rsid w:val="001179D4"/>
    <w:rsid w:val="00122DFA"/>
    <w:rsid w:val="0012404D"/>
    <w:rsid w:val="001249C4"/>
    <w:rsid w:val="001267A6"/>
    <w:rsid w:val="00130175"/>
    <w:rsid w:val="001333E0"/>
    <w:rsid w:val="00133DC8"/>
    <w:rsid w:val="00133FCA"/>
    <w:rsid w:val="00134561"/>
    <w:rsid w:val="00135CCE"/>
    <w:rsid w:val="00142268"/>
    <w:rsid w:val="00142D3D"/>
    <w:rsid w:val="00144DCE"/>
    <w:rsid w:val="00152A67"/>
    <w:rsid w:val="001558A5"/>
    <w:rsid w:val="001564EF"/>
    <w:rsid w:val="00156CEC"/>
    <w:rsid w:val="00161761"/>
    <w:rsid w:val="00162144"/>
    <w:rsid w:val="001632A7"/>
    <w:rsid w:val="001639B5"/>
    <w:rsid w:val="00163F0D"/>
    <w:rsid w:val="00166E05"/>
    <w:rsid w:val="0017098B"/>
    <w:rsid w:val="00171FD8"/>
    <w:rsid w:val="00172687"/>
    <w:rsid w:val="00173174"/>
    <w:rsid w:val="0017411E"/>
    <w:rsid w:val="00176C5A"/>
    <w:rsid w:val="00176F5A"/>
    <w:rsid w:val="001774BD"/>
    <w:rsid w:val="00180041"/>
    <w:rsid w:val="00183658"/>
    <w:rsid w:val="00186A66"/>
    <w:rsid w:val="00186D08"/>
    <w:rsid w:val="00186D1F"/>
    <w:rsid w:val="00192B5C"/>
    <w:rsid w:val="0019331C"/>
    <w:rsid w:val="0019397D"/>
    <w:rsid w:val="00194C1D"/>
    <w:rsid w:val="001A01FB"/>
    <w:rsid w:val="001A2D11"/>
    <w:rsid w:val="001A3AB2"/>
    <w:rsid w:val="001A4501"/>
    <w:rsid w:val="001A497D"/>
    <w:rsid w:val="001A7671"/>
    <w:rsid w:val="001C1B00"/>
    <w:rsid w:val="001C210D"/>
    <w:rsid w:val="001C36FE"/>
    <w:rsid w:val="001D0DEB"/>
    <w:rsid w:val="001D3FC6"/>
    <w:rsid w:val="001D4B5E"/>
    <w:rsid w:val="001D4F99"/>
    <w:rsid w:val="001D723B"/>
    <w:rsid w:val="001E195B"/>
    <w:rsid w:val="001E2EFE"/>
    <w:rsid w:val="001E3D4B"/>
    <w:rsid w:val="001E3DAE"/>
    <w:rsid w:val="001E4D42"/>
    <w:rsid w:val="001E5356"/>
    <w:rsid w:val="001E7B97"/>
    <w:rsid w:val="001F031B"/>
    <w:rsid w:val="001F170A"/>
    <w:rsid w:val="001F527F"/>
    <w:rsid w:val="001F6CC3"/>
    <w:rsid w:val="001F6D19"/>
    <w:rsid w:val="001F7F3D"/>
    <w:rsid w:val="0020192A"/>
    <w:rsid w:val="002044F5"/>
    <w:rsid w:val="00210A2D"/>
    <w:rsid w:val="00216E50"/>
    <w:rsid w:val="00217035"/>
    <w:rsid w:val="00217A3A"/>
    <w:rsid w:val="002202F5"/>
    <w:rsid w:val="00220905"/>
    <w:rsid w:val="00222747"/>
    <w:rsid w:val="00224369"/>
    <w:rsid w:val="00224AB5"/>
    <w:rsid w:val="00225122"/>
    <w:rsid w:val="002275C4"/>
    <w:rsid w:val="00231C5B"/>
    <w:rsid w:val="00240090"/>
    <w:rsid w:val="00242D4C"/>
    <w:rsid w:val="00245FF0"/>
    <w:rsid w:val="00250705"/>
    <w:rsid w:val="0025147F"/>
    <w:rsid w:val="00251F11"/>
    <w:rsid w:val="00252AA4"/>
    <w:rsid w:val="00253619"/>
    <w:rsid w:val="00253B07"/>
    <w:rsid w:val="00253C72"/>
    <w:rsid w:val="002560DE"/>
    <w:rsid w:val="002617C1"/>
    <w:rsid w:val="00274BE2"/>
    <w:rsid w:val="002753DA"/>
    <w:rsid w:val="002762F8"/>
    <w:rsid w:val="002767FE"/>
    <w:rsid w:val="0027725A"/>
    <w:rsid w:val="00282AC3"/>
    <w:rsid w:val="00283156"/>
    <w:rsid w:val="00286704"/>
    <w:rsid w:val="00286D08"/>
    <w:rsid w:val="00286F14"/>
    <w:rsid w:val="0029020B"/>
    <w:rsid w:val="00296332"/>
    <w:rsid w:val="002972A7"/>
    <w:rsid w:val="0029736A"/>
    <w:rsid w:val="002A3390"/>
    <w:rsid w:val="002A3B31"/>
    <w:rsid w:val="002A5886"/>
    <w:rsid w:val="002A63CC"/>
    <w:rsid w:val="002A78EF"/>
    <w:rsid w:val="002A7C0A"/>
    <w:rsid w:val="002B03BD"/>
    <w:rsid w:val="002B3391"/>
    <w:rsid w:val="002B6C73"/>
    <w:rsid w:val="002B75A0"/>
    <w:rsid w:val="002C17CF"/>
    <w:rsid w:val="002C24AA"/>
    <w:rsid w:val="002C5865"/>
    <w:rsid w:val="002C5D32"/>
    <w:rsid w:val="002C6F70"/>
    <w:rsid w:val="002C7A34"/>
    <w:rsid w:val="002D44BE"/>
    <w:rsid w:val="002D456E"/>
    <w:rsid w:val="002D61C4"/>
    <w:rsid w:val="002D6E0A"/>
    <w:rsid w:val="002E37A3"/>
    <w:rsid w:val="002E3C24"/>
    <w:rsid w:val="002E7E13"/>
    <w:rsid w:val="002F1E54"/>
    <w:rsid w:val="002F5CCD"/>
    <w:rsid w:val="002F7576"/>
    <w:rsid w:val="00300A1B"/>
    <w:rsid w:val="00300EA3"/>
    <w:rsid w:val="0030273F"/>
    <w:rsid w:val="00303903"/>
    <w:rsid w:val="003040A4"/>
    <w:rsid w:val="00305D07"/>
    <w:rsid w:val="00311978"/>
    <w:rsid w:val="00316046"/>
    <w:rsid w:val="003212EE"/>
    <w:rsid w:val="00322AD6"/>
    <w:rsid w:val="003242A4"/>
    <w:rsid w:val="00324A4F"/>
    <w:rsid w:val="00324BB9"/>
    <w:rsid w:val="00330FBB"/>
    <w:rsid w:val="00331D2D"/>
    <w:rsid w:val="00332717"/>
    <w:rsid w:val="00340605"/>
    <w:rsid w:val="00351AE7"/>
    <w:rsid w:val="00354B2E"/>
    <w:rsid w:val="00354D5A"/>
    <w:rsid w:val="003613EF"/>
    <w:rsid w:val="0036153F"/>
    <w:rsid w:val="00362538"/>
    <w:rsid w:val="003647A8"/>
    <w:rsid w:val="003702F5"/>
    <w:rsid w:val="003734BC"/>
    <w:rsid w:val="003735CB"/>
    <w:rsid w:val="00373E03"/>
    <w:rsid w:val="00374DFF"/>
    <w:rsid w:val="00377376"/>
    <w:rsid w:val="00380A38"/>
    <w:rsid w:val="00381396"/>
    <w:rsid w:val="003818B2"/>
    <w:rsid w:val="003878DF"/>
    <w:rsid w:val="00392FEE"/>
    <w:rsid w:val="00395BA7"/>
    <w:rsid w:val="00396F41"/>
    <w:rsid w:val="0039714F"/>
    <w:rsid w:val="0039777F"/>
    <w:rsid w:val="003A30D3"/>
    <w:rsid w:val="003A31C2"/>
    <w:rsid w:val="003A6684"/>
    <w:rsid w:val="003B094F"/>
    <w:rsid w:val="003B46A3"/>
    <w:rsid w:val="003B5417"/>
    <w:rsid w:val="003B703E"/>
    <w:rsid w:val="003C007B"/>
    <w:rsid w:val="003C2156"/>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3035A"/>
    <w:rsid w:val="00433B76"/>
    <w:rsid w:val="00436D2E"/>
    <w:rsid w:val="00437B47"/>
    <w:rsid w:val="00442037"/>
    <w:rsid w:val="0044270F"/>
    <w:rsid w:val="00443E78"/>
    <w:rsid w:val="00445712"/>
    <w:rsid w:val="00450227"/>
    <w:rsid w:val="004508C8"/>
    <w:rsid w:val="00450B2A"/>
    <w:rsid w:val="00452BB0"/>
    <w:rsid w:val="004535E7"/>
    <w:rsid w:val="00460E9A"/>
    <w:rsid w:val="00461314"/>
    <w:rsid w:val="004613E3"/>
    <w:rsid w:val="0046221D"/>
    <w:rsid w:val="00462CF9"/>
    <w:rsid w:val="00465B86"/>
    <w:rsid w:val="00465F92"/>
    <w:rsid w:val="0047161D"/>
    <w:rsid w:val="0047319E"/>
    <w:rsid w:val="00473B39"/>
    <w:rsid w:val="00477B00"/>
    <w:rsid w:val="0048448E"/>
    <w:rsid w:val="00484C0D"/>
    <w:rsid w:val="00486755"/>
    <w:rsid w:val="0048700D"/>
    <w:rsid w:val="00495462"/>
    <w:rsid w:val="004965CC"/>
    <w:rsid w:val="004A2B87"/>
    <w:rsid w:val="004A45B6"/>
    <w:rsid w:val="004A5946"/>
    <w:rsid w:val="004A757D"/>
    <w:rsid w:val="004B064B"/>
    <w:rsid w:val="004B1437"/>
    <w:rsid w:val="004B2027"/>
    <w:rsid w:val="004B221E"/>
    <w:rsid w:val="004B6306"/>
    <w:rsid w:val="004B6E2C"/>
    <w:rsid w:val="004C06DA"/>
    <w:rsid w:val="004C5CA5"/>
    <w:rsid w:val="004D0431"/>
    <w:rsid w:val="004D4581"/>
    <w:rsid w:val="004D512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2179C"/>
    <w:rsid w:val="00526DCA"/>
    <w:rsid w:val="005279D7"/>
    <w:rsid w:val="005304C7"/>
    <w:rsid w:val="005307E4"/>
    <w:rsid w:val="00530A1C"/>
    <w:rsid w:val="0053138D"/>
    <w:rsid w:val="00532E0B"/>
    <w:rsid w:val="0053408A"/>
    <w:rsid w:val="00534746"/>
    <w:rsid w:val="005355C6"/>
    <w:rsid w:val="005371D8"/>
    <w:rsid w:val="00537E10"/>
    <w:rsid w:val="00544870"/>
    <w:rsid w:val="005448B4"/>
    <w:rsid w:val="00544DB1"/>
    <w:rsid w:val="005555BF"/>
    <w:rsid w:val="00555A94"/>
    <w:rsid w:val="0055665E"/>
    <w:rsid w:val="00557E61"/>
    <w:rsid w:val="005610A7"/>
    <w:rsid w:val="00563422"/>
    <w:rsid w:val="00564239"/>
    <w:rsid w:val="0056753D"/>
    <w:rsid w:val="00571635"/>
    <w:rsid w:val="0057445E"/>
    <w:rsid w:val="005759EC"/>
    <w:rsid w:val="005769F9"/>
    <w:rsid w:val="00580921"/>
    <w:rsid w:val="00582658"/>
    <w:rsid w:val="00582BAD"/>
    <w:rsid w:val="00584129"/>
    <w:rsid w:val="00584272"/>
    <w:rsid w:val="005867D6"/>
    <w:rsid w:val="005875F1"/>
    <w:rsid w:val="00587DB6"/>
    <w:rsid w:val="005919D2"/>
    <w:rsid w:val="005936D2"/>
    <w:rsid w:val="00594638"/>
    <w:rsid w:val="00597E33"/>
    <w:rsid w:val="00597F7F"/>
    <w:rsid w:val="005A1091"/>
    <w:rsid w:val="005A486B"/>
    <w:rsid w:val="005A5EA4"/>
    <w:rsid w:val="005B41F7"/>
    <w:rsid w:val="005B68DC"/>
    <w:rsid w:val="005C0B7E"/>
    <w:rsid w:val="005C3533"/>
    <w:rsid w:val="005C3855"/>
    <w:rsid w:val="005C52A0"/>
    <w:rsid w:val="005D00DC"/>
    <w:rsid w:val="005D1DED"/>
    <w:rsid w:val="005D2A5E"/>
    <w:rsid w:val="005D2C77"/>
    <w:rsid w:val="005D3A80"/>
    <w:rsid w:val="005D47D2"/>
    <w:rsid w:val="005E18AC"/>
    <w:rsid w:val="005E2BBB"/>
    <w:rsid w:val="005F222D"/>
    <w:rsid w:val="005F33FF"/>
    <w:rsid w:val="00601EC5"/>
    <w:rsid w:val="00612883"/>
    <w:rsid w:val="00613D80"/>
    <w:rsid w:val="00614EF4"/>
    <w:rsid w:val="0061513F"/>
    <w:rsid w:val="00621F4A"/>
    <w:rsid w:val="0062440B"/>
    <w:rsid w:val="00624730"/>
    <w:rsid w:val="006264B5"/>
    <w:rsid w:val="00627D92"/>
    <w:rsid w:val="0063107E"/>
    <w:rsid w:val="00633E9A"/>
    <w:rsid w:val="0063640D"/>
    <w:rsid w:val="0063753F"/>
    <w:rsid w:val="00640653"/>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90709"/>
    <w:rsid w:val="00697005"/>
    <w:rsid w:val="00697191"/>
    <w:rsid w:val="00697883"/>
    <w:rsid w:val="006A6CC8"/>
    <w:rsid w:val="006B0A04"/>
    <w:rsid w:val="006B16EE"/>
    <w:rsid w:val="006B36CB"/>
    <w:rsid w:val="006B50C8"/>
    <w:rsid w:val="006B538F"/>
    <w:rsid w:val="006B5B9D"/>
    <w:rsid w:val="006C0727"/>
    <w:rsid w:val="006C15E5"/>
    <w:rsid w:val="006C18E5"/>
    <w:rsid w:val="006C3921"/>
    <w:rsid w:val="006C3951"/>
    <w:rsid w:val="006C52FF"/>
    <w:rsid w:val="006D01A1"/>
    <w:rsid w:val="006D1D91"/>
    <w:rsid w:val="006D557F"/>
    <w:rsid w:val="006E011F"/>
    <w:rsid w:val="006E0E7D"/>
    <w:rsid w:val="006E145F"/>
    <w:rsid w:val="006E1D46"/>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EB8"/>
    <w:rsid w:val="0071338A"/>
    <w:rsid w:val="007165F8"/>
    <w:rsid w:val="00716841"/>
    <w:rsid w:val="00717BCF"/>
    <w:rsid w:val="007203A6"/>
    <w:rsid w:val="0073102F"/>
    <w:rsid w:val="00733AF6"/>
    <w:rsid w:val="00736909"/>
    <w:rsid w:val="00737928"/>
    <w:rsid w:val="00740F61"/>
    <w:rsid w:val="00744FD0"/>
    <w:rsid w:val="0074579D"/>
    <w:rsid w:val="0074768D"/>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97B43"/>
    <w:rsid w:val="007A0B55"/>
    <w:rsid w:val="007A0F96"/>
    <w:rsid w:val="007A496A"/>
    <w:rsid w:val="007B0EDB"/>
    <w:rsid w:val="007B1B49"/>
    <w:rsid w:val="007B1E47"/>
    <w:rsid w:val="007B2EE1"/>
    <w:rsid w:val="007B5F20"/>
    <w:rsid w:val="007C1F7A"/>
    <w:rsid w:val="007C30D1"/>
    <w:rsid w:val="007C6589"/>
    <w:rsid w:val="007D04E3"/>
    <w:rsid w:val="007D70B8"/>
    <w:rsid w:val="007E0838"/>
    <w:rsid w:val="007E7311"/>
    <w:rsid w:val="007E7B27"/>
    <w:rsid w:val="007F1077"/>
    <w:rsid w:val="0080078A"/>
    <w:rsid w:val="00806ED0"/>
    <w:rsid w:val="0081023A"/>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2C90"/>
    <w:rsid w:val="0085319A"/>
    <w:rsid w:val="00855DEC"/>
    <w:rsid w:val="00864EBB"/>
    <w:rsid w:val="00866BA8"/>
    <w:rsid w:val="0087699A"/>
    <w:rsid w:val="00877E74"/>
    <w:rsid w:val="00880DA8"/>
    <w:rsid w:val="0088142F"/>
    <w:rsid w:val="00881CBA"/>
    <w:rsid w:val="00882567"/>
    <w:rsid w:val="00890FB5"/>
    <w:rsid w:val="0089179F"/>
    <w:rsid w:val="008932E4"/>
    <w:rsid w:val="00894E0A"/>
    <w:rsid w:val="0089728A"/>
    <w:rsid w:val="008973D5"/>
    <w:rsid w:val="008977C8"/>
    <w:rsid w:val="008A2257"/>
    <w:rsid w:val="008A2710"/>
    <w:rsid w:val="008A3FC1"/>
    <w:rsid w:val="008A52A9"/>
    <w:rsid w:val="008B2530"/>
    <w:rsid w:val="008B5E20"/>
    <w:rsid w:val="008D10C4"/>
    <w:rsid w:val="008E15F5"/>
    <w:rsid w:val="008E494C"/>
    <w:rsid w:val="008E7637"/>
    <w:rsid w:val="008F3C3D"/>
    <w:rsid w:val="008F674F"/>
    <w:rsid w:val="008F78F8"/>
    <w:rsid w:val="0090229B"/>
    <w:rsid w:val="009029CB"/>
    <w:rsid w:val="00903263"/>
    <w:rsid w:val="00913691"/>
    <w:rsid w:val="00913B04"/>
    <w:rsid w:val="009160EA"/>
    <w:rsid w:val="00916A65"/>
    <w:rsid w:val="00917527"/>
    <w:rsid w:val="00920C7E"/>
    <w:rsid w:val="00922EA6"/>
    <w:rsid w:val="0093015E"/>
    <w:rsid w:val="0093100B"/>
    <w:rsid w:val="00932A2A"/>
    <w:rsid w:val="00934464"/>
    <w:rsid w:val="0093461B"/>
    <w:rsid w:val="00934DF0"/>
    <w:rsid w:val="00935083"/>
    <w:rsid w:val="009355C6"/>
    <w:rsid w:val="009423E7"/>
    <w:rsid w:val="00943B26"/>
    <w:rsid w:val="009461C2"/>
    <w:rsid w:val="009465F3"/>
    <w:rsid w:val="00951356"/>
    <w:rsid w:val="009513C8"/>
    <w:rsid w:val="00951F1B"/>
    <w:rsid w:val="009525D3"/>
    <w:rsid w:val="00956D55"/>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5C78"/>
    <w:rsid w:val="009A16B4"/>
    <w:rsid w:val="009A2E15"/>
    <w:rsid w:val="009B0326"/>
    <w:rsid w:val="009B1D71"/>
    <w:rsid w:val="009B252C"/>
    <w:rsid w:val="009B3634"/>
    <w:rsid w:val="009B3662"/>
    <w:rsid w:val="009B4F8A"/>
    <w:rsid w:val="009B5710"/>
    <w:rsid w:val="009C0B45"/>
    <w:rsid w:val="009C0BF1"/>
    <w:rsid w:val="009D1669"/>
    <w:rsid w:val="009D51BB"/>
    <w:rsid w:val="009D7FB8"/>
    <w:rsid w:val="009E38B6"/>
    <w:rsid w:val="009E516F"/>
    <w:rsid w:val="009E60B8"/>
    <w:rsid w:val="009E67DB"/>
    <w:rsid w:val="009F2FBC"/>
    <w:rsid w:val="009F5E4C"/>
    <w:rsid w:val="00A0047A"/>
    <w:rsid w:val="00A04662"/>
    <w:rsid w:val="00A049DA"/>
    <w:rsid w:val="00A05694"/>
    <w:rsid w:val="00A1380C"/>
    <w:rsid w:val="00A15C2C"/>
    <w:rsid w:val="00A21BBA"/>
    <w:rsid w:val="00A2433B"/>
    <w:rsid w:val="00A24AE2"/>
    <w:rsid w:val="00A25ACA"/>
    <w:rsid w:val="00A32A56"/>
    <w:rsid w:val="00A33391"/>
    <w:rsid w:val="00A34201"/>
    <w:rsid w:val="00A34386"/>
    <w:rsid w:val="00A3771D"/>
    <w:rsid w:val="00A403CD"/>
    <w:rsid w:val="00A408FB"/>
    <w:rsid w:val="00A470C7"/>
    <w:rsid w:val="00A5342A"/>
    <w:rsid w:val="00A5372E"/>
    <w:rsid w:val="00A54837"/>
    <w:rsid w:val="00A56982"/>
    <w:rsid w:val="00A56EE0"/>
    <w:rsid w:val="00A5762D"/>
    <w:rsid w:val="00A676A0"/>
    <w:rsid w:val="00A71571"/>
    <w:rsid w:val="00A746CA"/>
    <w:rsid w:val="00A75218"/>
    <w:rsid w:val="00A768B1"/>
    <w:rsid w:val="00A808B5"/>
    <w:rsid w:val="00A81C9A"/>
    <w:rsid w:val="00A8753F"/>
    <w:rsid w:val="00A8788C"/>
    <w:rsid w:val="00A91285"/>
    <w:rsid w:val="00A9137D"/>
    <w:rsid w:val="00A91BE7"/>
    <w:rsid w:val="00A96882"/>
    <w:rsid w:val="00A977B2"/>
    <w:rsid w:val="00AA29F9"/>
    <w:rsid w:val="00AA427C"/>
    <w:rsid w:val="00AA5997"/>
    <w:rsid w:val="00AA6E29"/>
    <w:rsid w:val="00AA7DC0"/>
    <w:rsid w:val="00AB0A84"/>
    <w:rsid w:val="00AB2923"/>
    <w:rsid w:val="00AB3286"/>
    <w:rsid w:val="00AB4A13"/>
    <w:rsid w:val="00AC07D1"/>
    <w:rsid w:val="00AC2723"/>
    <w:rsid w:val="00AC46A0"/>
    <w:rsid w:val="00AC4D71"/>
    <w:rsid w:val="00AC692A"/>
    <w:rsid w:val="00AD1A80"/>
    <w:rsid w:val="00AD3144"/>
    <w:rsid w:val="00AD3520"/>
    <w:rsid w:val="00AD3EFD"/>
    <w:rsid w:val="00AD53D5"/>
    <w:rsid w:val="00AD6A5D"/>
    <w:rsid w:val="00AE26AE"/>
    <w:rsid w:val="00AE733F"/>
    <w:rsid w:val="00AF0552"/>
    <w:rsid w:val="00AF2B91"/>
    <w:rsid w:val="00AF5389"/>
    <w:rsid w:val="00AF7DD7"/>
    <w:rsid w:val="00B00396"/>
    <w:rsid w:val="00B02037"/>
    <w:rsid w:val="00B047E4"/>
    <w:rsid w:val="00B0719F"/>
    <w:rsid w:val="00B10017"/>
    <w:rsid w:val="00B108A9"/>
    <w:rsid w:val="00B1131F"/>
    <w:rsid w:val="00B12928"/>
    <w:rsid w:val="00B1378A"/>
    <w:rsid w:val="00B13DD3"/>
    <w:rsid w:val="00B14810"/>
    <w:rsid w:val="00B16244"/>
    <w:rsid w:val="00B17BE2"/>
    <w:rsid w:val="00B21C24"/>
    <w:rsid w:val="00B236C2"/>
    <w:rsid w:val="00B2479F"/>
    <w:rsid w:val="00B2692E"/>
    <w:rsid w:val="00B3072C"/>
    <w:rsid w:val="00B40975"/>
    <w:rsid w:val="00B42259"/>
    <w:rsid w:val="00B4449B"/>
    <w:rsid w:val="00B50B5D"/>
    <w:rsid w:val="00B53E85"/>
    <w:rsid w:val="00B54EF9"/>
    <w:rsid w:val="00B55366"/>
    <w:rsid w:val="00B62610"/>
    <w:rsid w:val="00B64109"/>
    <w:rsid w:val="00B64A02"/>
    <w:rsid w:val="00B74A8E"/>
    <w:rsid w:val="00B76882"/>
    <w:rsid w:val="00B946BC"/>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D2838"/>
    <w:rsid w:val="00BD581D"/>
    <w:rsid w:val="00BD5C85"/>
    <w:rsid w:val="00BE2974"/>
    <w:rsid w:val="00BE2DB2"/>
    <w:rsid w:val="00BE3DB9"/>
    <w:rsid w:val="00BE4307"/>
    <w:rsid w:val="00BE553E"/>
    <w:rsid w:val="00BE63B0"/>
    <w:rsid w:val="00BE68C2"/>
    <w:rsid w:val="00BE6AF6"/>
    <w:rsid w:val="00BE7BD0"/>
    <w:rsid w:val="00BF09FA"/>
    <w:rsid w:val="00BF2639"/>
    <w:rsid w:val="00BF4C5A"/>
    <w:rsid w:val="00BF5953"/>
    <w:rsid w:val="00BF743D"/>
    <w:rsid w:val="00C0014F"/>
    <w:rsid w:val="00C01882"/>
    <w:rsid w:val="00C02818"/>
    <w:rsid w:val="00C03BFA"/>
    <w:rsid w:val="00C041B1"/>
    <w:rsid w:val="00C06459"/>
    <w:rsid w:val="00C15C35"/>
    <w:rsid w:val="00C17458"/>
    <w:rsid w:val="00C21281"/>
    <w:rsid w:val="00C242DC"/>
    <w:rsid w:val="00C248ED"/>
    <w:rsid w:val="00C2704D"/>
    <w:rsid w:val="00C273A0"/>
    <w:rsid w:val="00C2788E"/>
    <w:rsid w:val="00C30E94"/>
    <w:rsid w:val="00C3105A"/>
    <w:rsid w:val="00C34636"/>
    <w:rsid w:val="00C36EB4"/>
    <w:rsid w:val="00C44118"/>
    <w:rsid w:val="00C45E6F"/>
    <w:rsid w:val="00C465E2"/>
    <w:rsid w:val="00C50CDF"/>
    <w:rsid w:val="00C52E46"/>
    <w:rsid w:val="00C53013"/>
    <w:rsid w:val="00C53E4F"/>
    <w:rsid w:val="00C54111"/>
    <w:rsid w:val="00C60362"/>
    <w:rsid w:val="00C613A5"/>
    <w:rsid w:val="00C6188E"/>
    <w:rsid w:val="00C6298A"/>
    <w:rsid w:val="00C6564E"/>
    <w:rsid w:val="00C74AB6"/>
    <w:rsid w:val="00C759D4"/>
    <w:rsid w:val="00C80597"/>
    <w:rsid w:val="00C81C4C"/>
    <w:rsid w:val="00C827A6"/>
    <w:rsid w:val="00C83B27"/>
    <w:rsid w:val="00C83B2B"/>
    <w:rsid w:val="00C94D89"/>
    <w:rsid w:val="00C95A01"/>
    <w:rsid w:val="00C972AF"/>
    <w:rsid w:val="00C978F0"/>
    <w:rsid w:val="00C97C6F"/>
    <w:rsid w:val="00C97EB8"/>
    <w:rsid w:val="00CA0049"/>
    <w:rsid w:val="00CA0382"/>
    <w:rsid w:val="00CA0680"/>
    <w:rsid w:val="00CA09B2"/>
    <w:rsid w:val="00CA4418"/>
    <w:rsid w:val="00CA5D17"/>
    <w:rsid w:val="00CA7A61"/>
    <w:rsid w:val="00CC0D4B"/>
    <w:rsid w:val="00CC1573"/>
    <w:rsid w:val="00CC2084"/>
    <w:rsid w:val="00CC26C9"/>
    <w:rsid w:val="00CC2A13"/>
    <w:rsid w:val="00CD25E9"/>
    <w:rsid w:val="00CD268B"/>
    <w:rsid w:val="00CD5C2A"/>
    <w:rsid w:val="00CE125D"/>
    <w:rsid w:val="00CE71E5"/>
    <w:rsid w:val="00CF09FE"/>
    <w:rsid w:val="00CF187B"/>
    <w:rsid w:val="00CF2643"/>
    <w:rsid w:val="00CF4EFA"/>
    <w:rsid w:val="00CF77E5"/>
    <w:rsid w:val="00D00944"/>
    <w:rsid w:val="00D01C9A"/>
    <w:rsid w:val="00D05A07"/>
    <w:rsid w:val="00D05FF5"/>
    <w:rsid w:val="00D078C5"/>
    <w:rsid w:val="00D1314B"/>
    <w:rsid w:val="00D13221"/>
    <w:rsid w:val="00D13F2C"/>
    <w:rsid w:val="00D154CE"/>
    <w:rsid w:val="00D23147"/>
    <w:rsid w:val="00D246DB"/>
    <w:rsid w:val="00D31C26"/>
    <w:rsid w:val="00D31F02"/>
    <w:rsid w:val="00D31F41"/>
    <w:rsid w:val="00D33071"/>
    <w:rsid w:val="00D351F8"/>
    <w:rsid w:val="00D35879"/>
    <w:rsid w:val="00D409E1"/>
    <w:rsid w:val="00D45DF4"/>
    <w:rsid w:val="00D46F43"/>
    <w:rsid w:val="00D47729"/>
    <w:rsid w:val="00D51271"/>
    <w:rsid w:val="00D515A4"/>
    <w:rsid w:val="00D5174D"/>
    <w:rsid w:val="00D52209"/>
    <w:rsid w:val="00D5454E"/>
    <w:rsid w:val="00D5649B"/>
    <w:rsid w:val="00D5701E"/>
    <w:rsid w:val="00D57AC2"/>
    <w:rsid w:val="00D57BA4"/>
    <w:rsid w:val="00D6031E"/>
    <w:rsid w:val="00D60A5B"/>
    <w:rsid w:val="00D60BB8"/>
    <w:rsid w:val="00D640FE"/>
    <w:rsid w:val="00D6517B"/>
    <w:rsid w:val="00D67585"/>
    <w:rsid w:val="00D72BA3"/>
    <w:rsid w:val="00D732E8"/>
    <w:rsid w:val="00D76383"/>
    <w:rsid w:val="00D76AB2"/>
    <w:rsid w:val="00D852BE"/>
    <w:rsid w:val="00D90BF0"/>
    <w:rsid w:val="00D91D5F"/>
    <w:rsid w:val="00D9265B"/>
    <w:rsid w:val="00D939E9"/>
    <w:rsid w:val="00D9546A"/>
    <w:rsid w:val="00DA247D"/>
    <w:rsid w:val="00DA2857"/>
    <w:rsid w:val="00DA5F53"/>
    <w:rsid w:val="00DB091C"/>
    <w:rsid w:val="00DB59D3"/>
    <w:rsid w:val="00DB6B5A"/>
    <w:rsid w:val="00DB6C10"/>
    <w:rsid w:val="00DB724E"/>
    <w:rsid w:val="00DC12FF"/>
    <w:rsid w:val="00DC1F54"/>
    <w:rsid w:val="00DC494B"/>
    <w:rsid w:val="00DC5A7B"/>
    <w:rsid w:val="00DE493F"/>
    <w:rsid w:val="00DF0BB0"/>
    <w:rsid w:val="00DF6202"/>
    <w:rsid w:val="00E01466"/>
    <w:rsid w:val="00E0208B"/>
    <w:rsid w:val="00E02CC3"/>
    <w:rsid w:val="00E07FD6"/>
    <w:rsid w:val="00E15417"/>
    <w:rsid w:val="00E20765"/>
    <w:rsid w:val="00E21E9E"/>
    <w:rsid w:val="00E22C25"/>
    <w:rsid w:val="00E307E4"/>
    <w:rsid w:val="00E334EF"/>
    <w:rsid w:val="00E36511"/>
    <w:rsid w:val="00E36701"/>
    <w:rsid w:val="00E36E98"/>
    <w:rsid w:val="00E40807"/>
    <w:rsid w:val="00E40BD8"/>
    <w:rsid w:val="00E50695"/>
    <w:rsid w:val="00E5264B"/>
    <w:rsid w:val="00E54EFA"/>
    <w:rsid w:val="00E569CD"/>
    <w:rsid w:val="00E56CEE"/>
    <w:rsid w:val="00E63700"/>
    <w:rsid w:val="00E658BD"/>
    <w:rsid w:val="00E65E2F"/>
    <w:rsid w:val="00E71813"/>
    <w:rsid w:val="00E71CD1"/>
    <w:rsid w:val="00E75DEE"/>
    <w:rsid w:val="00E7609E"/>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B5D"/>
    <w:rsid w:val="00EB2E46"/>
    <w:rsid w:val="00EB3A91"/>
    <w:rsid w:val="00EB3FF0"/>
    <w:rsid w:val="00EB5206"/>
    <w:rsid w:val="00EC1400"/>
    <w:rsid w:val="00EC1A22"/>
    <w:rsid w:val="00EC4E87"/>
    <w:rsid w:val="00ED06C3"/>
    <w:rsid w:val="00ED306B"/>
    <w:rsid w:val="00ED3C12"/>
    <w:rsid w:val="00ED6C35"/>
    <w:rsid w:val="00EE1F58"/>
    <w:rsid w:val="00EE225F"/>
    <w:rsid w:val="00EF0974"/>
    <w:rsid w:val="00EF142D"/>
    <w:rsid w:val="00EF189F"/>
    <w:rsid w:val="00EF2790"/>
    <w:rsid w:val="00F0079B"/>
    <w:rsid w:val="00F01CB8"/>
    <w:rsid w:val="00F03961"/>
    <w:rsid w:val="00F04853"/>
    <w:rsid w:val="00F05C92"/>
    <w:rsid w:val="00F0647B"/>
    <w:rsid w:val="00F1183E"/>
    <w:rsid w:val="00F12675"/>
    <w:rsid w:val="00F23CF1"/>
    <w:rsid w:val="00F3206B"/>
    <w:rsid w:val="00F3380D"/>
    <w:rsid w:val="00F34EFF"/>
    <w:rsid w:val="00F423D5"/>
    <w:rsid w:val="00F42681"/>
    <w:rsid w:val="00F445E3"/>
    <w:rsid w:val="00F459C7"/>
    <w:rsid w:val="00F52659"/>
    <w:rsid w:val="00F5326C"/>
    <w:rsid w:val="00F6027D"/>
    <w:rsid w:val="00F64D33"/>
    <w:rsid w:val="00F67B4F"/>
    <w:rsid w:val="00F717C7"/>
    <w:rsid w:val="00F74942"/>
    <w:rsid w:val="00F7546C"/>
    <w:rsid w:val="00F75D72"/>
    <w:rsid w:val="00F81C02"/>
    <w:rsid w:val="00F82F93"/>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B96"/>
    <w:rsid w:val="00FB3868"/>
    <w:rsid w:val="00FB6451"/>
    <w:rsid w:val="00FB74E9"/>
    <w:rsid w:val="00FC15F5"/>
    <w:rsid w:val="00FC2639"/>
    <w:rsid w:val="00FC315B"/>
    <w:rsid w:val="00FC4596"/>
    <w:rsid w:val="00FC7A05"/>
    <w:rsid w:val="00FD2E6D"/>
    <w:rsid w:val="00FD4B0D"/>
    <w:rsid w:val="00FD4C00"/>
    <w:rsid w:val="00FD503C"/>
    <w:rsid w:val="00FD60F2"/>
    <w:rsid w:val="00FE0351"/>
    <w:rsid w:val="00FE08E2"/>
    <w:rsid w:val="00FE2F15"/>
    <w:rsid w:val="00FF0B9B"/>
    <w:rsid w:val="00FF3363"/>
    <w:rsid w:val="00FF44CC"/>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231</TotalTime>
  <Pages>4</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57</cp:revision>
  <cp:lastPrinted>1900-01-01T08:00:00Z</cp:lastPrinted>
  <dcterms:created xsi:type="dcterms:W3CDTF">2022-11-01T16:03:00Z</dcterms:created>
  <dcterms:modified xsi:type="dcterms:W3CDTF">2022-11-03T22:05:00Z</dcterms:modified>
</cp:coreProperties>
</file>