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4A9954E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E91934">
              <w:rPr>
                <w:rFonts w:asciiTheme="minorHAnsi" w:hAnsiTheme="minorHAnsi" w:cstheme="minorHAnsi"/>
                <w:b w:val="0"/>
                <w:sz w:val="22"/>
                <w:szCs w:val="22"/>
                <w:lang w:eastAsia="ko-KR"/>
              </w:rPr>
              <w:t>10</w:t>
            </w:r>
            <w:r w:rsidR="009D5F45">
              <w:rPr>
                <w:rFonts w:asciiTheme="minorHAnsi" w:hAnsiTheme="minorHAnsi" w:cstheme="minorHAnsi"/>
                <w:b w:val="0"/>
                <w:sz w:val="22"/>
                <w:szCs w:val="22"/>
                <w:lang w:eastAsia="ko-KR"/>
              </w:rPr>
              <w:t>-</w:t>
            </w:r>
            <w:r w:rsidR="00E91934">
              <w:rPr>
                <w:rFonts w:asciiTheme="minorHAnsi" w:hAnsiTheme="minorHAnsi" w:cstheme="minorHAnsi"/>
                <w:b w:val="0"/>
                <w:sz w:val="22"/>
                <w:szCs w:val="22"/>
                <w:lang w:eastAsia="ko-KR"/>
              </w:rPr>
              <w:t>17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11014,11930,11931,13450,10988,11011,13562,12693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0C731541" w14:textId="63C0621F" w:rsidR="009275B1" w:rsidRDefault="009275B1" w:rsidP="00FB5EBF">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w:t>
        </w:r>
        <w:r>
          <w:rPr>
            <w:rFonts w:ascii="Arial" w:hAnsi="Arial" w:cs="Arial"/>
            <w:sz w:val="20"/>
            <w:szCs w:val="20"/>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7BBE1148" w:rsidR="001B1335" w:rsidRPr="001B1335" w:rsidRDefault="001B1335" w:rsidP="001B1335">
            <w:pPr>
              <w:pStyle w:val="T1"/>
              <w:suppressAutoHyphens/>
              <w:spacing w:after="120"/>
              <w:jc w:val="left"/>
              <w:rPr>
                <w:b w:val="0"/>
                <w:sz w:val="16"/>
              </w:rPr>
            </w:pPr>
            <w:r w:rsidRPr="001B1335">
              <w:rPr>
                <w:b w:val="0"/>
                <w:sz w:val="16"/>
              </w:rPr>
              <w:t>Please to replace " Disabled Subchannel Bitmap field" with " Disabled Subchannel Bitmap subfield"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593BB930"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w:t>
            </w:r>
            <w:proofErr w:type="gramStart"/>
            <w:r w:rsidRPr="00E063AB">
              <w:rPr>
                <w:b w:val="0"/>
                <w:sz w:val="16"/>
              </w:rPr>
              <w:t>states</w:t>
            </w:r>
            <w:proofErr w:type="gramEnd"/>
            <w:r w:rsidRPr="00E063AB">
              <w:rPr>
                <w:b w:val="0"/>
                <w:sz w:val="16"/>
              </w:rPr>
              <w:t xml:space="preserve"> "for the PPDU bandwidth that is equal to the operating channel width of the BSS".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(Definition of the Punctured Channel Information field in the U-SIG for an EHT MU PPDU using non-OFDMA transmissions</w:t>
            </w:r>
            <w:proofErr w:type="gramStart"/>
            <w:r w:rsidR="00CA26FE" w:rsidRPr="00CA26FE">
              <w:rPr>
                <w:b w:val="0"/>
                <w:iCs/>
                <w:color w:val="000000"/>
                <w:sz w:val="16"/>
                <w:szCs w:val="16"/>
              </w:rPr>
              <w:t xml:space="preserve">) </w:t>
            </w:r>
            <w:r w:rsidR="00796C38">
              <w:rPr>
                <w:b w:val="0"/>
                <w:iCs/>
                <w:color w:val="000000"/>
                <w:sz w:val="16"/>
                <w:szCs w:val="16"/>
              </w:rPr>
              <w:t>.</w:t>
            </w:r>
            <w:proofErr w:type="gramEnd"/>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33DEBD7A"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 xml:space="preserve">4, non-HT duplicate PPDU without carrying </w:t>
            </w:r>
            <w:proofErr w:type="spellStart"/>
            <w:r w:rsidRPr="00DF4226">
              <w:rPr>
                <w:b w:val="0"/>
                <w:sz w:val="16"/>
              </w:rPr>
              <w:t>TRigger</w:t>
            </w:r>
            <w:proofErr w:type="spellEnd"/>
            <w:r w:rsidRPr="00DF4226">
              <w:rPr>
                <w:b w:val="0"/>
                <w:sz w:val="16"/>
              </w:rPr>
              <w:t xml:space="preserve"> frame addressed to single or multiple STAs without </w:t>
            </w:r>
            <w:proofErr w:type="spellStart"/>
            <w:r w:rsidRPr="00DF4226">
              <w:rPr>
                <w:b w:val="0"/>
                <w:sz w:val="16"/>
              </w:rPr>
              <w:t>solciting</w:t>
            </w:r>
            <w:proofErr w:type="spellEnd"/>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lastRenderedPageBreak/>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7E793EB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03D4460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43F931AB" w:rsidR="00890F9A" w:rsidRPr="00946A58" w:rsidRDefault="00890F9A" w:rsidP="00890F9A">
            <w:pPr>
              <w:pStyle w:val="T1"/>
              <w:suppressAutoHyphens/>
              <w:spacing w:after="120"/>
              <w:jc w:val="left"/>
              <w:rPr>
                <w:b w:val="0"/>
                <w:sz w:val="16"/>
              </w:rPr>
            </w:pPr>
            <w:r w:rsidRPr="00946A58">
              <w:rPr>
                <w:b w:val="0"/>
                <w:sz w:val="16"/>
              </w:rPr>
              <w:t>It is not clear why "..the Disabled Subchannel Bitmap field of the EHT Operation element shall be one of the non-OFDMA puncturing patterns defined in Table 36-30" as a mandatory requirement?</w:t>
            </w:r>
            <w:r w:rsidRPr="00946A58">
              <w:rPr>
                <w:b w:val="0"/>
                <w:sz w:val="16"/>
              </w:rPr>
              <w:br/>
              <w:t xml:space="preserve">For instance, the common use case of having more than a single punctured RU in each 80 MHz segment (especially if BW equals or above 160) can't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 xml:space="preserve">Add the OFDMA puncturing pattern to be supported in the Disabled Channel </w:t>
            </w:r>
            <w:proofErr w:type="gramStart"/>
            <w:r w:rsidRPr="00946A58">
              <w:rPr>
                <w:b w:val="0"/>
                <w:sz w:val="16"/>
              </w:rPr>
              <w:t>Bitmap  as</w:t>
            </w:r>
            <w:proofErr w:type="gramEnd"/>
            <w:r w:rsidRPr="00946A58">
              <w:rPr>
                <w:b w:val="0"/>
                <w:sz w:val="16"/>
              </w:rPr>
              <w:t xml:space="preserve">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6AA11D09"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8" w:author="Author">
        <w:r w:rsidR="007910C3" w:rsidRPr="007910C3" w:rsidDel="00AC2FFB">
          <w:rPr>
            <w:rFonts w:ascii="Arial" w:hAnsi="Arial" w:cs="Arial"/>
            <w:sz w:val="20"/>
            <w:szCs w:val="20"/>
          </w:rPr>
          <w:delText>for the</w:delText>
        </w:r>
      </w:del>
      <w:proofErr w:type="gramStart"/>
      <w:ins w:id="9" w:author="Author">
        <w:r w:rsidR="00AC2FFB">
          <w:rPr>
            <w:rFonts w:ascii="Arial" w:hAnsi="Arial" w:cs="Arial"/>
            <w:sz w:val="20"/>
            <w:szCs w:val="20"/>
          </w:rPr>
          <w:t>whose</w:t>
        </w:r>
        <w:proofErr w:type="gramEnd"/>
        <w:r w:rsidR="00AC2FFB">
          <w:rPr>
            <w:rFonts w:ascii="Arial" w:hAnsi="Arial" w:cs="Arial"/>
            <w:sz w:val="20"/>
            <w:szCs w:val="20"/>
          </w:rPr>
          <w:t xml:space="preserve"> corresponding</w:t>
        </w:r>
      </w:ins>
      <w:r w:rsidR="007910C3" w:rsidRPr="007910C3">
        <w:rPr>
          <w:rFonts w:ascii="Arial" w:hAnsi="Arial" w:cs="Arial"/>
          <w:sz w:val="20"/>
          <w:szCs w:val="20"/>
        </w:rPr>
        <w:t xml:space="preserve"> PPDU bandwidth</w:t>
      </w:r>
      <w:ins w:id="10" w:author="Author">
        <w:r w:rsidR="00AC2FFB">
          <w:rPr>
            <w:rFonts w:ascii="Arial" w:hAnsi="Arial" w:cs="Arial"/>
            <w:sz w:val="20"/>
            <w:szCs w:val="20"/>
          </w:rPr>
          <w:t xml:space="preserve"> value in the Table</w:t>
        </w:r>
      </w:ins>
      <w:del w:id="11"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puncturing pattern (</w:t>
      </w:r>
      <w:proofErr w:type="gramStart"/>
      <w:r w:rsidRPr="0022460F">
        <w:rPr>
          <w:rFonts w:ascii="Arial" w:hAnsi="Arial" w:cs="Arial"/>
          <w:i/>
          <w:iCs/>
          <w:sz w:val="20"/>
          <w:szCs w:val="20"/>
          <w:highlight w:val="cyan"/>
        </w:rPr>
        <w:t>e.g.</w:t>
      </w:r>
      <w:proofErr w:type="gramEnd"/>
      <w:r w:rsidRPr="0022460F">
        <w:rPr>
          <w:rFonts w:ascii="Arial" w:hAnsi="Arial" w:cs="Arial"/>
          <w:i/>
          <w:iCs/>
          <w:sz w:val="20"/>
          <w:szCs w:val="20"/>
          <w:highlight w:val="cyan"/>
        </w:rPr>
        <w:t xml:space="preserve">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1CA5F53"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593DCB">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12"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w:t>
      </w:r>
      <w:proofErr w:type="gramStart"/>
      <w:r>
        <w:rPr>
          <w:rFonts w:ascii="Arial" w:hAnsi="Arial" w:cs="Arial"/>
          <w:sz w:val="20"/>
          <w:szCs w:val="20"/>
          <w:highlight w:val="yellow"/>
        </w:rPr>
        <w:t>13450</w:t>
      </w:r>
      <w:r w:rsidRPr="00BB6559">
        <w:rPr>
          <w:rFonts w:ascii="Arial" w:hAnsi="Arial" w:cs="Arial"/>
          <w:sz w:val="20"/>
          <w:szCs w:val="20"/>
          <w:highlight w:val="yellow"/>
        </w:rPr>
        <w:t>)</w:t>
      </w:r>
      <w:ins w:id="13" w:author="Author">
        <w:r w:rsidR="00C11163" w:rsidRPr="00F41BC2">
          <w:rPr>
            <w:rFonts w:ascii="Arial" w:hAnsi="Arial" w:cs="Arial"/>
            <w:sz w:val="20"/>
            <w:szCs w:val="20"/>
          </w:rPr>
          <w:t>An</w:t>
        </w:r>
        <w:proofErr w:type="gramEnd"/>
        <w:r w:rsidR="00C11163" w:rsidRPr="00F41BC2">
          <w:rPr>
            <w:rFonts w:ascii="Arial" w:hAnsi="Arial" w:cs="Arial"/>
            <w:sz w:val="20"/>
            <w:szCs w:val="20"/>
          </w:rPr>
          <w:t xml:space="preserve"> EHT SU transmission</w:t>
        </w:r>
      </w:ins>
      <w:ins w:id="14"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15"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16" w:author="r2" w:date="2022-11-13T22:01:00Z">
        <w:r w:rsidR="00D64B14">
          <w:rPr>
            <w:rFonts w:ascii="Arial" w:hAnsi="Arial" w:cs="Arial"/>
            <w:sz w:val="20"/>
            <w:szCs w:val="20"/>
          </w:rPr>
          <w:t xml:space="preserve"> subfield</w:t>
        </w:r>
      </w:ins>
      <w:ins w:id="17" w:author="Author">
        <w:r w:rsidR="00C11163" w:rsidRPr="00F41BC2">
          <w:rPr>
            <w:rFonts w:ascii="Arial" w:hAnsi="Arial" w:cs="Arial"/>
            <w:sz w:val="20"/>
            <w:szCs w:val="20"/>
          </w:rPr>
          <w:t xml:space="preserve"> in the EHT Operation element</w:t>
        </w:r>
      </w:ins>
      <w:ins w:id="18" w:author="r1" w:date="2022-11-04T15:04:00Z">
        <w:r w:rsidR="00C93640" w:rsidRPr="00C93640">
          <w:rPr>
            <w:rFonts w:ascii="Arial" w:hAnsi="Arial" w:cs="Arial"/>
            <w:sz w:val="20"/>
            <w:szCs w:val="20"/>
          </w:rPr>
          <w:t xml:space="preserve">, </w:t>
        </w:r>
        <w:commentRangeStart w:id="19"/>
        <w:r w:rsidR="00C93640" w:rsidRPr="00C93640">
          <w:rPr>
            <w:rFonts w:ascii="Arial" w:hAnsi="Arial" w:cs="Arial"/>
            <w:sz w:val="20"/>
            <w:szCs w:val="20"/>
          </w:rPr>
          <w:t xml:space="preserve">unless </w:t>
        </w:r>
      </w:ins>
      <w:commentRangeEnd w:id="19"/>
      <w:ins w:id="20" w:author="r1" w:date="2022-11-04T15:05:00Z">
        <w:r w:rsidR="007851FD">
          <w:rPr>
            <w:rStyle w:val="CommentReference"/>
          </w:rPr>
          <w:commentReference w:id="19"/>
        </w:r>
      </w:ins>
      <w:ins w:id="21" w:author="r1" w:date="2022-11-04T15:04:00Z">
        <w:r w:rsidR="00C93640" w:rsidRPr="00C93640">
          <w:rPr>
            <w:rFonts w:ascii="Arial" w:hAnsi="Arial" w:cs="Arial"/>
            <w:sz w:val="20"/>
            <w:szCs w:val="20"/>
          </w:rPr>
          <w:t>the EHT SU transmission carries a triggering frame that solicits a TB PPDU from a responding EHT STA</w:t>
        </w:r>
      </w:ins>
      <w:ins w:id="22"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23"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24" w:author="Author">
        <w:r w:rsidR="00C11163" w:rsidRPr="00E92241">
          <w:rPr>
            <w:rFonts w:ascii="Arial" w:hAnsi="Arial" w:cs="Arial"/>
            <w:sz w:val="20"/>
            <w:szCs w:val="20"/>
          </w:rPr>
          <w:t>An</w:t>
        </w:r>
        <w:proofErr w:type="gramEnd"/>
        <w:r w:rsidR="00C11163" w:rsidRPr="00E92241">
          <w:rPr>
            <w:rFonts w:ascii="Arial" w:hAnsi="Arial" w:cs="Arial"/>
            <w:sz w:val="20"/>
            <w:szCs w:val="20"/>
          </w:rPr>
          <w:t xml:space="preserve">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25" w:author="r2" w:date="2022-11-13T21:57:00Z">
        <w:r w:rsidR="009275B1">
          <w:rPr>
            <w:rFonts w:ascii="Arial" w:hAnsi="Arial" w:cs="Arial"/>
            <w:sz w:val="20"/>
            <w:szCs w:val="20"/>
          </w:rPr>
          <w:t xml:space="preserve"> subfield</w:t>
        </w:r>
      </w:ins>
      <w:ins w:id="26"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27"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28"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29" w:author="Author">
        <w:r w:rsidR="00B77469">
          <w:rPr>
            <w:rFonts w:ascii="Arial" w:hAnsi="Arial" w:cs="Arial"/>
            <w:sz w:val="20"/>
            <w:szCs w:val="20"/>
          </w:rPr>
          <w:t>NOTE</w:t>
        </w:r>
        <w:proofErr w:type="gramEnd"/>
        <w:r w:rsidR="00B77469">
          <w:rPr>
            <w:rFonts w:ascii="Arial" w:hAnsi="Arial" w:cs="Arial"/>
            <w:sz w:val="20"/>
            <w:szCs w:val="20"/>
          </w:rPr>
          <w:t xml:space="preserv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30" w:author="r2" w:date="2022-11-13T21:57:00Z">
        <w:r w:rsidR="009275B1">
          <w:rPr>
            <w:rFonts w:ascii="Arial" w:hAnsi="Arial" w:cs="Arial"/>
            <w:sz w:val="20"/>
            <w:szCs w:val="20"/>
          </w:rPr>
          <w:t xml:space="preserve"> subfield</w:t>
        </w:r>
      </w:ins>
      <w:ins w:id="31"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32"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33" w:author="Author">
        <w:r>
          <w:rPr>
            <w:rFonts w:ascii="Arial" w:hAnsi="Arial" w:cs="Arial"/>
            <w:sz w:val="20"/>
            <w:szCs w:val="20"/>
          </w:rPr>
          <w:lastRenderedPageBreak/>
          <w:t>Otherwise</w:t>
        </w:r>
      </w:ins>
      <w:del w:id="34"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35"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36"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37" w:author="Author">
        <w:r w:rsidR="009909E4" w:rsidRPr="009909E4" w:rsidDel="00810210">
          <w:rPr>
            <w:rFonts w:ascii="Arial" w:hAnsi="Arial" w:cs="Arial"/>
            <w:sz w:val="20"/>
            <w:szCs w:val="20"/>
          </w:rPr>
          <w:delText xml:space="preserve">In this case, </w:delText>
        </w:r>
      </w:del>
      <w:ins w:id="38"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39" w:author="Author">
        <w:r w:rsidR="0073430F" w:rsidRPr="009909E4">
          <w:rPr>
            <w:rFonts w:ascii="Arial" w:hAnsi="Arial" w:cs="Arial"/>
            <w:sz w:val="20"/>
            <w:szCs w:val="20"/>
          </w:rPr>
          <w:t xml:space="preserve">in addition to those indicated in the Disabled Subchannel Bitmap </w:t>
        </w:r>
      </w:ins>
      <w:ins w:id="40" w:author="r2" w:date="2022-11-13T22:58:00Z">
        <w:r w:rsidR="00152803">
          <w:rPr>
            <w:rFonts w:ascii="Arial" w:hAnsi="Arial" w:cs="Arial"/>
            <w:sz w:val="20"/>
            <w:szCs w:val="20"/>
          </w:rPr>
          <w:t>sub</w:t>
        </w:r>
      </w:ins>
      <w:ins w:id="41"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42"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43"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44"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45" w:author="Author"/>
          <w:rFonts w:ascii="Arial" w:hAnsi="Arial" w:cs="Arial"/>
          <w:sz w:val="20"/>
          <w:szCs w:val="20"/>
        </w:rPr>
      </w:pPr>
      <w:bookmarkStart w:id="46"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47" w:name="_Hlk116108337"/>
      <w:del w:id="48"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47"/>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49"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50" w:author="Author">
        <w:r w:rsidR="00E67DF0">
          <w:rPr>
            <w:rFonts w:ascii="Arial" w:hAnsi="Arial" w:cs="Arial"/>
            <w:sz w:val="20"/>
            <w:szCs w:val="20"/>
          </w:rPr>
          <w:t>NOTE</w:t>
        </w:r>
        <w:proofErr w:type="gramEnd"/>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51" w:author="r2" w:date="2022-11-13T21:57:00Z">
        <w:r w:rsidR="009275B1">
          <w:rPr>
            <w:rFonts w:ascii="Arial" w:hAnsi="Arial" w:cs="Arial"/>
            <w:sz w:val="20"/>
            <w:szCs w:val="20"/>
          </w:rPr>
          <w:t>sub</w:t>
        </w:r>
      </w:ins>
      <w:ins w:id="52"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53"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54"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55" w:author="Author"/>
          <w:rFonts w:ascii="Arial" w:hAnsi="Arial" w:cs="Arial"/>
          <w:sz w:val="20"/>
          <w:szCs w:val="20"/>
        </w:rPr>
      </w:pPr>
      <w:ins w:id="56"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57" w:author="r1" w:date="2022-10-17T16:47:00Z">
          <w:r w:rsidR="00C17F08" w:rsidDel="00211A95">
            <w:rPr>
              <w:rFonts w:ascii="Arial" w:hAnsi="Arial" w:cs="Arial"/>
              <w:sz w:val="20"/>
              <w:szCs w:val="20"/>
            </w:rPr>
            <w:delText>may</w:delText>
          </w:r>
        </w:del>
      </w:ins>
      <w:ins w:id="58" w:author="r1" w:date="2022-10-17T16:47:00Z">
        <w:r w:rsidR="00211A95">
          <w:rPr>
            <w:rFonts w:ascii="Arial" w:hAnsi="Arial" w:cs="Arial"/>
            <w:sz w:val="20"/>
            <w:szCs w:val="20"/>
          </w:rPr>
          <w:t>might</w:t>
        </w:r>
      </w:ins>
      <w:ins w:id="59"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60"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46"/>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489F9452" w:rsidR="00EB2185" w:rsidRPr="00B53B5D"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13"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e. The only editorial change has</w:t>
      </w:r>
      <w:r w:rsidR="005E63A1">
        <w:rPr>
          <w:rFonts w:ascii="Arial" w:hAnsi="Arial" w:cs="Arial"/>
          <w:b/>
          <w:bCs/>
          <w:sz w:val="20"/>
          <w:szCs w:val="20"/>
          <w:highlight w:val="cyan"/>
        </w:rPr>
        <w:t xml:space="preserve"> been highlighted by a comment</w:t>
      </w:r>
      <w:r w:rsidR="00233F1A">
        <w:rPr>
          <w:rFonts w:ascii="Arial" w:hAnsi="Arial" w:cs="Arial"/>
          <w:b/>
          <w:bCs/>
          <w:sz w:val="20"/>
          <w:szCs w:val="20"/>
        </w:rPr>
        <w:t xml:space="preserve"> </w:t>
      </w:r>
    </w:p>
    <w:p w14:paraId="0597672A" w14:textId="50994AD3"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r w:rsidRPr="001A4D26">
        <w:rPr>
          <w:rFonts w:ascii="Times New Roman" w:eastAsia="SimSun" w:hAnsi="Times New Roman" w:cs="Times New Roman"/>
          <w:szCs w:val="20"/>
          <w:highlight w:val="yellow"/>
          <w:lang w:val="en-GB"/>
        </w:rPr>
        <w:t xml:space="preserve">TGbe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61"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62"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63"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sidR="00AD4B0C">
        <w:rPr>
          <w:rFonts w:ascii="Times New Roman" w:eastAsia="SimSun" w:hAnsi="Times New Roman" w:cs="Times New Roman"/>
          <w:szCs w:val="20"/>
          <w:highlight w:val="yellow"/>
          <w:lang w:val="en-GB"/>
        </w:rPr>
        <w:t>(</w:t>
      </w:r>
      <w:proofErr w:type="gramEnd"/>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64" w:author="Author"/>
          <w:rFonts w:ascii="Times New Roman" w:eastAsia="SimSun" w:hAnsi="Times New Roman" w:cs="Times New Roman"/>
          <w:szCs w:val="20"/>
          <w:lang w:val="en-GB"/>
        </w:rPr>
      </w:pPr>
    </w:p>
    <w:p w14:paraId="5F476B1B" w14:textId="58C95A10"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65"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66"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w:t>
            </w:r>
            <w:proofErr w:type="gramEnd"/>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67" w:name="RTF38323930303a204669675469"/>
            <w:r w:rsidRPr="001A4D26">
              <w:rPr>
                <w:rFonts w:ascii="Arial" w:eastAsia="MS Mincho" w:hAnsi="Arial" w:cs="Arial"/>
                <w:b/>
                <w:bCs/>
                <w:color w:val="000000"/>
                <w:sz w:val="20"/>
                <w:szCs w:val="20"/>
              </w:rPr>
              <w:t>Transmit Power Envelope element format</w:t>
            </w:r>
            <w:bookmarkEnd w:id="67"/>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1E79DA68"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16652C9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TGbe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7D9D1BF9" w14:textId="16BCB816"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w:t>
      </w:r>
      <w:proofErr w:type="gramEnd"/>
      <w:r w:rsidR="001A4D26"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0F47235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372341BB"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5E9D7235" w14:textId="43BC928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TGbe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5E204325"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 xml:space="preserve">The format of the Extension Maximum Transmit Power field is defined in Figure 9-xxx (Extension Maximum Transmit Power field format if the Maximum Transmit Power Interpretation subfield is 0 or 2) if the Maximum Transmit Power Interpretation subfield is 0 or 2 and is the same as the Maximum Transmit Power field if </w:t>
      </w:r>
      <w:r w:rsidR="001A4D26" w:rsidRPr="001A4D26">
        <w:rPr>
          <w:rFonts w:ascii="Times New Roman" w:eastAsia="MS Mincho" w:hAnsi="Times New Roman" w:cs="Times New Roman"/>
          <w:color w:val="000000"/>
          <w:sz w:val="20"/>
          <w:szCs w:val="20"/>
        </w:rPr>
        <w:lastRenderedPageBreak/>
        <w:t>the Maximum Transmit Power Interpretation subfield is 1 or 3, as defined in Figure 9-617b (Maximum Transmit Power field format if the Maximum Transmit Power Interpretation subfield is 1 or 3).</w:t>
      </w:r>
    </w:p>
    <w:p w14:paraId="1D8B5FC1"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w:t>
      </w:r>
      <w:proofErr w:type="gramEnd"/>
      <w:r w:rsidR="001A4D26"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68" w:author="r1" w:date="2022-11-07T14:06:00Z">
        <w:r w:rsidR="00AE7ABE">
          <w:rPr>
            <w:rFonts w:ascii="Arial-BoldMT" w:eastAsia="SimSun" w:hAnsi="Arial-BoldMT" w:cs="Times New Roman"/>
            <w:b/>
            <w:bCs/>
            <w:color w:val="000000"/>
            <w:sz w:val="20"/>
            <w:szCs w:val="20"/>
            <w:lang w:val="en-GB"/>
          </w:rPr>
          <w:t>5</w:t>
        </w:r>
      </w:ins>
      <w:commentRangeStart w:id="69"/>
      <w:del w:id="70" w:author="r1" w:date="2022-11-07T14:06:00Z">
        <w:r w:rsidR="001A4D26" w:rsidRPr="001A4D26" w:rsidDel="00AE7ABE">
          <w:rPr>
            <w:rFonts w:ascii="Arial-BoldMT" w:eastAsia="SimSun" w:hAnsi="Arial-BoldMT" w:cs="Times New Roman"/>
            <w:b/>
            <w:bCs/>
            <w:color w:val="000000"/>
            <w:sz w:val="20"/>
            <w:szCs w:val="20"/>
            <w:lang w:val="en-GB"/>
          </w:rPr>
          <w:delText>6</w:delText>
        </w:r>
      </w:del>
      <w:commentRangeEnd w:id="69"/>
      <w:r w:rsidR="00593240">
        <w:rPr>
          <w:rStyle w:val="CommentReference"/>
        </w:rPr>
        <w:commentReference w:id="69"/>
      </w:r>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0F9185F6"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71"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the AP is announcing a </w:t>
      </w:r>
      <w:r w:rsidRPr="001A4D26">
        <w:rPr>
          <w:rFonts w:ascii="TimesNewRomanPSMT" w:eastAsia="SimSun" w:hAnsi="TimesNewRomanPSMT" w:cs="Times New Roman"/>
          <w:color w:val="000000"/>
          <w:sz w:val="20"/>
          <w:szCs w:val="20"/>
          <w:lang w:val="en-GB"/>
        </w:rPr>
        <w:t xml:space="preserve">BSS operating channel width </w:t>
      </w:r>
      <w:commentRangeStart w:id="72"/>
      <w:ins w:id="73"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74"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BSS operating channel width</w:t>
      </w:r>
      <w:ins w:id="75" w:author="Author">
        <w:r w:rsidR="001945D3">
          <w:rPr>
            <w:rFonts w:ascii="TimesNewRomanPSMT" w:eastAsia="SimSun" w:hAnsi="TimesNewRomanPSMT" w:cs="Times New Roman"/>
            <w:color w:val="000000"/>
            <w:sz w:val="20"/>
            <w:szCs w:val="20"/>
            <w:lang w:val="en-GB"/>
          </w:rPr>
          <w:t xml:space="preserve"> that it announces to non-EHT non-AP STAs</w:t>
        </w:r>
      </w:ins>
      <w:r w:rsidRPr="001A4D26">
        <w:rPr>
          <w:rFonts w:ascii="TimesNewRomanPSMT" w:eastAsia="SimSun" w:hAnsi="TimesNewRomanPSMT" w:cs="Times New Roman"/>
          <w:color w:val="000000"/>
          <w:sz w:val="20"/>
          <w:szCs w:val="20"/>
          <w:lang w:val="en-GB"/>
        </w:rPr>
        <w:t xml:space="preserve"> (see 35.1</w:t>
      </w:r>
      <w:del w:id="76" w:author="r1" w:date="2022-11-07T14:07:00Z">
        <w:r w:rsidRPr="001A4D26" w:rsidDel="00F25A64">
          <w:rPr>
            <w:rFonts w:ascii="TimesNewRomanPSMT" w:eastAsia="SimSun" w:hAnsi="TimesNewRomanPSMT" w:cs="Times New Roman"/>
            <w:color w:val="000000"/>
            <w:sz w:val="20"/>
            <w:szCs w:val="20"/>
            <w:lang w:val="en-GB"/>
          </w:rPr>
          <w:delText>6</w:delText>
        </w:r>
      </w:del>
      <w:ins w:id="77"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.1 Basic EHT BSS operation),</w:t>
      </w:r>
      <w:r w:rsidRPr="001A4D26">
        <w:rPr>
          <w:rFonts w:ascii="Times New Roman" w:eastAsia="MS Mincho" w:hAnsi="Times New Roman" w:cs="Times New Roman"/>
          <w:color w:val="000000"/>
          <w:sz w:val="20"/>
          <w:szCs w:val="20"/>
        </w:rPr>
        <w:t xml:space="preserve"> 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0ED61A15"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78"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79"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80" w:author="Author">
        <w:r w:rsidR="001945D3">
          <w:rPr>
            <w:rFonts w:ascii="TimesNewRomanPSMT" w:eastAsia="SimSun" w:hAnsi="TimesNewRomanPSMT" w:cs="Times New Roman"/>
            <w:color w:val="000000"/>
            <w:sz w:val="20"/>
            <w:szCs w:val="20"/>
            <w:lang w:val="en-GB"/>
          </w:rPr>
          <w:t>that it announces to non-EHT non-AP STAs</w:t>
        </w:r>
        <w:commentRangeEnd w:id="72"/>
        <w:r w:rsidR="001945D3">
          <w:rPr>
            <w:rStyle w:val="CommentReference"/>
          </w:rPr>
          <w:commentReference w:id="72"/>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81" w:author="r1" w:date="2022-11-07T14:07:00Z">
        <w:r w:rsidRPr="001A4D26" w:rsidDel="00F25A64">
          <w:rPr>
            <w:rFonts w:ascii="TimesNewRomanPSMT" w:eastAsia="SimSun" w:hAnsi="TimesNewRomanPSMT" w:cs="Times New Roman"/>
            <w:color w:val="000000"/>
            <w:sz w:val="20"/>
            <w:szCs w:val="20"/>
            <w:lang w:val="en-GB"/>
          </w:rPr>
          <w:delText>6</w:delText>
        </w:r>
      </w:del>
      <w:ins w:id="82"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 xml:space="preserve">the Maximum Transmit Power Interpretation subfield is 1 or 3 and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Count subfield is greater than 0.</w:t>
      </w:r>
    </w:p>
    <w:bookmarkEnd w:id="71"/>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lastRenderedPageBreak/>
        <w:t xml:space="preserve">In a Transmit Power Envelope element transmitted by an EHT AP with the Maximum Transmit Power Interpretation subfield set to 0 or 2, the 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6269A8C2" w14:textId="77777777" w:rsidR="001A4D26" w:rsidRPr="00C5212E" w:rsidRDefault="001A4D26"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1A4D26" w:rsidRPr="00C5212E"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1" w:date="2022-11-04T15:05:00Z" w:initials="r1">
    <w:p w14:paraId="7F7C45EB" w14:textId="77777777" w:rsidR="00D973E1" w:rsidRDefault="007851FD" w:rsidP="0027299D">
      <w:pPr>
        <w:pStyle w:val="CommentText"/>
      </w:pPr>
      <w:r>
        <w:rPr>
          <w:rStyle w:val="CommentReference"/>
        </w:rPr>
        <w:annotationRef/>
      </w:r>
      <w:r w:rsidR="00D973E1">
        <w:t>Revision based on Yongho's suggestion to align with existing text better</w:t>
      </w:r>
    </w:p>
  </w:comment>
  <w:comment w:id="69" w:author="r1" w:date="2022-11-07T14:08:00Z" w:initials="r1">
    <w:p w14:paraId="2FF83986" w14:textId="77777777" w:rsidR="00593240" w:rsidRDefault="00593240" w:rsidP="00E5420B">
      <w:pPr>
        <w:pStyle w:val="CommentText"/>
      </w:pPr>
      <w:r>
        <w:rPr>
          <w:rStyle w:val="CommentReference"/>
        </w:rPr>
        <w:annotationRef/>
      </w:r>
      <w:r>
        <w:t>To align with the new subclause number in D2.2</w:t>
      </w:r>
    </w:p>
  </w:comment>
  <w:comment w:id="72" w:author="Author" w:initials="A">
    <w:p w14:paraId="23225F1D" w14:textId="2CFACBE2" w:rsidR="00D14E1C" w:rsidRDefault="001945D3" w:rsidP="006E64EA">
      <w:pPr>
        <w:pStyle w:val="CommentText"/>
      </w:pPr>
      <w:r>
        <w:rPr>
          <w:rStyle w:val="CommentReference"/>
        </w:rPr>
        <w:annotationRef/>
      </w:r>
      <w:r w:rsidR="00D14E1C">
        <w:t xml:space="preserve">Revised for clarity. This is the only change compared text in </w:t>
      </w:r>
      <w:hyperlink r:id="rId1" w:history="1">
        <w:r w:rsidR="00D14E1C" w:rsidRPr="006E64EA">
          <w:rPr>
            <w:rStyle w:val="Hyperlink"/>
            <w:b/>
            <w:bCs/>
          </w:rPr>
          <w:t>22/1208</w:t>
        </w:r>
      </w:hyperlink>
      <w:r w:rsidR="00D14E1C">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C45EB" w15:done="0"/>
  <w15:commentEx w15:paraId="2FF83986" w15:done="0"/>
  <w15:commentEx w15:paraId="23225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A8B7" w16cex:dateUtc="2022-11-04T22:05:00Z"/>
  <w16cex:commentExtensible w16cex:durableId="27138FF0" w16cex:dateUtc="2022-11-0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C45EB" w16cid:durableId="270FA8B7"/>
  <w16cid:commentId w16cid:paraId="2FF83986" w16cid:durableId="27138FF0"/>
  <w16cid:commentId w16cid:paraId="23225F1D" w16cid:durableId="26EB12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2CC0" w14:textId="77777777" w:rsidR="000E6762" w:rsidRDefault="000E6762" w:rsidP="00766E54">
      <w:pPr>
        <w:spacing w:after="0" w:line="240" w:lineRule="auto"/>
      </w:pPr>
      <w:r>
        <w:separator/>
      </w:r>
    </w:p>
  </w:endnote>
  <w:endnote w:type="continuationSeparator" w:id="0">
    <w:p w14:paraId="0961CDD5" w14:textId="77777777" w:rsidR="000E6762" w:rsidRDefault="000E6762" w:rsidP="00766E54">
      <w:pPr>
        <w:spacing w:after="0" w:line="240" w:lineRule="auto"/>
      </w:pPr>
      <w:r>
        <w:continuationSeparator/>
      </w:r>
    </w:p>
  </w:endnote>
  <w:endnote w:type="continuationNotice" w:id="1">
    <w:p w14:paraId="211665EB" w14:textId="77777777" w:rsidR="000E6762" w:rsidRDefault="000E6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F895" w14:textId="77777777" w:rsidR="000E6762" w:rsidRDefault="000E6762" w:rsidP="00766E54">
      <w:pPr>
        <w:spacing w:after="0" w:line="240" w:lineRule="auto"/>
      </w:pPr>
      <w:r>
        <w:separator/>
      </w:r>
    </w:p>
  </w:footnote>
  <w:footnote w:type="continuationSeparator" w:id="0">
    <w:p w14:paraId="2EA07DC4" w14:textId="77777777" w:rsidR="000E6762" w:rsidRDefault="000E6762" w:rsidP="00766E54">
      <w:pPr>
        <w:spacing w:after="0" w:line="240" w:lineRule="auto"/>
      </w:pPr>
      <w:r>
        <w:continuationSeparator/>
      </w:r>
    </w:p>
  </w:footnote>
  <w:footnote w:type="continuationNotice" w:id="1">
    <w:p w14:paraId="166EB0F8" w14:textId="77777777" w:rsidR="000E6762" w:rsidRDefault="000E6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3E7FCA0" w:rsidR="007D6180" w:rsidRPr="00B21A42" w:rsidRDefault="00FA18D2" w:rsidP="00B21A42">
    <w:pPr>
      <w:pStyle w:val="Header"/>
      <w:pBdr>
        <w:bottom w:val="single" w:sz="8" w:space="1" w:color="auto"/>
      </w:pBdr>
      <w:tabs>
        <w:tab w:val="clear" w:pos="4680"/>
        <w:tab w:val="center" w:pos="8280"/>
      </w:tabs>
      <w:rPr>
        <w:sz w:val="28"/>
      </w:rPr>
    </w:pPr>
    <w:r>
      <w:rPr>
        <w:sz w:val="28"/>
      </w:rPr>
      <w:t>Sep</w:t>
    </w:r>
    <w:r w:rsidR="002F28E1">
      <w:rPr>
        <w:sz w:val="28"/>
      </w:rPr>
      <w:t xml:space="preserve"> 202</w:t>
    </w:r>
    <w:r w:rsidR="00864FA1">
      <w:rPr>
        <w:sz w:val="28"/>
      </w:rPr>
      <w:t>2</w:t>
    </w:r>
    <w:r w:rsidR="002F28E1">
      <w:rPr>
        <w:sz w:val="28"/>
      </w:rPr>
      <w:tab/>
      <w:t>IEEE P802.11-2</w:t>
    </w:r>
    <w:r w:rsidR="009D5F45">
      <w:rPr>
        <w:sz w:val="28"/>
      </w:rPr>
      <w:t>2</w:t>
    </w:r>
    <w:r w:rsidR="002F28E1">
      <w:rPr>
        <w:sz w:val="28"/>
      </w:rPr>
      <w:t>/</w:t>
    </w:r>
    <w:r w:rsidR="00EC0ED5">
      <w:rPr>
        <w:sz w:val="28"/>
      </w:rPr>
      <w:t>1</w:t>
    </w:r>
    <w:r>
      <w:rPr>
        <w:sz w:val="28"/>
      </w:rPr>
      <w:t>48</w:t>
    </w:r>
    <w:r w:rsidR="00332661">
      <w:rPr>
        <w:sz w:val="28"/>
      </w:rPr>
      <w:t>2</w:t>
    </w:r>
    <w:r w:rsidR="00864FA1">
      <w:rPr>
        <w:sz w:val="28"/>
      </w:rPr>
      <w:t>r</w:t>
    </w:r>
    <w:r w:rsidR="001F0AB6">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9"/>
  </w:num>
  <w:num w:numId="17" w16cid:durableId="131871079">
    <w:abstractNumId w:val="12"/>
  </w:num>
  <w:num w:numId="18" w16cid:durableId="1779793106">
    <w:abstractNumId w:val="10"/>
  </w:num>
  <w:num w:numId="19" w16cid:durableId="450561063">
    <w:abstractNumId w:val="8"/>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A14"/>
    <w:rsid w:val="00026D97"/>
    <w:rsid w:val="00027069"/>
    <w:rsid w:val="0002779A"/>
    <w:rsid w:val="0002783D"/>
    <w:rsid w:val="00030529"/>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6762"/>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02F"/>
    <w:rsid w:val="00182250"/>
    <w:rsid w:val="00182BCF"/>
    <w:rsid w:val="00182E94"/>
    <w:rsid w:val="00182FEF"/>
    <w:rsid w:val="00183574"/>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40D"/>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0A9"/>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4B2E"/>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6D9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206E"/>
    <w:rsid w:val="00BF2C81"/>
    <w:rsid w:val="00BF2D27"/>
    <w:rsid w:val="00BF2F12"/>
    <w:rsid w:val="00BF39FF"/>
    <w:rsid w:val="00BF3AC9"/>
    <w:rsid w:val="00BF40D2"/>
    <w:rsid w:val="00BF4CB4"/>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2766B"/>
    <w:rsid w:val="00C306CB"/>
    <w:rsid w:val="00C30854"/>
    <w:rsid w:val="00C30AE5"/>
    <w:rsid w:val="00C30C3A"/>
    <w:rsid w:val="00C30DFC"/>
    <w:rsid w:val="00C3114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1C55"/>
    <w:rsid w:val="00DC2507"/>
    <w:rsid w:val="00DC2567"/>
    <w:rsid w:val="00DC3351"/>
    <w:rsid w:val="00DC3494"/>
    <w:rsid w:val="00DC3FF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1222"/>
    <w:rsid w:val="00E113F6"/>
    <w:rsid w:val="00E11A21"/>
    <w:rsid w:val="00E11C81"/>
    <w:rsid w:val="00E11F7B"/>
    <w:rsid w:val="00E1255F"/>
    <w:rsid w:val="00E13520"/>
    <w:rsid w:val="00E135FE"/>
    <w:rsid w:val="00E1390D"/>
    <w:rsid w:val="00E13DA9"/>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967"/>
    <w:rsid w:val="00F37D51"/>
    <w:rsid w:val="00F4055D"/>
    <w:rsid w:val="00F4058F"/>
    <w:rsid w:val="00F40B2B"/>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ntor.ieee.org/802.11/dcn/21/11-21-1208-13-00be-cc36-resolution-for-cids-for-35-3-4-2.doc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1208-13-00be-cc36-resolution-for-cids-for-35-3-4-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r2</cp:lastModifiedBy>
  <cp:revision>37</cp:revision>
  <dcterms:created xsi:type="dcterms:W3CDTF">2022-11-01T17:37:00Z</dcterms:created>
  <dcterms:modified xsi:type="dcterms:W3CDTF">2022-11-14T07:13:00Z</dcterms:modified>
</cp:coreProperties>
</file>