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E7AEE6F" w:rsidR="00CA09B2" w:rsidRDefault="002C1619" w:rsidP="00EF44A7">
            <w:pPr>
              <w:pStyle w:val="T2"/>
            </w:pPr>
            <w:r>
              <w:t xml:space="preserve"> </w:t>
            </w:r>
            <w:r w:rsidR="001668A6">
              <w:t>“Obsolete</w:t>
            </w:r>
            <w:r w:rsidR="00EF44A7">
              <w:t xml:space="preserve"> Annex G?</w:t>
            </w:r>
            <w:r w:rsidR="001668A6"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7BBB63C" w:rsidR="00CA09B2" w:rsidRDefault="00CA09B2" w:rsidP="0080386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4E9EE86F" w14:textId="77777777" w:rsidR="00E240E8" w:rsidRDefault="00E2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4E9EE86F" w14:textId="77777777" w:rsidR="00E240E8" w:rsidRDefault="00E2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329"/>
        <w:gridCol w:w="1084"/>
        <w:gridCol w:w="809"/>
        <w:gridCol w:w="610"/>
        <w:gridCol w:w="3171"/>
        <w:gridCol w:w="2370"/>
      </w:tblGrid>
      <w:tr w:rsidR="001668A6" w14:paraId="7BEE70F3" w14:textId="77777777" w:rsidTr="00A25B61">
        <w:tc>
          <w:tcPr>
            <w:tcW w:w="725" w:type="dxa"/>
          </w:tcPr>
          <w:p w14:paraId="7F134892" w14:textId="26D22997" w:rsidR="001668A6" w:rsidRPr="00F03583" w:rsidRDefault="001668A6" w:rsidP="006F0F82"/>
        </w:tc>
        <w:tc>
          <w:tcPr>
            <w:tcW w:w="1357" w:type="dxa"/>
          </w:tcPr>
          <w:p w14:paraId="21D410D0" w14:textId="367E500F" w:rsidR="001668A6" w:rsidRPr="00F03583" w:rsidRDefault="001668A6" w:rsidP="006F0F82"/>
        </w:tc>
        <w:tc>
          <w:tcPr>
            <w:tcW w:w="1106" w:type="dxa"/>
          </w:tcPr>
          <w:p w14:paraId="5F95B422" w14:textId="4B5FD514" w:rsidR="001668A6" w:rsidRPr="00F03583" w:rsidRDefault="001668A6" w:rsidP="006F0F82"/>
        </w:tc>
        <w:tc>
          <w:tcPr>
            <w:tcW w:w="824" w:type="dxa"/>
          </w:tcPr>
          <w:p w14:paraId="0D2C5B84" w14:textId="31C771A7" w:rsidR="001668A6" w:rsidRPr="00F03583" w:rsidRDefault="001668A6" w:rsidP="001668A6"/>
        </w:tc>
        <w:tc>
          <w:tcPr>
            <w:tcW w:w="620" w:type="dxa"/>
          </w:tcPr>
          <w:p w14:paraId="3242D349" w14:textId="64E49F7D" w:rsidR="001668A6" w:rsidRPr="00F03583" w:rsidRDefault="001668A6" w:rsidP="006F0F82"/>
        </w:tc>
        <w:tc>
          <w:tcPr>
            <w:tcW w:w="3246" w:type="dxa"/>
          </w:tcPr>
          <w:p w14:paraId="79BF7E4A" w14:textId="036C1815" w:rsidR="001668A6" w:rsidRPr="00F03583" w:rsidRDefault="001668A6" w:rsidP="006F0F82"/>
        </w:tc>
        <w:tc>
          <w:tcPr>
            <w:tcW w:w="2424" w:type="dxa"/>
          </w:tcPr>
          <w:p w14:paraId="425CC495" w14:textId="6ECE825D" w:rsidR="001668A6" w:rsidRPr="00F03583" w:rsidRDefault="001668A6" w:rsidP="006F0F82"/>
        </w:tc>
      </w:tr>
      <w:tr w:rsidR="001668A6" w14:paraId="5A216151" w14:textId="77777777" w:rsidTr="00A25B61">
        <w:tc>
          <w:tcPr>
            <w:tcW w:w="725" w:type="dxa"/>
          </w:tcPr>
          <w:p w14:paraId="7B113654" w14:textId="0F2A1A2C" w:rsidR="001668A6" w:rsidRPr="00F03583" w:rsidRDefault="001668A6" w:rsidP="006F0F82"/>
        </w:tc>
        <w:tc>
          <w:tcPr>
            <w:tcW w:w="1357" w:type="dxa"/>
          </w:tcPr>
          <w:p w14:paraId="5E5E1BEA" w14:textId="0FAA3118" w:rsidR="001668A6" w:rsidRPr="00F03583" w:rsidRDefault="001668A6" w:rsidP="006F0F82"/>
        </w:tc>
        <w:tc>
          <w:tcPr>
            <w:tcW w:w="1106" w:type="dxa"/>
          </w:tcPr>
          <w:p w14:paraId="5B61D352" w14:textId="20239224" w:rsidR="001668A6" w:rsidRPr="00F03583" w:rsidRDefault="001668A6" w:rsidP="006F0F82"/>
        </w:tc>
        <w:tc>
          <w:tcPr>
            <w:tcW w:w="824" w:type="dxa"/>
          </w:tcPr>
          <w:p w14:paraId="52F4DF88" w14:textId="39482797" w:rsidR="001668A6" w:rsidRPr="00F03583" w:rsidRDefault="001668A6" w:rsidP="006F0F82"/>
        </w:tc>
        <w:tc>
          <w:tcPr>
            <w:tcW w:w="620" w:type="dxa"/>
          </w:tcPr>
          <w:p w14:paraId="34F0DCF9" w14:textId="55B91ADB" w:rsidR="001668A6" w:rsidRPr="00F03583" w:rsidRDefault="001668A6" w:rsidP="006F0F82"/>
        </w:tc>
        <w:tc>
          <w:tcPr>
            <w:tcW w:w="3246" w:type="dxa"/>
          </w:tcPr>
          <w:p w14:paraId="17305015" w14:textId="72A24189" w:rsidR="001668A6" w:rsidRPr="00F03583" w:rsidRDefault="001668A6" w:rsidP="006F0F82"/>
        </w:tc>
        <w:tc>
          <w:tcPr>
            <w:tcW w:w="2424" w:type="dxa"/>
          </w:tcPr>
          <w:p w14:paraId="337CE9C8" w14:textId="67924D09" w:rsidR="001668A6" w:rsidRPr="00F03583" w:rsidRDefault="001668A6" w:rsidP="006F0F82"/>
        </w:tc>
      </w:tr>
    </w:tbl>
    <w:p w14:paraId="5F925B25" w14:textId="38208581" w:rsidR="00CC6D6F" w:rsidRDefault="00CC6D6F" w:rsidP="00CC6D6F">
      <w:pPr>
        <w:rPr>
          <w:u w:val="single"/>
        </w:rPr>
      </w:pPr>
      <w:r>
        <w:rPr>
          <w:u w:val="single"/>
        </w:rPr>
        <w:t xml:space="preserve">At first look, it </w:t>
      </w:r>
      <w:r w:rsidR="00A25B61">
        <w:rPr>
          <w:u w:val="single"/>
        </w:rPr>
        <w:t xml:space="preserve">may </w:t>
      </w:r>
      <w:r>
        <w:rPr>
          <w:u w:val="single"/>
        </w:rPr>
        <w:t xml:space="preserve">seem obvious that we must keep Annex </w:t>
      </w:r>
      <w:proofErr w:type="spellStart"/>
      <w:r>
        <w:rPr>
          <w:u w:val="single"/>
        </w:rPr>
        <w:t>G as</w:t>
      </w:r>
      <w:proofErr w:type="spellEnd"/>
      <w:r>
        <w:rPr>
          <w:u w:val="single"/>
        </w:rPr>
        <w:t xml:space="preserve"> it meticulously defines all the packet exchanges and is normative.</w:t>
      </w:r>
    </w:p>
    <w:p w14:paraId="49461155" w14:textId="10EC4AF8" w:rsidR="00CC6D6F" w:rsidRDefault="00CC6D6F" w:rsidP="006F0F82">
      <w:pPr>
        <w:rPr>
          <w:u w:val="single"/>
        </w:rPr>
      </w:pPr>
      <w:proofErr w:type="gramStart"/>
      <w:r>
        <w:rPr>
          <w:u w:val="single"/>
        </w:rPr>
        <w:t>HOWEVER</w:t>
      </w:r>
      <w:proofErr w:type="gramEnd"/>
      <w:r>
        <w:rPr>
          <w:u w:val="single"/>
        </w:rPr>
        <w:t>….</w:t>
      </w:r>
    </w:p>
    <w:p w14:paraId="5404D11A" w14:textId="33292ECE" w:rsidR="00A25B61" w:rsidRDefault="00A25B61" w:rsidP="006F0F82">
      <w:pPr>
        <w:rPr>
          <w:u w:val="single"/>
        </w:rPr>
      </w:pPr>
    </w:p>
    <w:p w14:paraId="4DF5610A" w14:textId="682D75AF" w:rsidR="00821C0E" w:rsidRDefault="00821C0E" w:rsidP="006F0F82">
      <w:pPr>
        <w:rPr>
          <w:u w:val="single"/>
        </w:rPr>
      </w:pPr>
    </w:p>
    <w:p w14:paraId="6D9DE3D2" w14:textId="77777777" w:rsidR="00821C0E" w:rsidRDefault="00821C0E" w:rsidP="00821C0E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Arguments:</w:t>
      </w:r>
    </w:p>
    <w:p w14:paraId="558420B1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OK it’s nice and safe to be able to refer to Annex G every time we say “frame exchange” BUT there are 309 instances of “frame exchange” and only a handful of cases (14) does it refer to Annex G. </w:t>
      </w:r>
    </w:p>
    <w:p w14:paraId="7FD2B2E8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Nowhere is a reference made to a particular line or part of Annex G.</w:t>
      </w:r>
    </w:p>
    <w:p w14:paraId="1ADEBA24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5D39E2E7" w14:textId="654ECB6B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One could argue that we should be adding “(see Annex G)” in all these cases (or many of them) if Annex G was really required as the depository for how frame exchanges are carried out and which are valid.  </w:t>
      </w:r>
    </w:p>
    <w:p w14:paraId="005440C9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785C6DE5" w14:textId="319A6A52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If we look at each “frame exchange” reference, however, we see that there is no need to reference Annex G, so no problem if Annex G was deleted.</w:t>
      </w:r>
    </w:p>
    <w:p w14:paraId="04E5747E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6D059753" w14:textId="7D5C1242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Also:</w:t>
      </w:r>
    </w:p>
    <w:p w14:paraId="10C29C40" w14:textId="2F892F50" w:rsidR="00821C0E" w:rsidRDefault="00821C0E" w:rsidP="00821C0E">
      <w:pPr>
        <w:autoSpaceDE w:val="0"/>
        <w:autoSpaceDN w:val="0"/>
        <w:adjustRightInd w:val="0"/>
        <w:rPr>
          <w:b/>
          <w:lang w:val="en-US"/>
        </w:rPr>
      </w:pPr>
      <w:r>
        <w:rPr>
          <w:lang w:val="en-US"/>
        </w:rPr>
        <w:t xml:space="preserve">How sure are we that Annex G is complete and there is a good deal of doubt that it is accurate, inclusive and up to date?  </w:t>
      </w:r>
      <w:r w:rsidRPr="00A97E1E">
        <w:rPr>
          <w:b/>
          <w:lang w:val="en-US"/>
        </w:rPr>
        <w:t xml:space="preserve">At the </w:t>
      </w:r>
      <w:proofErr w:type="spellStart"/>
      <w:r w:rsidRPr="00A97E1E">
        <w:rPr>
          <w:b/>
          <w:lang w:val="en-US"/>
        </w:rPr>
        <w:t>the</w:t>
      </w:r>
      <w:proofErr w:type="spellEnd"/>
      <w:r w:rsidRPr="00A97E1E">
        <w:rPr>
          <w:b/>
          <w:lang w:val="en-US"/>
        </w:rPr>
        <w:t xml:space="preserve"> least, if we retain it, we need to investigate if it is indeed accurate and up to date.</w:t>
      </w:r>
    </w:p>
    <w:p w14:paraId="3CE8E45B" w14:textId="7A73FF17" w:rsidR="00B9154B" w:rsidRDefault="00B9154B" w:rsidP="00821C0E">
      <w:pPr>
        <w:autoSpaceDE w:val="0"/>
        <w:autoSpaceDN w:val="0"/>
        <w:adjustRightInd w:val="0"/>
        <w:rPr>
          <w:b/>
          <w:lang w:val="en-US"/>
        </w:rPr>
      </w:pPr>
    </w:p>
    <w:p w14:paraId="4F0E1E53" w14:textId="6A0297B3" w:rsidR="00B9154B" w:rsidRPr="00A97E1E" w:rsidRDefault="00B9154B" w:rsidP="00821C0E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POINTS</w:t>
      </w:r>
    </w:p>
    <w:p w14:paraId="3308A067" w14:textId="0996B28E" w:rsidR="00821C0E" w:rsidRDefault="00821C0E" w:rsidP="006F0F82">
      <w:pPr>
        <w:rPr>
          <w:u w:val="single"/>
        </w:rPr>
      </w:pPr>
    </w:p>
    <w:p w14:paraId="0F31D9F7" w14:textId="1EB16C04" w:rsidR="00A25B61" w:rsidRDefault="00821C0E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B19B4">
        <w:rPr>
          <w:rFonts w:asciiTheme="majorBidi" w:hAnsiTheme="majorBidi" w:cstheme="majorBidi"/>
          <w:sz w:val="20"/>
          <w:lang w:val="en-US"/>
        </w:rPr>
        <w:t xml:space="preserve"> </w:t>
      </w:r>
      <w:r w:rsidR="00A25B61" w:rsidRPr="00FB19B4">
        <w:rPr>
          <w:rFonts w:asciiTheme="majorBidi" w:hAnsiTheme="majorBidi" w:cstheme="majorBidi"/>
          <w:sz w:val="20"/>
          <w:lang w:val="en-US"/>
        </w:rPr>
        <w:t>“</w:t>
      </w:r>
      <w:r w:rsidR="00A25B61" w:rsidRPr="00FB19B4">
        <w:rPr>
          <w:rFonts w:asciiTheme="majorBidi" w:hAnsiTheme="majorBidi" w:cstheme="majorBidi"/>
          <w:b/>
          <w:bCs/>
          <w:sz w:val="20"/>
          <w:lang w:val="en-US" w:eastAsia="ja-JP" w:bidi="he-IL"/>
        </w:rPr>
        <w:t xml:space="preserve">frame exchange sequence: </w:t>
      </w:r>
      <w:r w:rsidR="00A25B61" w:rsidRPr="00FB19B4">
        <w:rPr>
          <w:rFonts w:asciiTheme="majorBidi" w:eastAsia="TimesNewRomanPSMT" w:hAnsiTheme="majorBidi" w:cstheme="majorBidi"/>
          <w:sz w:val="20"/>
          <w:lang w:val="en-US" w:eastAsia="ja-JP" w:bidi="he-IL"/>
        </w:rPr>
        <w:t>A sequence of frames specified by Annex G”</w:t>
      </w:r>
    </w:p>
    <w:p w14:paraId="6E9E6BC9" w14:textId="280CC099" w:rsidR="00A25B61" w:rsidRDefault="00A25B61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If not in Annex </w:t>
      </w:r>
      <w:proofErr w:type="gramStart"/>
      <w:r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>G</w:t>
      </w:r>
      <w:proofErr w:type="gramEnd"/>
      <w:r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th</w:t>
      </w:r>
      <w:r w:rsidR="002C1646"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>en</w:t>
      </w:r>
      <w:r w:rsid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by definition</w:t>
      </w:r>
      <w:r w:rsidR="002C1646"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it is not a valid sequence?  That’s dangerous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</w:t>
      </w:r>
    </w:p>
    <w:p w14:paraId="5C6A1CC6" w14:textId="535D860C" w:rsidR="002C1646" w:rsidRDefault="002C1646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We 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may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need a definition that explains that a “frame exchange sequence” is a finite set of frames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 OR we accept that the words are </w:t>
      </w:r>
      <w:proofErr w:type="spellStart"/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>self explanatory</w:t>
      </w:r>
      <w:proofErr w:type="spellEnd"/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 </w:t>
      </w:r>
    </w:p>
    <w:p w14:paraId="45EC66DB" w14:textId="511C51CA" w:rsidR="00B9154B" w:rsidRDefault="0003027F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B9154B">
        <w:rPr>
          <w:rFonts w:ascii="Arial" w:hAnsi="Arial" w:cs="Arial"/>
          <w:color w:val="202124"/>
          <w:sz w:val="21"/>
          <w:szCs w:val="21"/>
          <w:shd w:val="clear" w:color="auto" w:fill="FFFFFF"/>
        </w:rPr>
        <w:t>“sequence” - a particular order in which related events, movements, or things follow each other.</w:t>
      </w:r>
    </w:p>
    <w:p w14:paraId="2FDAE286" w14:textId="187FF757" w:rsidR="00B9154B" w:rsidRDefault="00943F8C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Maybe:</w:t>
      </w:r>
    </w:p>
    <w:p w14:paraId="7EF20B7C" w14:textId="34A30DCB" w:rsidR="0003027F" w:rsidRPr="00943F8C" w:rsidRDefault="0003027F" w:rsidP="006F0F82">
      <w:pPr>
        <w:rPr>
          <w:rFonts w:asciiTheme="majorBidi" w:eastAsia="TimesNewRomanPSMT" w:hAnsiTheme="majorBidi" w:cstheme="majorBidi"/>
          <w:b/>
          <w:i/>
          <w:sz w:val="20"/>
          <w:lang w:val="en-US" w:eastAsia="ja-JP" w:bidi="he-IL"/>
        </w:rPr>
      </w:pPr>
      <w:r w:rsidRPr="00943F8C">
        <w:rPr>
          <w:rFonts w:asciiTheme="majorBidi" w:eastAsia="TimesNewRomanPSMT" w:hAnsiTheme="majorBidi" w:cstheme="majorBidi"/>
          <w:b/>
          <w:i/>
          <w:sz w:val="20"/>
          <w:lang w:val="en-US" w:eastAsia="ja-JP" w:bidi="he-IL"/>
        </w:rPr>
        <w:t>“</w:t>
      </w:r>
      <w:r w:rsidR="00943F8C" w:rsidRPr="00943F8C">
        <w:rPr>
          <w:rFonts w:asciiTheme="majorBidi" w:eastAsia="TimesNewRomanPSMT" w:hAnsiTheme="majorBidi" w:cstheme="majorBidi"/>
          <w:b/>
          <w:i/>
          <w:sz w:val="20"/>
          <w:lang w:val="en-US" w:eastAsia="ja-JP" w:bidi="he-IL"/>
        </w:rPr>
        <w:t>frame exchange sequence - t</w:t>
      </w:r>
      <w:r w:rsidRPr="00943F8C">
        <w:rPr>
          <w:rFonts w:asciiTheme="majorBidi" w:eastAsia="TimesNewRomanPSMT" w:hAnsiTheme="majorBidi" w:cstheme="majorBidi"/>
          <w:b/>
          <w:i/>
          <w:sz w:val="20"/>
          <w:lang w:val="en-US" w:eastAsia="ja-JP" w:bidi="he-IL"/>
        </w:rPr>
        <w:t>he order in which particular frames are transmitted in order to complete an exchange.”</w:t>
      </w:r>
    </w:p>
    <w:p w14:paraId="3D430153" w14:textId="77777777" w:rsidR="00B9154B" w:rsidRDefault="00B9154B" w:rsidP="006F0F82">
      <w:pPr>
        <w:rPr>
          <w:u w:val="single"/>
        </w:rPr>
      </w:pPr>
    </w:p>
    <w:p w14:paraId="2013B58F" w14:textId="303AF128" w:rsidR="00CC6D6F" w:rsidRDefault="00CC6D6F" w:rsidP="006F0F82">
      <w:pPr>
        <w:rPr>
          <w:u w:val="single"/>
        </w:rPr>
      </w:pPr>
    </w:p>
    <w:p w14:paraId="604248E5" w14:textId="3C0B7752" w:rsidR="002C1646" w:rsidRDefault="002C1646" w:rsidP="006F0F82">
      <w:pPr>
        <w:rPr>
          <w:u w:val="single"/>
        </w:rPr>
      </w:pPr>
      <w:r>
        <w:rPr>
          <w:u w:val="single"/>
        </w:rPr>
        <w:t>A check through 802.11-2020</w:t>
      </w:r>
    </w:p>
    <w:p w14:paraId="3CDCA35B" w14:textId="2A98F34C" w:rsidR="00A25B61" w:rsidRDefault="00A25B61" w:rsidP="00715878">
      <w:r>
        <w:t>“frame exchange” 309 instances</w:t>
      </w:r>
      <w:r w:rsidR="00B9154B">
        <w:t xml:space="preserve">, of which </w:t>
      </w:r>
      <w:r>
        <w:t>“frame exchange sequence” 128</w:t>
      </w:r>
    </w:p>
    <w:p w14:paraId="0A04468E" w14:textId="11103548" w:rsidR="00A25B61" w:rsidRDefault="00A25B61" w:rsidP="00715878">
      <w:r>
        <w:t>“valid response” 4</w:t>
      </w:r>
    </w:p>
    <w:p w14:paraId="3AD09FC7" w14:textId="3B321D51" w:rsidR="00A25B61" w:rsidRDefault="00A25B61" w:rsidP="00715878">
      <w:r>
        <w:t>“see Annex G” 5 instances</w:t>
      </w:r>
    </w:p>
    <w:p w14:paraId="0C9B8B97" w14:textId="63DAC2D5" w:rsidR="00A25B61" w:rsidRDefault="00A25B61" w:rsidP="00715878">
      <w:r>
        <w:t>“in Annex G” 9 instances</w:t>
      </w:r>
    </w:p>
    <w:p w14:paraId="22F7B2C7" w14:textId="4C98E70B" w:rsidR="00A25B61" w:rsidRDefault="00A25B61" w:rsidP="00715878"/>
    <w:p w14:paraId="20E47B06" w14:textId="4CE02DA7" w:rsidR="00A25B61" w:rsidRDefault="00A25B61" w:rsidP="00715878"/>
    <w:p w14:paraId="4F4438FB" w14:textId="5F6CFCCF" w:rsidR="00A25B61" w:rsidRPr="00B9154B" w:rsidRDefault="002C1646" w:rsidP="00715878">
      <w:pPr>
        <w:rPr>
          <w:b/>
        </w:rPr>
      </w:pPr>
      <w:r w:rsidRPr="00B9154B">
        <w:rPr>
          <w:b/>
        </w:rPr>
        <w:t>“</w:t>
      </w:r>
      <w:r w:rsidR="00A25B61" w:rsidRPr="00B9154B">
        <w:rPr>
          <w:b/>
        </w:rPr>
        <w:t>See Annex G</w:t>
      </w:r>
      <w:r w:rsidRPr="00B9154B">
        <w:rPr>
          <w:b/>
        </w:rPr>
        <w:t>”</w:t>
      </w:r>
      <w:r w:rsidR="00B9154B">
        <w:rPr>
          <w:b/>
        </w:rPr>
        <w:t xml:space="preserve"> (5 instances)</w:t>
      </w:r>
    </w:p>
    <w:p w14:paraId="595C02C3" w14:textId="0F842F9F" w:rsidR="002C1646" w:rsidRDefault="002C1646" w:rsidP="00715878">
      <w:r>
        <w:t>In each of these ask yourself what happens if “see Annex G” is deleted?</w:t>
      </w:r>
    </w:p>
    <w:p w14:paraId="18A5D0C5" w14:textId="019594C2" w:rsidR="002C1646" w:rsidRDefault="002C1646" w:rsidP="00715878"/>
    <w:p w14:paraId="62788468" w14:textId="77777777" w:rsidR="002C1646" w:rsidRDefault="002C1646" w:rsidP="00715878"/>
    <w:p w14:paraId="7F945524" w14:textId="0C20AA17" w:rsidR="00A25B61" w:rsidRDefault="00A25B61" w:rsidP="00715878">
      <w:r>
        <w:t>9.2.4.1.7 P7</w:t>
      </w:r>
      <w:r w:rsidR="00943F8C">
        <w:t>8</w:t>
      </w:r>
      <w:r>
        <w:t>1.</w:t>
      </w:r>
      <w:r w:rsidR="00943F8C">
        <w:t>34</w:t>
      </w:r>
    </w:p>
    <w:p w14:paraId="4640FEE5" w14:textId="14E9A5B0" w:rsidR="00A25B61" w:rsidRPr="00B9154B" w:rsidRDefault="00A25B61" w:rsidP="002C1646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The Power Management subfield is used to indicate the power management mode of a STA.</w:t>
      </w:r>
      <w:r w:rsidR="002C1646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The subfield is either reserved (as defined below) or remains constant in each frame from a</w:t>
      </w:r>
      <w:r w:rsidR="002C1646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particular STA within a </w:t>
      </w:r>
      <w:r w:rsidRPr="00B9154B"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>frame exchange sequence (see Annex G).</w:t>
      </w:r>
    </w:p>
    <w:p w14:paraId="6F1D3677" w14:textId="2472D9A8" w:rsidR="002C1646" w:rsidRDefault="00943F8C" w:rsidP="00A25B61">
      <w:r>
        <w:t>“See Annex G” is superfluous anyhow, already in definition.  No new info at all.</w:t>
      </w:r>
    </w:p>
    <w:p w14:paraId="08BFF307" w14:textId="77777777" w:rsidR="00A25B61" w:rsidRDefault="00A25B61" w:rsidP="00715878"/>
    <w:p w14:paraId="595B92EC" w14:textId="650CC235" w:rsidR="00A25B61" w:rsidRDefault="002C1646" w:rsidP="00715878">
      <w:r>
        <w:t>P17</w:t>
      </w:r>
      <w:r w:rsidR="00943F8C">
        <w:t>16</w:t>
      </w:r>
      <w:r>
        <w:t>.</w:t>
      </w:r>
      <w:r w:rsidR="00943F8C">
        <w:t>11</w:t>
      </w:r>
    </w:p>
    <w:p w14:paraId="6726E726" w14:textId="72B7FD38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recognition of a valid CTS frame sent by the recipient of the RTS frame, corresponding to this PHY-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RXEND.indication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primitive, shall be interpreted as successful response, permitting the </w:t>
      </w:r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>frame exchange sequence to continue (see Annex G).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The recognition of anything else</w:t>
      </w:r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>, including any other valid frame</w:t>
      </w:r>
      <w:r>
        <w:rPr>
          <w:rFonts w:ascii="TimesNewRomanPSMT" w:eastAsia="TimesNewRomanPSMT" w:cs="TimesNewRomanPSMT"/>
          <w:sz w:val="20"/>
          <w:lang w:val="en-US" w:eastAsia="ja-JP"/>
        </w:rPr>
        <w:t>, shall be interpreted as failure of the RTS frame</w:t>
      </w:r>
    </w:p>
    <w:p w14:paraId="3F9B5C1F" w14:textId="6CD5C006" w:rsidR="002C1646" w:rsidRDefault="002C1646" w:rsidP="002C1646">
      <w:pPr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lastRenderedPageBreak/>
        <w:t>transmission.</w:t>
      </w:r>
    </w:p>
    <w:p w14:paraId="5F349B84" w14:textId="40A5DBAC" w:rsidR="00943F8C" w:rsidRDefault="00943F8C" w:rsidP="002C1646">
      <w:r>
        <w:rPr>
          <w:rFonts w:ascii="TimesNewRomanPSMT" w:eastAsia="TimesNewRomanPSMT" w:cs="TimesNewRomanPSMT"/>
          <w:sz w:val="20"/>
          <w:lang w:val="en-US" w:eastAsia="ja-JP"/>
        </w:rPr>
        <w:t xml:space="preserve">Here </w:t>
      </w:r>
      <w:r>
        <w:rPr>
          <w:rFonts w:ascii="TimesNewRomanPSMT" w:eastAsia="TimesNewRomanPSMT" w:cs="TimesNewRomanPSMT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valid frame</w:t>
      </w:r>
      <w:r>
        <w:rPr>
          <w:rFonts w:ascii="TimesNewRomanPSMT" w:eastAsia="TimesNewRomanPSMT" w:cs="TimesNewRomanPSMT"/>
          <w:sz w:val="20"/>
          <w:lang w:val="en-US" w:eastAsia="ja-JP"/>
        </w:rPr>
        <w:t>”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is referring to a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valdi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802.11 frame, not a frame in a sequence.  </w:t>
      </w:r>
    </w:p>
    <w:p w14:paraId="7A029E10" w14:textId="65C3B804" w:rsidR="00A25B61" w:rsidRDefault="00A25B61" w:rsidP="00715878"/>
    <w:p w14:paraId="20776CDD" w14:textId="69EBA285" w:rsidR="00A25B61" w:rsidRDefault="002C1646" w:rsidP="00715878">
      <w:r>
        <w:t>P17</w:t>
      </w:r>
      <w:r w:rsidR="00943F8C">
        <w:t>20</w:t>
      </w:r>
      <w:r>
        <w:t>.</w:t>
      </w:r>
      <w:r w:rsidR="00943F8C">
        <w:t>31</w:t>
      </w:r>
    </w:p>
    <w:p w14:paraId="600A7CA2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After transmitting an </w:t>
      </w:r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 xml:space="preserve">MPDU that requires an </w:t>
      </w:r>
      <w:proofErr w:type="spellStart"/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>Ack</w:t>
      </w:r>
      <w:proofErr w:type="spellEnd"/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 xml:space="preserve"> or </w:t>
      </w:r>
      <w:proofErr w:type="spellStart"/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>BlockAck</w:t>
      </w:r>
      <w:proofErr w:type="spellEnd"/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 xml:space="preserve"> frame as a response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(see Annex G), the STA</w:t>
      </w:r>
    </w:p>
    <w:p w14:paraId="25763984" w14:textId="7B61F7A2" w:rsidR="00A25B61" w:rsidRDefault="002C1646" w:rsidP="002C1646">
      <w:pPr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shall wait for an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AckTimeout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interval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</w:p>
    <w:p w14:paraId="7865F683" w14:textId="5832C1AB" w:rsidR="00943F8C" w:rsidRDefault="00943F8C" w:rsidP="002C1646">
      <w:pPr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If we do not believe that the rules for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or BA are spelt out, then do we go rushing to Annex G to see?  I argue nothing lost if deleted.</w:t>
      </w:r>
    </w:p>
    <w:p w14:paraId="3F459046" w14:textId="77777777" w:rsidR="00943F8C" w:rsidRDefault="00943F8C" w:rsidP="002C1646"/>
    <w:p w14:paraId="085D751E" w14:textId="79C86D1F" w:rsidR="002C1646" w:rsidRDefault="002C1646" w:rsidP="00715878"/>
    <w:p w14:paraId="190F47D5" w14:textId="6D7DD204" w:rsidR="002C1646" w:rsidRDefault="002C1646" w:rsidP="00715878">
      <w:r>
        <w:t>P18</w:t>
      </w:r>
      <w:r w:rsidR="00943F8C">
        <w:t>02</w:t>
      </w:r>
      <w:r>
        <w:t>.</w:t>
      </w:r>
      <w:r w:rsidR="005F6C74">
        <w:t>53</w:t>
      </w:r>
    </w:p>
    <w:p w14:paraId="77BA56BF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a PHY-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RXSTART.indication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primitive does occur during the timeout interval, the STA shall</w:t>
      </w:r>
    </w:p>
    <w:p w14:paraId="429ECE3B" w14:textId="77777777" w:rsidR="002C1646" w:rsidRPr="00B9154B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u w:val="single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wait for the corresponding PHY-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RXEND.indication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primitive to recognize a </w:t>
      </w:r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>valid response</w:t>
      </w:r>
    </w:p>
    <w:p w14:paraId="615A7630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MPDU (see Annex G) that either does not have a TA field or is sent by the recipient of the</w:t>
      </w:r>
    </w:p>
    <w:p w14:paraId="6674F796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MPDU requiring a response. If anything else, including any other valid frame, is recognized,</w:t>
      </w:r>
    </w:p>
    <w:p w14:paraId="038F55FC" w14:textId="304B21C4" w:rsidR="002C1646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the transmission of the MPDU has failed.</w:t>
      </w:r>
    </w:p>
    <w:p w14:paraId="1DD7557F" w14:textId="3555ACB5" w:rsidR="002C1646" w:rsidRPr="00A6496C" w:rsidRDefault="00943F8C" w:rsidP="00715878">
      <w:pPr>
        <w:rPr>
          <w:i/>
        </w:rPr>
      </w:pPr>
      <w:r w:rsidRPr="00A6496C">
        <w:rPr>
          <w:i/>
        </w:rPr>
        <w:t xml:space="preserve">Actually I think this is possibly wrong.  </w:t>
      </w:r>
    </w:p>
    <w:p w14:paraId="0099C11F" w14:textId="6213369B" w:rsidR="00943F8C" w:rsidRDefault="00943F8C" w:rsidP="00715878"/>
    <w:p w14:paraId="1622B5F9" w14:textId="77777777" w:rsidR="00943F8C" w:rsidRDefault="00943F8C" w:rsidP="00715878"/>
    <w:p w14:paraId="03D6AFD7" w14:textId="17FA1606" w:rsidR="002C1646" w:rsidRDefault="00EC555E" w:rsidP="00715878">
      <w:r>
        <w:t>P18</w:t>
      </w:r>
      <w:r w:rsidR="005F6C74">
        <w:t>12</w:t>
      </w:r>
      <w:r>
        <w:t>.</w:t>
      </w:r>
      <w:r w:rsidR="005F6C74">
        <w:t>13</w:t>
      </w:r>
    </w:p>
    <w:p w14:paraId="210CBAC8" w14:textId="77777777" w:rsidR="00EC555E" w:rsidRDefault="00EC555E" w:rsidP="00EC555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After a </w:t>
      </w:r>
      <w:r w:rsidRPr="00B9154B">
        <w:rPr>
          <w:rFonts w:ascii="TimesNewRomanPSMT" w:eastAsia="TimesNewRomanPSMT" w:cs="TimesNewRomanPSMT"/>
          <w:sz w:val="20"/>
          <w:u w:val="single"/>
          <w:lang w:val="en-US" w:eastAsia="ja-JP"/>
        </w:rPr>
        <w:t>valid response (see Annex G</w:t>
      </w:r>
      <w:r>
        <w:rPr>
          <w:rFonts w:ascii="TimesNewRomanPSMT" w:eastAsia="TimesNewRomanPSMT" w:cs="TimesNewRomanPSMT"/>
          <w:sz w:val="20"/>
          <w:lang w:val="en-US" w:eastAsia="ja-JP"/>
        </w:rPr>
        <w:t>) to the initial frame of a TXOP, if the Duration/ID field is set for multiple</w:t>
      </w:r>
    </w:p>
    <w:p w14:paraId="6EECA791" w14:textId="02D6EF72" w:rsidR="00EC555E" w:rsidRDefault="00EC555E" w:rsidP="00EC555E">
      <w:r>
        <w:rPr>
          <w:rFonts w:ascii="TimesNewRomanPSMT" w:eastAsia="TimesNewRomanPSMT" w:cs="TimesNewRomanPSMT"/>
          <w:sz w:val="20"/>
          <w:lang w:val="en-US" w:eastAsia="ja-JP"/>
        </w:rPr>
        <w:t>frame transmission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</w:p>
    <w:p w14:paraId="02A15939" w14:textId="77777777" w:rsidR="002C1646" w:rsidRDefault="002C1646" w:rsidP="00715878"/>
    <w:p w14:paraId="08677113" w14:textId="68CCF275" w:rsidR="00175A5F" w:rsidRPr="00B9154B" w:rsidRDefault="00B9154B" w:rsidP="006F0F82">
      <w:pPr>
        <w:rPr>
          <w:b/>
          <w:u w:val="single"/>
        </w:rPr>
      </w:pPr>
      <w:r>
        <w:rPr>
          <w:b/>
          <w:u w:val="single"/>
        </w:rPr>
        <w:t>“</w:t>
      </w:r>
      <w:r w:rsidRPr="00B9154B">
        <w:rPr>
          <w:b/>
          <w:u w:val="single"/>
        </w:rPr>
        <w:t>in Annex G</w:t>
      </w:r>
      <w:r>
        <w:rPr>
          <w:b/>
          <w:u w:val="single"/>
        </w:rPr>
        <w:t>” (9 Instances)</w:t>
      </w:r>
    </w:p>
    <w:p w14:paraId="56C02802" w14:textId="2954AD62" w:rsidR="00525AA3" w:rsidRDefault="00175A5F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  <w:r w:rsidRPr="00803866">
        <w:rPr>
          <w:b/>
          <w:i/>
          <w:sz w:val="20"/>
          <w:szCs w:val="18"/>
        </w:rPr>
        <w:t>W</w:t>
      </w:r>
      <w:r w:rsidR="005D4FF0" w:rsidRPr="00803866">
        <w:rPr>
          <w:b/>
          <w:i/>
          <w:sz w:val="20"/>
          <w:szCs w:val="18"/>
        </w:rPr>
        <w:t xml:space="preserve">e also have </w:t>
      </w:r>
      <w:r w:rsidR="00525AA3" w:rsidRPr="00803866">
        <w:rPr>
          <w:b/>
          <w:i/>
          <w:sz w:val="20"/>
          <w:szCs w:val="18"/>
        </w:rPr>
        <w:t>“in Annex G</w:t>
      </w:r>
      <w:proofErr w:type="gramStart"/>
      <w:r w:rsidR="00525AA3" w:rsidRPr="00803866">
        <w:rPr>
          <w:b/>
          <w:i/>
          <w:sz w:val="20"/>
          <w:szCs w:val="18"/>
        </w:rPr>
        <w:t>”</w:t>
      </w:r>
      <w:r w:rsidR="00803866" w:rsidRPr="00803866">
        <w:rPr>
          <w:b/>
          <w:i/>
          <w:sz w:val="20"/>
          <w:szCs w:val="18"/>
        </w:rPr>
        <w:t>,,</w:t>
      </w:r>
      <w:proofErr w:type="gramEnd"/>
      <w:r w:rsidR="00803866" w:rsidRPr="00803866">
        <w:rPr>
          <w:b/>
          <w:i/>
          <w:sz w:val="20"/>
          <w:szCs w:val="18"/>
        </w:rPr>
        <w:t xml:space="preserve"> look at each and ask oneself what effect is of deleting.  One question is “where in Annex G???</w:t>
      </w:r>
    </w:p>
    <w:p w14:paraId="308C5DDF" w14:textId="77777777" w:rsidR="00803866" w:rsidRPr="00803866" w:rsidRDefault="00803866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</w:p>
    <w:p w14:paraId="77C341F3" w14:textId="58DC3CF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P17</w:t>
      </w:r>
      <w:r w:rsidR="005F6C74">
        <w:rPr>
          <w:sz w:val="20"/>
          <w:szCs w:val="18"/>
          <w:u w:val="single"/>
        </w:rPr>
        <w:t>33</w:t>
      </w:r>
      <w:r>
        <w:rPr>
          <w:sz w:val="20"/>
          <w:szCs w:val="18"/>
          <w:u w:val="single"/>
        </w:rPr>
        <w:t>.1</w:t>
      </w:r>
      <w:r w:rsidR="005F6C74">
        <w:rPr>
          <w:sz w:val="20"/>
          <w:szCs w:val="18"/>
          <w:u w:val="single"/>
        </w:rPr>
        <w:t>9</w:t>
      </w:r>
    </w:p>
    <w:p w14:paraId="39091B6C" w14:textId="0B1E5A3E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 retry is defined as the entire sequence of frames sent, separated by SIFSs, in an attempt to deliver an MPDU, as described in Annex G</w:t>
      </w:r>
    </w:p>
    <w:p w14:paraId="2678A0A4" w14:textId="2E02C55E" w:rsidR="005F6C74" w:rsidRPr="00A6496C" w:rsidRDefault="005F6C74" w:rsidP="00803866">
      <w:pPr>
        <w:autoSpaceDE w:val="0"/>
        <w:autoSpaceDN w:val="0"/>
        <w:adjustRightInd w:val="0"/>
        <w:rPr>
          <w:i/>
          <w:sz w:val="20"/>
          <w:szCs w:val="18"/>
        </w:rPr>
      </w:pPr>
      <w:r w:rsidRPr="00A6496C">
        <w:rPr>
          <w:i/>
          <w:sz w:val="20"/>
          <w:szCs w:val="18"/>
        </w:rPr>
        <w:t>Is “retry” described in Annex G?</w:t>
      </w:r>
    </w:p>
    <w:p w14:paraId="73E8D558" w14:textId="708E313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1A02BB89" w14:textId="5B284640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P17</w:t>
      </w:r>
      <w:r w:rsidR="005F6C74">
        <w:rPr>
          <w:sz w:val="20"/>
          <w:szCs w:val="18"/>
          <w:u w:val="single"/>
        </w:rPr>
        <w:t>37</w:t>
      </w:r>
      <w:r>
        <w:rPr>
          <w:sz w:val="20"/>
          <w:szCs w:val="18"/>
          <w:u w:val="single"/>
        </w:rPr>
        <w:t>.</w:t>
      </w:r>
      <w:r w:rsidR="005F6C74">
        <w:rPr>
          <w:sz w:val="20"/>
          <w:szCs w:val="18"/>
          <w:u w:val="single"/>
        </w:rPr>
        <w:t>47</w:t>
      </w:r>
    </w:p>
    <w:p w14:paraId="26AE8804" w14:textId="669BD9DD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Under DCF, error recovery is always the responsibility of the STA that initiates a frame exchange sequence (described in Annex G).</w:t>
      </w:r>
    </w:p>
    <w:p w14:paraId="0401E6D4" w14:textId="3CD7B4F4" w:rsidR="005F6C74" w:rsidRPr="00A6496C" w:rsidRDefault="005F6C74" w:rsidP="00803866">
      <w:pPr>
        <w:autoSpaceDE w:val="0"/>
        <w:autoSpaceDN w:val="0"/>
        <w:adjustRightInd w:val="0"/>
        <w:rPr>
          <w:rFonts w:ascii="TimesNewRomanPSMT" w:eastAsia="TimesNewRomanPSMT" w:cs="TimesNewRomanPSMT"/>
          <w:i/>
          <w:sz w:val="20"/>
          <w:lang w:val="en-US" w:eastAsia="ja-JP"/>
        </w:rPr>
      </w:pPr>
      <w:r w:rsidRPr="00A6496C">
        <w:rPr>
          <w:rFonts w:ascii="TimesNewRomanPSMT" w:eastAsia="TimesNewRomanPSMT" w:cs="TimesNewRomanPSMT"/>
          <w:i/>
          <w:sz w:val="20"/>
          <w:lang w:val="en-US" w:eastAsia="ja-JP"/>
        </w:rPr>
        <w:t xml:space="preserve">Error recovery is not described in Annex G.  </w:t>
      </w:r>
    </w:p>
    <w:p w14:paraId="1BCE0683" w14:textId="77777777" w:rsidR="005F6C74" w:rsidRDefault="005F6C74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67947EF" w14:textId="0D0474D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F027321" w14:textId="0189486F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P20</w:t>
      </w:r>
      <w:r w:rsidR="005F6C74">
        <w:rPr>
          <w:sz w:val="20"/>
          <w:szCs w:val="18"/>
          <w:u w:val="single"/>
        </w:rPr>
        <w:t>48</w:t>
      </w:r>
      <w:r>
        <w:rPr>
          <w:sz w:val="20"/>
          <w:szCs w:val="18"/>
          <w:u w:val="single"/>
        </w:rPr>
        <w:t>.</w:t>
      </w:r>
      <w:r w:rsidR="005F6C74">
        <w:rPr>
          <w:sz w:val="20"/>
          <w:szCs w:val="18"/>
          <w:u w:val="single"/>
        </w:rPr>
        <w:t>7</w:t>
      </w:r>
    </w:p>
    <w:p w14:paraId="62C2B5F7" w14:textId="7A19C90C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For each frame received at the RDS during the SP, the RDS shall follow the same rules for frame exchange sequences as described in Annex G and 10.39 (DMG and CMMG(11aj) channel access).</w:t>
      </w:r>
    </w:p>
    <w:p w14:paraId="25032EDE" w14:textId="6BB3F13C" w:rsidR="00803866" w:rsidRPr="00A6496C" w:rsidRDefault="005F6C74" w:rsidP="00175A5F">
      <w:pPr>
        <w:autoSpaceDE w:val="0"/>
        <w:autoSpaceDN w:val="0"/>
        <w:adjustRightInd w:val="0"/>
        <w:rPr>
          <w:i/>
          <w:sz w:val="20"/>
          <w:szCs w:val="18"/>
        </w:rPr>
      </w:pPr>
      <w:r w:rsidRPr="00A6496C">
        <w:rPr>
          <w:i/>
          <w:sz w:val="20"/>
          <w:szCs w:val="18"/>
        </w:rPr>
        <w:t>If it is 10.39, why look in Annex G.  Are they different?</w:t>
      </w:r>
    </w:p>
    <w:p w14:paraId="13E25519" w14:textId="318D4332" w:rsidR="005F6C74" w:rsidRDefault="005F6C74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13579C0D" w14:textId="77777777" w:rsidR="005F6C74" w:rsidRDefault="005F6C74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2280201" w14:textId="0CE8967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P2169.19</w:t>
      </w:r>
    </w:p>
    <w:p w14:paraId="74E68949" w14:textId="329D5CA2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STA shall remain in its current power management mode until it informs the AP of a power management mode change</w:t>
      </w:r>
    </w:p>
    <w:p w14:paraId="74B3258F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via a frame exchange that includes an acknowledgment from the AP. Power management mode shall not</w:t>
      </w:r>
    </w:p>
    <w:p w14:paraId="433AE2A8" w14:textId="17B4C30E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change during any single frame exchange sequence, as described in Annex G.</w:t>
      </w:r>
    </w:p>
    <w:p w14:paraId="249465CF" w14:textId="6582BD8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3AD5B33" w14:textId="77777777" w:rsidR="00A6496C" w:rsidRDefault="00A6496C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26E5728" w14:textId="6EB75590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P21</w:t>
      </w:r>
      <w:r w:rsidR="005F6C74">
        <w:rPr>
          <w:sz w:val="20"/>
          <w:szCs w:val="18"/>
          <w:u w:val="single"/>
        </w:rPr>
        <w:t>5</w:t>
      </w:r>
      <w:r>
        <w:rPr>
          <w:sz w:val="20"/>
          <w:szCs w:val="18"/>
          <w:u w:val="single"/>
        </w:rPr>
        <w:t>1.</w:t>
      </w:r>
      <w:r w:rsidR="005F6C74">
        <w:rPr>
          <w:sz w:val="20"/>
          <w:szCs w:val="18"/>
          <w:u w:val="single"/>
        </w:rPr>
        <w:t>50</w:t>
      </w:r>
    </w:p>
    <w:p w14:paraId="707A3ADA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To change power management modes a STA shall inform the AP by completing a successful frame exchange</w:t>
      </w:r>
    </w:p>
    <w:p w14:paraId="1C30B682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(as described in Annex G) that is initiated by the STA. This frame exchange shall include a Management</w:t>
      </w:r>
    </w:p>
    <w:p w14:paraId="66CE27EA" w14:textId="13D64FB4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frame, Extension frame or Data frame from the STA, and an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or a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frame from the AP.</w:t>
      </w:r>
    </w:p>
    <w:p w14:paraId="74DD1144" w14:textId="2086EEE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386F538" w14:textId="49D41479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</w:t>
      </w:r>
      <w:r w:rsidR="005F6C74">
        <w:rPr>
          <w:sz w:val="20"/>
          <w:szCs w:val="18"/>
          <w:u w:val="single"/>
        </w:rPr>
        <w:t>185</w:t>
      </w:r>
      <w:r>
        <w:rPr>
          <w:sz w:val="20"/>
          <w:szCs w:val="18"/>
          <w:u w:val="single"/>
        </w:rPr>
        <w:t>.</w:t>
      </w:r>
      <w:r w:rsidR="005F6C74">
        <w:rPr>
          <w:sz w:val="20"/>
          <w:szCs w:val="18"/>
          <w:u w:val="single"/>
        </w:rPr>
        <w:t>51</w:t>
      </w:r>
    </w:p>
    <w:p w14:paraId="7789E1CD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MM-SME Power Mode field within the MMS element sent by an MM-SME coordinated STA is 1, all</w:t>
      </w:r>
    </w:p>
    <w:p w14:paraId="7FA87D9D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STAs advertised in the MMS element shall switch to the doze state when the wakeup schedule of any one STA</w:t>
      </w:r>
    </w:p>
    <w:p w14:paraId="745420C4" w14:textId="7DE7F1E2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lastRenderedPageBreak/>
        <w:t>or a successful frame exchange as described in Annex G brings the STA to the doze state.</w:t>
      </w:r>
    </w:p>
    <w:p w14:paraId="1B6BCA15" w14:textId="1D55FE8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0711BE10" w14:textId="154D6A4D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</w:t>
      </w:r>
      <w:r w:rsidR="005F6C74">
        <w:rPr>
          <w:sz w:val="20"/>
          <w:szCs w:val="18"/>
          <w:u w:val="single"/>
        </w:rPr>
        <w:t>185</w:t>
      </w:r>
      <w:r>
        <w:rPr>
          <w:sz w:val="20"/>
          <w:szCs w:val="18"/>
          <w:u w:val="single"/>
        </w:rPr>
        <w:t>.5</w:t>
      </w:r>
      <w:r w:rsidR="005F6C74">
        <w:rPr>
          <w:sz w:val="20"/>
          <w:szCs w:val="18"/>
          <w:u w:val="single"/>
        </w:rPr>
        <w:t>6</w:t>
      </w:r>
    </w:p>
    <w:p w14:paraId="43178CD7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MM-SME Power Mode field within the MMS element sent by an MM-SME coordinated STA is 0, all</w:t>
      </w:r>
    </w:p>
    <w:p w14:paraId="7982DBE2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STAs advertised in the MMS element shall switch to the awake state when the wakeup schedule of any one</w:t>
      </w:r>
    </w:p>
    <w:p w14:paraId="5AB253DB" w14:textId="2C3A6DC1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 or a successful frame exchange as described in Annex G brings the STA to the awake state.</w:t>
      </w:r>
    </w:p>
    <w:p w14:paraId="59693FED" w14:textId="26F9A75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(where in Annex G????)</w:t>
      </w:r>
    </w:p>
    <w:p w14:paraId="0352A01C" w14:textId="7F36AAB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F40B733" w14:textId="7701861F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</w:t>
      </w:r>
      <w:r w:rsidR="005F6C74">
        <w:rPr>
          <w:sz w:val="20"/>
          <w:szCs w:val="18"/>
          <w:u w:val="single"/>
        </w:rPr>
        <w:t>186.56</w:t>
      </w:r>
    </w:p>
    <w:p w14:paraId="04FA5006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To change its power state without a wakeup schedule, a non-AP and non-PCP STA shall inform the AP or PCP</w:t>
      </w:r>
    </w:p>
    <w:p w14:paraId="11DCA444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by completing a successful frame exchange (as described in Annex G) that is initiated by the STA and that</w:t>
      </w:r>
    </w:p>
    <w:p w14:paraId="58966D03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includes a Management frame, Extension frame or Data frame, and also an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or a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frame from the</w:t>
      </w:r>
    </w:p>
    <w:p w14:paraId="5AE232A8" w14:textId="1DE101A8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AP or PCP.</w:t>
      </w:r>
    </w:p>
    <w:p w14:paraId="1FE384D1" w14:textId="6564DFF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9F19778" w14:textId="77BF091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</w:t>
      </w:r>
      <w:r w:rsidR="005F6C74">
        <w:rPr>
          <w:sz w:val="20"/>
          <w:szCs w:val="18"/>
          <w:u w:val="single"/>
        </w:rPr>
        <w:t>190</w:t>
      </w:r>
      <w:r>
        <w:rPr>
          <w:sz w:val="20"/>
          <w:szCs w:val="18"/>
          <w:u w:val="single"/>
        </w:rPr>
        <w:t>.3</w:t>
      </w:r>
      <w:r w:rsidR="005F6C74">
        <w:rPr>
          <w:sz w:val="20"/>
          <w:szCs w:val="18"/>
          <w:u w:val="single"/>
        </w:rPr>
        <w:t>7</w:t>
      </w:r>
    </w:p>
    <w:p w14:paraId="64137A3F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Alternatively, to change its power state without a wakeup schedule, the PCP shall inform all associated STAs</w:t>
      </w:r>
    </w:p>
    <w:p w14:paraId="5A45BB85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by completing a successful frame exchange (as described in Annex G) that is initiated by the PCP and that</w:t>
      </w:r>
    </w:p>
    <w:p w14:paraId="4037C817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includes a Management frame, Extension frame or Data frame, and also an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or a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frame from the</w:t>
      </w:r>
    </w:p>
    <w:p w14:paraId="53512800" w14:textId="3703EDFA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associated STA.</w:t>
      </w:r>
    </w:p>
    <w:p w14:paraId="20B1B7D1" w14:textId="7A73E02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5D867195" w14:textId="36C613C7" w:rsidR="00525AA3" w:rsidRDefault="00525AA3" w:rsidP="00525AA3">
      <w:pPr>
        <w:autoSpaceDE w:val="0"/>
        <w:autoSpaceDN w:val="0"/>
        <w:adjustRightInd w:val="0"/>
        <w:rPr>
          <w:u w:val="single"/>
          <w:lang w:val="en-US"/>
        </w:rPr>
      </w:pPr>
    </w:p>
    <w:p w14:paraId="67F17A07" w14:textId="7CF40DE2" w:rsidR="00803866" w:rsidRDefault="00821C0E" w:rsidP="00525AA3">
      <w:pPr>
        <w:autoSpaceDE w:val="0"/>
        <w:autoSpaceDN w:val="0"/>
        <w:adjustRightInd w:val="0"/>
        <w:rPr>
          <w:b/>
          <w:u w:val="single"/>
          <w:lang w:val="en-US"/>
        </w:rPr>
      </w:pPr>
      <w:r w:rsidRPr="00B9154B">
        <w:rPr>
          <w:b/>
          <w:u w:val="single"/>
          <w:lang w:val="en-US"/>
        </w:rPr>
        <w:t xml:space="preserve">Now let’s look at some </w:t>
      </w:r>
      <w:proofErr w:type="gramStart"/>
      <w:r w:rsidR="00B9154B" w:rsidRPr="00B9154B">
        <w:rPr>
          <w:b/>
          <w:u w:val="single"/>
          <w:lang w:val="en-US"/>
        </w:rPr>
        <w:t xml:space="preserve">examples </w:t>
      </w:r>
      <w:r w:rsidRPr="00B9154B">
        <w:rPr>
          <w:b/>
          <w:u w:val="single"/>
          <w:lang w:val="en-US"/>
        </w:rPr>
        <w:t xml:space="preserve"> of</w:t>
      </w:r>
      <w:proofErr w:type="gramEnd"/>
      <w:r w:rsidRPr="00B9154B">
        <w:rPr>
          <w:b/>
          <w:u w:val="single"/>
          <w:lang w:val="en-US"/>
        </w:rPr>
        <w:t xml:space="preserve"> “frame exchange sequence”</w:t>
      </w:r>
    </w:p>
    <w:p w14:paraId="39C59522" w14:textId="36E7166F" w:rsidR="00B9154B" w:rsidRPr="00B9154B" w:rsidRDefault="00B9154B" w:rsidP="00525AA3">
      <w:pPr>
        <w:autoSpaceDE w:val="0"/>
        <w:autoSpaceDN w:val="0"/>
        <w:adjustRightInd w:val="0"/>
        <w:rPr>
          <w:b/>
          <w:u w:val="single"/>
          <w:lang w:val="en-US"/>
        </w:rPr>
      </w:pPr>
      <w:r>
        <w:rPr>
          <w:b/>
          <w:u w:val="single"/>
          <w:lang w:val="en-US"/>
        </w:rPr>
        <w:t>Maybe a good definition is all that is required to cover all of these.</w:t>
      </w:r>
    </w:p>
    <w:p w14:paraId="18C2F5FA" w14:textId="7D9CB815" w:rsidR="00E06DE9" w:rsidRDefault="00E06DE9" w:rsidP="004C451C">
      <w:pPr>
        <w:autoSpaceDE w:val="0"/>
        <w:autoSpaceDN w:val="0"/>
        <w:adjustRightInd w:val="0"/>
        <w:rPr>
          <w:sz w:val="20"/>
          <w:szCs w:val="18"/>
          <w:lang w:val="en-US"/>
        </w:rPr>
      </w:pPr>
    </w:p>
    <w:p w14:paraId="004F0A59" w14:textId="0C427E54" w:rsidR="00821C0E" w:rsidRDefault="00821C0E" w:rsidP="004C451C">
      <w:pPr>
        <w:autoSpaceDE w:val="0"/>
        <w:autoSpaceDN w:val="0"/>
        <w:adjustRightInd w:val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P2</w:t>
      </w:r>
      <w:r w:rsidR="00A6496C">
        <w:rPr>
          <w:sz w:val="20"/>
          <w:szCs w:val="18"/>
          <w:lang w:val="en-US"/>
        </w:rPr>
        <w:t>087</w:t>
      </w:r>
      <w:r>
        <w:rPr>
          <w:sz w:val="20"/>
          <w:szCs w:val="18"/>
          <w:lang w:val="en-US"/>
        </w:rPr>
        <w:t>.</w:t>
      </w:r>
      <w:r w:rsidR="00A6496C">
        <w:rPr>
          <w:sz w:val="20"/>
          <w:szCs w:val="18"/>
          <w:lang w:val="en-US"/>
        </w:rPr>
        <w:t>23</w:t>
      </w:r>
    </w:p>
    <w:p w14:paraId="5BBFA4A9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frame exchange sequence for sector training is shown in Figure 10-111 (Sector training(11ah)), where</w:t>
      </w:r>
    </w:p>
    <w:p w14:paraId="621CDD1B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AP transmits training NDP CTS frames, and the STA provides Sector ID feedback. The frame exchange</w:t>
      </w:r>
    </w:p>
    <w:p w14:paraId="10B1A44A" w14:textId="38C0D2A4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comprises the following steps:</w:t>
      </w:r>
    </w:p>
    <w:p w14:paraId="585DB385" w14:textId="60607D6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0B79974" w14:textId="2542A73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no need for Annex G, the sequence is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compoletely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defined, but maybe should check if Annex G has this exchange?</w:t>
      </w:r>
    </w:p>
    <w:p w14:paraId="241B7DD6" w14:textId="50AE7D5C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10C05AB" w14:textId="3FF303CE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</w:t>
      </w:r>
      <w:r w:rsidR="00A6496C">
        <w:rPr>
          <w:rFonts w:ascii="TimesNewRomanPSMT" w:eastAsia="TimesNewRomanPSMT" w:cs="TimesNewRomanPSMT"/>
          <w:sz w:val="20"/>
          <w:lang w:val="en-US" w:eastAsia="ja-JP"/>
        </w:rPr>
        <w:t>2183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  <w:r w:rsidR="00A6496C">
        <w:rPr>
          <w:rFonts w:ascii="TimesNewRomanPSMT" w:eastAsia="TimesNewRomanPSMT" w:cs="TimesNewRomanPSMT"/>
          <w:sz w:val="20"/>
          <w:lang w:val="en-US" w:eastAsia="ja-JP"/>
        </w:rPr>
        <w:t>6</w:t>
      </w:r>
    </w:p>
    <w:p w14:paraId="61B11DB4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 dynamic SM power save mode, the STA enables its multiple receive chains when it receives the start of a</w:t>
      </w:r>
    </w:p>
    <w:p w14:paraId="62CD74CE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frame exchange sequence addressed to it. Such a frame exchange sequence shall start with a single-spatial</w:t>
      </w:r>
    </w:p>
    <w:p w14:paraId="7F06EAAF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stream individually addressed frame that requires an immediate response and that is addressed to the STA in</w:t>
      </w:r>
    </w:p>
    <w:p w14:paraId="3DB25048" w14:textId="7D28C38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dynamic SM power save mode.</w:t>
      </w:r>
    </w:p>
    <w:p w14:paraId="1FE1D628" w14:textId="3F152B8B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2A34519C" w14:textId="1B986FF3" w:rsidR="00B9154B" w:rsidRDefault="00B9154B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420B8BE1" w14:textId="77777777" w:rsidR="00B9154B" w:rsidRDefault="00B9154B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2B8C401D" w14:textId="4F4AAF6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Again no need for Annex G</w:t>
      </w:r>
      <w:r w:rsidR="00B9154B"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30424D5D" w14:textId="3E706D38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A1AD276" w14:textId="4882891E" w:rsidR="00821C0E" w:rsidRDefault="003573FC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Easier to show interactive Search and display.</w:t>
      </w:r>
    </w:p>
    <w:p w14:paraId="52D3327E" w14:textId="10DCE472" w:rsidR="00413FD1" w:rsidRDefault="00413FD1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0534B552" w14:textId="3078ED97" w:rsidR="00413FD1" w:rsidRPr="00413FD1" w:rsidRDefault="00413FD1" w:rsidP="00821C0E">
      <w:pPr>
        <w:autoSpaceDE w:val="0"/>
        <w:autoSpaceDN w:val="0"/>
        <w:adjustRightInd w:val="0"/>
        <w:rPr>
          <w:b/>
          <w:sz w:val="20"/>
          <w:szCs w:val="18"/>
          <w:lang w:val="en-US"/>
        </w:rPr>
      </w:pPr>
      <w:r w:rsidRPr="00413FD1">
        <w:rPr>
          <w:rFonts w:ascii="TimesNewRomanPSMT" w:eastAsia="TimesNewRomanPSMT" w:cs="TimesNewRomanPSMT"/>
          <w:b/>
          <w:sz w:val="20"/>
          <w:lang w:val="en-US" w:eastAsia="ja-JP"/>
        </w:rPr>
        <w:t xml:space="preserve">Cannot find a place where not having Annex G causes a problem.  </w:t>
      </w:r>
    </w:p>
    <w:sectPr w:rsidR="00413FD1" w:rsidRPr="00413FD1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C213" w14:textId="77777777" w:rsidR="00747D1C" w:rsidRDefault="00747D1C">
      <w:r>
        <w:separator/>
      </w:r>
    </w:p>
  </w:endnote>
  <w:endnote w:type="continuationSeparator" w:id="0">
    <w:p w14:paraId="31EDB69B" w14:textId="77777777" w:rsidR="00747D1C" w:rsidRDefault="007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CA8F2" w14:textId="77777777" w:rsidR="00C74043" w:rsidRDefault="00C7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B8A1EF3" w:rsidR="00E240E8" w:rsidRDefault="002F062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40E8">
        <w:t>Submission</w:t>
      </w:r>
    </w:fldSimple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C74043">
      <w:rPr>
        <w:noProof/>
      </w:rPr>
      <w:t>1</w:t>
    </w:r>
    <w:r w:rsidR="00E240E8">
      <w:rPr>
        <w:noProof/>
      </w:rPr>
      <w:fldChar w:fldCharType="end"/>
    </w:r>
    <w:r w:rsidR="00E240E8">
      <w:tab/>
    </w:r>
    <w:fldSimple w:instr=" COMMENTS  \* MERGEFORMAT ">
      <w:r w:rsidR="00E240E8">
        <w:t>Graham SMIT</w:t>
      </w:r>
    </w:fldSimple>
    <w:r w:rsidR="00E240E8">
      <w:t>H (SRT Wireless)</w:t>
    </w:r>
  </w:p>
  <w:p w14:paraId="5B8624E2" w14:textId="77777777" w:rsidR="00E240E8" w:rsidRDefault="00E240E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E5B1E" w14:textId="77777777" w:rsidR="00C74043" w:rsidRDefault="00C74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CEB45" w14:textId="77777777" w:rsidR="00747D1C" w:rsidRDefault="00747D1C">
      <w:r>
        <w:separator/>
      </w:r>
    </w:p>
  </w:footnote>
  <w:footnote w:type="continuationSeparator" w:id="0">
    <w:p w14:paraId="1783D7E3" w14:textId="77777777" w:rsidR="00747D1C" w:rsidRDefault="007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CC94" w14:textId="77777777" w:rsidR="00C74043" w:rsidRDefault="00C74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708E564A" w:rsidR="00E240E8" w:rsidRDefault="00803866" w:rsidP="00E06DE9">
    <w:pPr>
      <w:pStyle w:val="Header"/>
      <w:tabs>
        <w:tab w:val="clear" w:pos="6480"/>
        <w:tab w:val="center" w:pos="4680"/>
        <w:tab w:val="right" w:pos="9360"/>
      </w:tabs>
    </w:pPr>
    <w:r>
      <w:t>Mar 2021</w:t>
    </w:r>
    <w:r w:rsidR="00E240E8">
      <w:tab/>
    </w:r>
    <w:r w:rsidR="00E240E8">
      <w:tab/>
      <w:t xml:space="preserve">   </w:t>
    </w:r>
    <w:r w:rsidR="00747D1C">
      <w:fldChar w:fldCharType="begin"/>
    </w:r>
    <w:r w:rsidR="00747D1C">
      <w:instrText xml:space="preserve"> TITLE  \* MERGEFORMAT </w:instrText>
    </w:r>
    <w:r w:rsidR="00747D1C">
      <w:fldChar w:fldCharType="separate"/>
    </w:r>
    <w:r w:rsidR="00E240E8">
      <w:t>doc.</w:t>
    </w:r>
    <w:r w:rsidR="00E240E8">
      <w:t>: IEEE 802.11-</w:t>
    </w:r>
    <w:r>
      <w:t>21</w:t>
    </w:r>
    <w:r w:rsidR="00E240E8">
      <w:t>/</w:t>
    </w:r>
    <w:r w:rsidR="00C74043">
      <w:t>0578</w:t>
    </w:r>
    <w:bookmarkStart w:id="0" w:name="_GoBack"/>
    <w:bookmarkEnd w:id="0"/>
    <w:r w:rsidR="00593FF2">
      <w:t>r</w:t>
    </w:r>
    <w:r w:rsidR="00747D1C">
      <w:fldChar w:fldCharType="end"/>
    </w:r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87EE" w14:textId="77777777" w:rsidR="00C74043" w:rsidRDefault="00C7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"/>
  </w:num>
  <w:num w:numId="5">
    <w:abstractNumId w:val="20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  <w:num w:numId="17">
    <w:abstractNumId w:val="17"/>
  </w:num>
  <w:num w:numId="18">
    <w:abstractNumId w:val="11"/>
  </w:num>
  <w:num w:numId="19">
    <w:abstractNumId w:val="16"/>
  </w:num>
  <w:num w:numId="20">
    <w:abstractNumId w:val="18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27F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1B2B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57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3F7DC8"/>
    <w:rsid w:val="004028B3"/>
    <w:rsid w:val="00403917"/>
    <w:rsid w:val="00405579"/>
    <w:rsid w:val="00405804"/>
    <w:rsid w:val="004068D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31363"/>
    <w:rsid w:val="00531706"/>
    <w:rsid w:val="005345E3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315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96EE9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6C74"/>
    <w:rsid w:val="005F72F4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878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866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5F56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E1E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17E9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2C3E"/>
    <w:rsid w:val="00B24E59"/>
    <w:rsid w:val="00B257C3"/>
    <w:rsid w:val="00B30BCC"/>
    <w:rsid w:val="00B314D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154B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635C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A91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521D"/>
    <w:rsid w:val="00CC6D6F"/>
    <w:rsid w:val="00CC752E"/>
    <w:rsid w:val="00CD320A"/>
    <w:rsid w:val="00CD4AF9"/>
    <w:rsid w:val="00CD4EE6"/>
    <w:rsid w:val="00CD4FC0"/>
    <w:rsid w:val="00CD7282"/>
    <w:rsid w:val="00CD7800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C61F1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6DE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945"/>
    <w:rsid w:val="00EA1374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555E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F224-9D66-45C4-B8A3-57EC1A90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118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6</cp:revision>
  <cp:lastPrinted>1901-01-01T05:00:00Z</cp:lastPrinted>
  <dcterms:created xsi:type="dcterms:W3CDTF">2021-03-10T15:38:00Z</dcterms:created>
  <dcterms:modified xsi:type="dcterms:W3CDTF">2021-04-03T00:40:00Z</dcterms:modified>
</cp:coreProperties>
</file>