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9EA7ADD" w:rsidR="00DE584F" w:rsidRPr="00183F4C" w:rsidRDefault="00BC5A9C" w:rsidP="003433FA">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3433FA">
              <w:rPr>
                <w:lang w:eastAsia="ko-KR"/>
              </w:rPr>
              <w:t>TID-to-Link Mapping element</w:t>
            </w:r>
          </w:p>
        </w:tc>
      </w:tr>
      <w:tr w:rsidR="00DE584F" w:rsidRPr="00183F4C" w14:paraId="4EE171F3" w14:textId="77777777" w:rsidTr="00937A90">
        <w:trPr>
          <w:trHeight w:val="359"/>
          <w:jc w:val="center"/>
        </w:trPr>
        <w:tc>
          <w:tcPr>
            <w:tcW w:w="9576" w:type="dxa"/>
            <w:gridSpan w:val="5"/>
            <w:vAlign w:val="center"/>
          </w:tcPr>
          <w:p w14:paraId="2DCA8F1F" w14:textId="7E6F1003" w:rsidR="00DE584F" w:rsidRPr="00183F4C" w:rsidRDefault="00DE584F" w:rsidP="00032A4F">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032A4F">
              <w:rPr>
                <w:b w:val="0"/>
                <w:sz w:val="20"/>
                <w:lang w:eastAsia="ko-KR"/>
              </w:rPr>
              <w:t>3</w:t>
            </w:r>
            <w:r>
              <w:rPr>
                <w:rFonts w:hint="eastAsia"/>
                <w:b w:val="0"/>
                <w:sz w:val="20"/>
                <w:lang w:eastAsia="ko-KR"/>
              </w:rPr>
              <w:t>-</w:t>
            </w:r>
            <w:r w:rsidR="00A630CC">
              <w:rPr>
                <w:b w:val="0"/>
                <w:sz w:val="20"/>
                <w:lang w:eastAsia="ko-KR"/>
              </w:rPr>
              <w:t>2</w:t>
            </w:r>
            <w:r w:rsidR="00032A4F">
              <w:rPr>
                <w:b w:val="0"/>
                <w:sz w:val="20"/>
                <w:lang w:eastAsia="ko-KR"/>
              </w:rPr>
              <w:t>4</w:t>
            </w:r>
            <w:bookmarkStart w:id="0" w:name="_GoBack"/>
            <w:bookmarkEnd w:id="0"/>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3AF648CF" w:rsidR="003F156F" w:rsidRDefault="00606417" w:rsidP="003F156F">
            <w:pPr>
              <w:pStyle w:val="T2"/>
              <w:spacing w:after="0"/>
              <w:ind w:left="0" w:right="0"/>
              <w:jc w:val="left"/>
              <w:rPr>
                <w:b w:val="0"/>
                <w:sz w:val="18"/>
                <w:szCs w:val="18"/>
                <w:lang w:eastAsia="ko-KR"/>
              </w:rPr>
            </w:pPr>
            <w:r>
              <w:rPr>
                <w:rFonts w:eastAsia="宋体"/>
                <w:b w:val="0"/>
                <w:sz w:val="18"/>
                <w:szCs w:val="18"/>
                <w:lang w:eastAsia="zh-CN"/>
              </w:rPr>
              <w:t xml:space="preserve">Jason </w:t>
            </w:r>
            <w:r w:rsidR="00F545A8">
              <w:rPr>
                <w:rFonts w:eastAsia="宋体" w:hint="eastAsia"/>
                <w:b w:val="0"/>
                <w:sz w:val="18"/>
                <w:szCs w:val="18"/>
                <w:lang w:eastAsia="zh-CN"/>
              </w:rPr>
              <w:t>Y</w:t>
            </w:r>
            <w:r w:rsidR="00F545A8">
              <w:rPr>
                <w:rFonts w:eastAsia="宋体"/>
                <w:b w:val="0"/>
                <w:sz w:val="18"/>
                <w:szCs w:val="18"/>
                <w:lang w:eastAsia="zh-CN"/>
              </w:rPr>
              <w:t>uchen Guo</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262E67F7"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7C47DEB2" w:rsidR="003F156F" w:rsidRDefault="00C70494" w:rsidP="00D07CB8">
            <w:pPr>
              <w:pStyle w:val="T2"/>
              <w:spacing w:after="0"/>
              <w:ind w:left="0" w:right="0"/>
              <w:jc w:val="left"/>
              <w:rPr>
                <w:b w:val="0"/>
                <w:sz w:val="18"/>
                <w:szCs w:val="18"/>
                <w:lang w:eastAsia="ko-KR"/>
              </w:rPr>
            </w:pPr>
            <w:hyperlink r:id="rId8" w:history="1">
              <w:r w:rsidR="00F545A8" w:rsidRPr="00B642B8">
                <w:rPr>
                  <w:rStyle w:val="a6"/>
                  <w:b w:val="0"/>
                  <w:sz w:val="18"/>
                  <w:szCs w:val="18"/>
                  <w:lang w:eastAsia="ko-KR"/>
                </w:rPr>
                <w:t>guoyuchen@huawei.com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2E7A263F" w:rsidR="00D95BEB" w:rsidRPr="00154EDB" w:rsidRDefault="00154EDB" w:rsidP="00D95BEB">
            <w:pPr>
              <w:pStyle w:val="T2"/>
              <w:spacing w:after="0"/>
              <w:ind w:left="0" w:right="0"/>
              <w:jc w:val="left"/>
              <w:rPr>
                <w:rFonts w:eastAsia="宋体"/>
                <w:b w:val="0"/>
                <w:sz w:val="18"/>
                <w:szCs w:val="18"/>
                <w:lang w:eastAsia="zh-CN"/>
              </w:rPr>
            </w:pPr>
            <w:r>
              <w:rPr>
                <w:rFonts w:eastAsia="宋体"/>
                <w:b w:val="0"/>
                <w:sz w:val="18"/>
                <w:szCs w:val="18"/>
                <w:lang w:eastAsia="zh-CN"/>
              </w:rPr>
              <w:t>Ming Gan</w:t>
            </w:r>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G</w:t>
            </w:r>
            <w:r>
              <w:rPr>
                <w:rFonts w:eastAsia="宋体"/>
                <w:b w:val="0"/>
                <w:sz w:val="18"/>
                <w:szCs w:val="18"/>
                <w:lang w:eastAsia="zh-CN"/>
              </w:rPr>
              <w:t>uogang</w:t>
            </w:r>
            <w:proofErr w:type="spellEnd"/>
            <w:r>
              <w:rPr>
                <w:rFonts w:eastAsia="宋体"/>
                <w:b w:val="0"/>
                <w:sz w:val="18"/>
                <w:szCs w:val="18"/>
                <w:lang w:eastAsia="zh-CN"/>
              </w:rPr>
              <w:t xml:space="preserve">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Y</w:t>
            </w:r>
            <w:r>
              <w:rPr>
                <w:rFonts w:eastAsia="宋体"/>
                <w:b w:val="0"/>
                <w:sz w:val="18"/>
                <w:szCs w:val="18"/>
                <w:lang w:eastAsia="zh-CN"/>
              </w:rPr>
              <w:t>iqing</w:t>
            </w:r>
            <w:proofErr w:type="spellEnd"/>
            <w:r>
              <w:rPr>
                <w:rFonts w:eastAsia="宋体"/>
                <w:b w:val="0"/>
                <w:sz w:val="18"/>
                <w:szCs w:val="18"/>
                <w:lang w:eastAsia="zh-CN"/>
              </w:rPr>
              <w:t xml:space="preserve">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A630CC" w14:paraId="2021FECE" w14:textId="77777777" w:rsidTr="00937A90">
        <w:trPr>
          <w:trHeight w:val="359"/>
          <w:jc w:val="center"/>
        </w:trPr>
        <w:tc>
          <w:tcPr>
            <w:tcW w:w="1548" w:type="dxa"/>
            <w:vAlign w:val="center"/>
          </w:tcPr>
          <w:p w14:paraId="728DBC8E" w14:textId="63CA89C9" w:rsidR="00A630CC" w:rsidRDefault="00A630CC"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Yifan</w:t>
            </w:r>
            <w:proofErr w:type="spellEnd"/>
            <w:r>
              <w:rPr>
                <w:rFonts w:eastAsia="宋体"/>
                <w:b w:val="0"/>
                <w:sz w:val="18"/>
                <w:szCs w:val="18"/>
                <w:lang w:eastAsia="zh-CN"/>
              </w:rPr>
              <w:t xml:space="preserve"> Zhou</w:t>
            </w:r>
          </w:p>
        </w:tc>
        <w:tc>
          <w:tcPr>
            <w:tcW w:w="1440" w:type="dxa"/>
            <w:vAlign w:val="center"/>
          </w:tcPr>
          <w:p w14:paraId="42878361" w14:textId="41A0EE28"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3C7FA60"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09DD226C"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037E5225" w14:textId="77777777" w:rsidR="00A630CC" w:rsidRDefault="00A630CC" w:rsidP="00D95BEB">
            <w:pPr>
              <w:pStyle w:val="T2"/>
              <w:spacing w:after="0"/>
              <w:ind w:left="0" w:right="0"/>
              <w:jc w:val="left"/>
            </w:pPr>
          </w:p>
        </w:tc>
      </w:tr>
      <w:tr w:rsidR="00A630CC" w14:paraId="78BAFFC0" w14:textId="77777777" w:rsidTr="00937A90">
        <w:trPr>
          <w:trHeight w:val="359"/>
          <w:jc w:val="center"/>
        </w:trPr>
        <w:tc>
          <w:tcPr>
            <w:tcW w:w="1548" w:type="dxa"/>
            <w:vAlign w:val="center"/>
          </w:tcPr>
          <w:p w14:paraId="6F993214" w14:textId="15EF046D" w:rsidR="00A630CC" w:rsidRDefault="00A630CC"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Hongjia</w:t>
            </w:r>
            <w:proofErr w:type="spellEnd"/>
            <w:r>
              <w:rPr>
                <w:rFonts w:eastAsia="宋体"/>
                <w:b w:val="0"/>
                <w:sz w:val="18"/>
                <w:szCs w:val="18"/>
                <w:lang w:eastAsia="zh-CN"/>
              </w:rPr>
              <w:t xml:space="preserve"> Su</w:t>
            </w:r>
          </w:p>
        </w:tc>
        <w:tc>
          <w:tcPr>
            <w:tcW w:w="1440" w:type="dxa"/>
            <w:vAlign w:val="center"/>
          </w:tcPr>
          <w:p w14:paraId="632326D8" w14:textId="55DD51F7"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69616CA"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56F539EB"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18BBD3DA" w14:textId="77777777" w:rsidR="00A630CC" w:rsidRDefault="00A630CC"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5A02A70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3433FA">
        <w:rPr>
          <w:lang w:eastAsia="ko-KR"/>
        </w:rPr>
        <w:t>TID-to-Link Mapping element.</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77777777" w:rsidR="0048087F" w:rsidRDefault="0048087F" w:rsidP="009008D2">
      <w:pPr>
        <w:pStyle w:val="af"/>
        <w:numPr>
          <w:ilvl w:val="0"/>
          <w:numId w:val="1"/>
        </w:numPr>
        <w:ind w:leftChars="0"/>
        <w:jc w:val="both"/>
      </w:pPr>
    </w:p>
    <w:p w14:paraId="2CA05A92" w14:textId="77777777" w:rsidR="009008D2" w:rsidRDefault="009008D2" w:rsidP="007E41CB">
      <w:pPr>
        <w:jc w:val="both"/>
        <w:rPr>
          <w:lang w:eastAsia="ko-KR"/>
        </w:rPr>
      </w:pPr>
    </w:p>
    <w:p w14:paraId="4DE1D5DC" w14:textId="77777777" w:rsidR="00790064" w:rsidRDefault="00790064" w:rsidP="00F329CF">
      <w:pPr>
        <w:jc w:val="both"/>
      </w:pPr>
    </w:p>
    <w:p w14:paraId="57166633" w14:textId="58CA86B6" w:rsidR="009008D2" w:rsidRDefault="009008D2" w:rsidP="00F329CF">
      <w:pPr>
        <w:jc w:val="both"/>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327D7A73" w:rsidR="00A43AD8" w:rsidRDefault="00FE5A00" w:rsidP="00024800">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w:t>
      </w:r>
      <w:r w:rsidR="003433FA" w:rsidRPr="003433FA">
        <w:rPr>
          <w:rFonts w:ascii="Times New Roman" w:eastAsia="Times New Roman" w:hAnsi="Times New Roman" w:cs="Times New Roman"/>
          <w:b/>
          <w:i/>
          <w:color w:val="000000"/>
          <w:sz w:val="20"/>
          <w:highlight w:val="yellow"/>
        </w:rPr>
        <w:t xml:space="preserve">Insert the following new </w:t>
      </w:r>
      <w:proofErr w:type="spellStart"/>
      <w:r w:rsidR="003433FA" w:rsidRPr="003433FA">
        <w:rPr>
          <w:rFonts w:ascii="Times New Roman" w:eastAsia="Times New Roman" w:hAnsi="Times New Roman" w:cs="Times New Roman"/>
          <w:b/>
          <w:i/>
          <w:color w:val="000000"/>
          <w:sz w:val="20"/>
          <w:highlight w:val="yellow"/>
        </w:rPr>
        <w:t>subclause</w:t>
      </w:r>
      <w:proofErr w:type="spellEnd"/>
      <w:r w:rsidR="003433FA" w:rsidRPr="003433FA">
        <w:rPr>
          <w:rFonts w:ascii="Times New Roman" w:eastAsia="Times New Roman" w:hAnsi="Times New Roman" w:cs="Times New Roman"/>
          <w:b/>
          <w:i/>
          <w:color w:val="000000"/>
          <w:sz w:val="20"/>
          <w:highlight w:val="yellow"/>
        </w:rPr>
        <w:t xml:space="preserve"> </w:t>
      </w:r>
      <w:r w:rsidR="003433FA">
        <w:rPr>
          <w:rFonts w:ascii="Times New Roman" w:eastAsia="Times New Roman" w:hAnsi="Times New Roman" w:cs="Times New Roman"/>
          <w:b/>
          <w:i/>
          <w:color w:val="000000"/>
          <w:sz w:val="20"/>
          <w:highlight w:val="yellow"/>
        </w:rPr>
        <w:t>in</w:t>
      </w:r>
      <w:r w:rsidR="003433FA" w:rsidRPr="003433FA">
        <w:rPr>
          <w:rFonts w:ascii="Times New Roman" w:eastAsia="Times New Roman" w:hAnsi="Times New Roman" w:cs="Times New Roman"/>
          <w:b/>
          <w:i/>
          <w:color w:val="000000"/>
          <w:sz w:val="20"/>
          <w:highlight w:val="yellow"/>
        </w:rPr>
        <w:t xml:space="preserve"> 9.4.2</w:t>
      </w:r>
      <w:r w:rsidR="00FF29E1">
        <w:rPr>
          <w:rFonts w:ascii="Times New Roman" w:eastAsia="Times New Roman" w:hAnsi="Times New Roman" w:cs="Times New Roman"/>
          <w:b/>
          <w:i/>
          <w:color w:val="000000"/>
          <w:sz w:val="20"/>
          <w:highlight w:val="yellow"/>
        </w:rPr>
        <w:t xml:space="preserve"> as follows:</w:t>
      </w:r>
    </w:p>
    <w:p w14:paraId="76CA5E3C" w14:textId="0C31349A" w:rsidR="003F4633" w:rsidRDefault="003433FA" w:rsidP="00F50B7F">
      <w:pPr>
        <w:pStyle w:val="SP7147688"/>
        <w:spacing w:before="360" w:after="240"/>
        <w:jc w:val="both"/>
      </w:pPr>
      <w:r>
        <w:rPr>
          <w:rStyle w:val="SC7204809"/>
          <w:sz w:val="20"/>
          <w:szCs w:val="20"/>
        </w:rPr>
        <w:t>9.4.2.295xx</w:t>
      </w:r>
      <w:r w:rsidR="00CD2A59" w:rsidRPr="00CD2A59">
        <w:rPr>
          <w:rStyle w:val="SC7204809"/>
          <w:sz w:val="20"/>
          <w:szCs w:val="20"/>
        </w:rPr>
        <w:t xml:space="preserve"> </w:t>
      </w:r>
      <w:r w:rsidRPr="003433FA">
        <w:rPr>
          <w:rStyle w:val="SC7204809"/>
          <w:sz w:val="20"/>
          <w:szCs w:val="20"/>
        </w:rPr>
        <w:t>TID-to-Link Mapping element</w:t>
      </w:r>
    </w:p>
    <w:p w14:paraId="1163AE41" w14:textId="77777777" w:rsidR="004723DE" w:rsidRPr="004723DE" w:rsidRDefault="004723DE" w:rsidP="004723DE">
      <w:pPr>
        <w:jc w:val="both"/>
      </w:pPr>
    </w:p>
    <w:p w14:paraId="727D4C7E" w14:textId="76697803" w:rsidR="00934506" w:rsidRPr="00C3577B" w:rsidRDefault="00934506" w:rsidP="00934506">
      <w:pPr>
        <w:pStyle w:val="Default"/>
        <w:jc w:val="both"/>
        <w:rPr>
          <w:sz w:val="20"/>
          <w:szCs w:val="20"/>
        </w:rPr>
      </w:pPr>
      <w:r w:rsidRPr="00C3577B">
        <w:rPr>
          <w:sz w:val="20"/>
          <w:szCs w:val="20"/>
        </w:rPr>
        <w:t xml:space="preserve">The </w:t>
      </w:r>
      <w:r>
        <w:rPr>
          <w:sz w:val="20"/>
          <w:szCs w:val="20"/>
        </w:rPr>
        <w:t xml:space="preserve">TID-to-Link Mapping </w:t>
      </w:r>
      <w:r w:rsidRPr="00C3577B">
        <w:rPr>
          <w:sz w:val="20"/>
          <w:szCs w:val="20"/>
        </w:rPr>
        <w:t>element is shown in Figure 9-788</w:t>
      </w:r>
      <w:r>
        <w:rPr>
          <w:sz w:val="20"/>
          <w:szCs w:val="20"/>
        </w:rPr>
        <w:t xml:space="preserve">el </w:t>
      </w:r>
      <w:r w:rsidRPr="00C3577B">
        <w:rPr>
          <w:sz w:val="20"/>
          <w:szCs w:val="20"/>
        </w:rPr>
        <w:t>(</w:t>
      </w:r>
      <w:r>
        <w:rPr>
          <w:sz w:val="20"/>
          <w:szCs w:val="20"/>
        </w:rPr>
        <w:t xml:space="preserve">TID-to-Link Mapping </w:t>
      </w:r>
      <w:r w:rsidRPr="00C3577B">
        <w:rPr>
          <w:sz w:val="20"/>
          <w:szCs w:val="20"/>
        </w:rPr>
        <w:t>element format).</w:t>
      </w:r>
    </w:p>
    <w:p w14:paraId="4BEC8279" w14:textId="77777777" w:rsidR="00934506" w:rsidRDefault="00934506" w:rsidP="00934506">
      <w:pPr>
        <w:pStyle w:val="Default"/>
      </w:pPr>
    </w:p>
    <w:tbl>
      <w:tblPr>
        <w:tblW w:w="6379"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40"/>
        <w:gridCol w:w="740"/>
        <w:gridCol w:w="1020"/>
        <w:gridCol w:w="1098"/>
        <w:gridCol w:w="1701"/>
      </w:tblGrid>
      <w:tr w:rsidR="00934506" w14:paraId="44128C76" w14:textId="77777777" w:rsidTr="00D77ECC">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4B5629CF" w14:textId="77777777" w:rsidR="00934506" w:rsidRDefault="00934506" w:rsidP="00231D51">
            <w:pPr>
              <w:pStyle w:val="figuretext"/>
              <w:rPr>
                <w:w w:val="1"/>
              </w:rPr>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38EB979" w14:textId="77777777" w:rsidR="00934506" w:rsidRDefault="00934506" w:rsidP="00231D51">
            <w:pPr>
              <w:pStyle w:val="figuretext"/>
            </w:pPr>
            <w:r>
              <w:rPr>
                <w:w w:val="100"/>
              </w:rPr>
              <w:t>Element ID</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56E378A" w14:textId="77777777" w:rsidR="00934506" w:rsidRDefault="00934506" w:rsidP="00231D51">
            <w:pPr>
              <w:pStyle w:val="figuretext"/>
            </w:pPr>
            <w:r>
              <w:rPr>
                <w:w w:val="100"/>
              </w:rPr>
              <w:t>Length</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0558825" w14:textId="77777777" w:rsidR="00934506" w:rsidRDefault="00934506" w:rsidP="00231D51">
            <w:pPr>
              <w:pStyle w:val="figuretext"/>
            </w:pPr>
            <w:r>
              <w:rPr>
                <w:w w:val="100"/>
              </w:rPr>
              <w:t>Element ID Extension</w:t>
            </w:r>
          </w:p>
        </w:tc>
        <w:tc>
          <w:tcPr>
            <w:tcW w:w="1098"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C54B334" w14:textId="701FD0D6" w:rsidR="00934506" w:rsidRDefault="00934506" w:rsidP="00231D51">
            <w:pPr>
              <w:pStyle w:val="figuretext"/>
            </w:pPr>
            <w:r>
              <w:rPr>
                <w:w w:val="100"/>
              </w:rPr>
              <w:t>TID-to-Link Mapping Control</w:t>
            </w:r>
          </w:p>
        </w:tc>
        <w:tc>
          <w:tcPr>
            <w:tcW w:w="1701" w:type="dxa"/>
            <w:tcBorders>
              <w:top w:val="single" w:sz="12" w:space="0" w:color="000000"/>
              <w:left w:val="single" w:sz="12" w:space="0" w:color="000000"/>
              <w:bottom w:val="single" w:sz="12" w:space="0" w:color="000000"/>
              <w:right w:val="single" w:sz="12" w:space="0" w:color="000000"/>
            </w:tcBorders>
            <w:vAlign w:val="center"/>
          </w:tcPr>
          <w:p w14:paraId="28F7FED8" w14:textId="17AF834F" w:rsidR="00934506" w:rsidRDefault="00934506" w:rsidP="00231D51">
            <w:pPr>
              <w:pStyle w:val="figuretext"/>
              <w:rPr>
                <w:w w:val="100"/>
              </w:rPr>
            </w:pPr>
            <w:r>
              <w:rPr>
                <w:w w:val="100"/>
              </w:rPr>
              <w:t>TID-to-Link Mapping Information</w:t>
            </w:r>
          </w:p>
        </w:tc>
      </w:tr>
      <w:tr w:rsidR="00934506" w14:paraId="3BCBA0A5" w14:textId="77777777" w:rsidTr="00D77ECC">
        <w:trPr>
          <w:trHeight w:val="24"/>
          <w:jc w:val="center"/>
        </w:trPr>
        <w:tc>
          <w:tcPr>
            <w:tcW w:w="780" w:type="dxa"/>
            <w:tcMar>
              <w:top w:w="160" w:type="dxa"/>
              <w:left w:w="120" w:type="dxa"/>
              <w:bottom w:w="120" w:type="dxa"/>
              <w:right w:w="120" w:type="dxa"/>
            </w:tcMar>
            <w:vAlign w:val="center"/>
            <w:hideMark/>
          </w:tcPr>
          <w:p w14:paraId="16A35E7D" w14:textId="77777777" w:rsidR="00934506" w:rsidRDefault="00934506" w:rsidP="00231D51">
            <w:pPr>
              <w:pStyle w:val="figuretext"/>
            </w:pPr>
            <w:r>
              <w:rPr>
                <w:w w:val="100"/>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146CB02A" w14:textId="77777777" w:rsidR="00934506" w:rsidRDefault="00934506" w:rsidP="00231D51">
            <w:pPr>
              <w:pStyle w:val="figuretext"/>
            </w:pPr>
            <w:r>
              <w:rPr>
                <w:w w:val="100"/>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28AEEB10" w14:textId="77777777" w:rsidR="00934506" w:rsidRDefault="00934506" w:rsidP="00231D51">
            <w:pPr>
              <w:pStyle w:val="figuretext"/>
            </w:pPr>
            <w:r>
              <w:rPr>
                <w:w w:val="100"/>
              </w:rPr>
              <w:t>1</w:t>
            </w:r>
          </w:p>
        </w:tc>
        <w:tc>
          <w:tcPr>
            <w:tcW w:w="1020" w:type="dxa"/>
            <w:tcBorders>
              <w:top w:val="single" w:sz="12" w:space="0" w:color="000000"/>
              <w:left w:val="nil"/>
              <w:bottom w:val="nil"/>
              <w:right w:val="nil"/>
            </w:tcBorders>
            <w:tcMar>
              <w:top w:w="160" w:type="dxa"/>
              <w:left w:w="120" w:type="dxa"/>
              <w:bottom w:w="120" w:type="dxa"/>
              <w:right w:w="120" w:type="dxa"/>
            </w:tcMar>
            <w:vAlign w:val="center"/>
            <w:hideMark/>
          </w:tcPr>
          <w:p w14:paraId="597C9A4E" w14:textId="77777777" w:rsidR="00934506" w:rsidRDefault="00934506" w:rsidP="00231D51">
            <w:pPr>
              <w:pStyle w:val="figuretext"/>
            </w:pPr>
            <w:r>
              <w:rPr>
                <w:w w:val="100"/>
              </w:rPr>
              <w:t>1</w:t>
            </w:r>
          </w:p>
        </w:tc>
        <w:tc>
          <w:tcPr>
            <w:tcW w:w="1098" w:type="dxa"/>
            <w:tcBorders>
              <w:top w:val="single" w:sz="12" w:space="0" w:color="000000"/>
              <w:left w:val="nil"/>
              <w:bottom w:val="nil"/>
              <w:right w:val="nil"/>
            </w:tcBorders>
            <w:tcMar>
              <w:top w:w="160" w:type="dxa"/>
              <w:left w:w="120" w:type="dxa"/>
              <w:bottom w:w="120" w:type="dxa"/>
              <w:right w:w="120" w:type="dxa"/>
            </w:tcMar>
            <w:vAlign w:val="center"/>
            <w:hideMark/>
          </w:tcPr>
          <w:p w14:paraId="1C3885D8" w14:textId="77777777" w:rsidR="00934506" w:rsidRDefault="00934506" w:rsidP="00231D51">
            <w:pPr>
              <w:pStyle w:val="figuretext"/>
            </w:pPr>
            <w:r>
              <w:rPr>
                <w:w w:val="100"/>
              </w:rPr>
              <w:t>1</w:t>
            </w:r>
          </w:p>
        </w:tc>
        <w:tc>
          <w:tcPr>
            <w:tcW w:w="1701" w:type="dxa"/>
            <w:tcBorders>
              <w:top w:val="single" w:sz="12" w:space="0" w:color="000000"/>
              <w:left w:val="nil"/>
              <w:bottom w:val="nil"/>
              <w:right w:val="nil"/>
            </w:tcBorders>
            <w:vAlign w:val="center"/>
          </w:tcPr>
          <w:p w14:paraId="3F736B56" w14:textId="2014738B" w:rsidR="00934506" w:rsidRDefault="00D77ECC" w:rsidP="00231D51">
            <w:pPr>
              <w:pStyle w:val="figuretext"/>
              <w:rPr>
                <w:w w:val="100"/>
              </w:rPr>
            </w:pPr>
            <w:r>
              <w:rPr>
                <w:w w:val="100"/>
              </w:rPr>
              <w:t>variable</w:t>
            </w:r>
          </w:p>
        </w:tc>
      </w:tr>
    </w:tbl>
    <w:p w14:paraId="0DDEB7FB" w14:textId="77777777" w:rsidR="00934506" w:rsidRDefault="00934506" w:rsidP="00934506">
      <w:pPr>
        <w:pStyle w:val="FigTitle"/>
        <w:spacing w:before="0" w:line="0" w:lineRule="atLeast"/>
      </w:pPr>
      <w:r>
        <w:rPr>
          <w:w w:val="100"/>
        </w:rPr>
        <w:t>Figure 9-788el – TID-to-Link Mapping element format</w:t>
      </w:r>
    </w:p>
    <w:p w14:paraId="3444CA16" w14:textId="77777777" w:rsidR="00934506" w:rsidRDefault="00934506" w:rsidP="00934506">
      <w:pPr>
        <w:pStyle w:val="Default"/>
      </w:pPr>
    </w:p>
    <w:p w14:paraId="4E0986C8" w14:textId="77777777" w:rsidR="00934506" w:rsidRDefault="00934506" w:rsidP="00934506">
      <w:pPr>
        <w:pStyle w:val="Default"/>
        <w:jc w:val="both"/>
        <w:rPr>
          <w:sz w:val="20"/>
          <w:szCs w:val="20"/>
        </w:rPr>
      </w:pPr>
      <w:r w:rsidRPr="00C3577B">
        <w:rPr>
          <w:sz w:val="20"/>
          <w:szCs w:val="20"/>
        </w:rPr>
        <w:t>The Element ID, Length, and Element ID Extension fields are defined in 9.4.2.1 (General).</w:t>
      </w:r>
    </w:p>
    <w:p w14:paraId="5E8489DC" w14:textId="77777777" w:rsidR="00934506" w:rsidRDefault="00934506" w:rsidP="00934506">
      <w:pPr>
        <w:pStyle w:val="Default"/>
        <w:jc w:val="both"/>
        <w:rPr>
          <w:sz w:val="20"/>
          <w:szCs w:val="20"/>
        </w:rPr>
      </w:pPr>
    </w:p>
    <w:p w14:paraId="793D5B34" w14:textId="77777777" w:rsidR="00A5418F" w:rsidRDefault="00A5418F" w:rsidP="00934506">
      <w:pPr>
        <w:jc w:val="both"/>
        <w:rPr>
          <w:sz w:val="20"/>
        </w:rPr>
      </w:pPr>
    </w:p>
    <w:p w14:paraId="58F71998" w14:textId="050BBEEF" w:rsidR="004723DE" w:rsidRDefault="00934506" w:rsidP="00934506">
      <w:pPr>
        <w:jc w:val="both"/>
      </w:pPr>
      <w:r w:rsidRPr="00184989">
        <w:rPr>
          <w:sz w:val="20"/>
        </w:rPr>
        <w:t>The</w:t>
      </w:r>
      <w:r w:rsidR="00A5418F">
        <w:rPr>
          <w:sz w:val="20"/>
        </w:rPr>
        <w:t xml:space="preserve"> </w:t>
      </w:r>
      <w:r w:rsidR="00A5418F" w:rsidRPr="00A5418F">
        <w:rPr>
          <w:sz w:val="20"/>
        </w:rPr>
        <w:t>TID-to-Link Mapping Control</w:t>
      </w:r>
      <w:r w:rsidR="00A5418F">
        <w:rPr>
          <w:sz w:val="20"/>
        </w:rPr>
        <w:t xml:space="preserve"> field is shown in Figure 9-788em (</w:t>
      </w:r>
      <w:r w:rsidR="00A5418F" w:rsidRPr="00A5418F">
        <w:rPr>
          <w:sz w:val="20"/>
        </w:rPr>
        <w:t>TID-to-Link Mapping Control field format</w:t>
      </w:r>
      <w:r w:rsidR="00A5418F">
        <w:rPr>
          <w:sz w:val="20"/>
        </w:rPr>
        <w:t>).</w:t>
      </w:r>
    </w:p>
    <w:p w14:paraId="7DDCF29D" w14:textId="77777777" w:rsidR="00934506" w:rsidRDefault="00934506" w:rsidP="00934506">
      <w:pPr>
        <w:pStyle w:val="Default"/>
      </w:pPr>
    </w:p>
    <w:tbl>
      <w:tblPr>
        <w:tblW w:w="5954"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921"/>
        <w:gridCol w:w="1134"/>
        <w:gridCol w:w="1134"/>
        <w:gridCol w:w="993"/>
        <w:gridCol w:w="992"/>
      </w:tblGrid>
      <w:tr w:rsidR="00D77ECC" w14:paraId="1D07306C" w14:textId="77777777" w:rsidTr="00D77ECC">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20546B9F" w14:textId="77777777" w:rsidR="00D77ECC" w:rsidRDefault="00D77ECC" w:rsidP="00231D51">
            <w:pPr>
              <w:pStyle w:val="figuretext"/>
              <w:rPr>
                <w:w w:val="1"/>
              </w:rPr>
            </w:pPr>
          </w:p>
        </w:tc>
        <w:tc>
          <w:tcPr>
            <w:tcW w:w="921"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1B16C88" w14:textId="79E0572E" w:rsidR="00D77ECC" w:rsidRDefault="00D77ECC" w:rsidP="00231D51">
            <w:pPr>
              <w:pStyle w:val="figuretext"/>
            </w:pPr>
            <w:r>
              <w:rPr>
                <w:w w:val="100"/>
              </w:rPr>
              <w:t>Direction</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E9D78F7" w14:textId="759E7AE9" w:rsidR="00D77ECC" w:rsidRDefault="00D77ECC" w:rsidP="00231D51">
            <w:pPr>
              <w:pStyle w:val="figuretext"/>
            </w:pPr>
            <w:r>
              <w:rPr>
                <w:w w:val="100"/>
              </w:rPr>
              <w:t>TID-to-Link Mapping Request</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A369A96" w14:textId="00EA398C" w:rsidR="00D77ECC" w:rsidRDefault="00E77427" w:rsidP="00231D51">
            <w:pPr>
              <w:pStyle w:val="figuretext"/>
            </w:pPr>
            <w:r>
              <w:rPr>
                <w:w w:val="100"/>
              </w:rPr>
              <w:t xml:space="preserve">TID-to-Link Mapping </w:t>
            </w:r>
            <w:r w:rsidR="00D77ECC">
              <w:rPr>
                <w:w w:val="100"/>
              </w:rPr>
              <w:t>Negotiation Type</w:t>
            </w:r>
          </w:p>
        </w:tc>
        <w:tc>
          <w:tcPr>
            <w:tcW w:w="993"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BD533E7" w14:textId="6A1C4624" w:rsidR="00D77ECC" w:rsidRDefault="00D77ECC" w:rsidP="00231D51">
            <w:pPr>
              <w:pStyle w:val="figuretext"/>
            </w:pPr>
            <w:r>
              <w:rPr>
                <w:w w:val="100"/>
              </w:rPr>
              <w:t>Default Mapping</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3FF6C582" w14:textId="6723B95B" w:rsidR="00D77ECC" w:rsidRDefault="00D77ECC" w:rsidP="00D77ECC">
            <w:pPr>
              <w:pStyle w:val="figuretext"/>
              <w:rPr>
                <w:w w:val="100"/>
              </w:rPr>
            </w:pPr>
            <w:r>
              <w:rPr>
                <w:w w:val="100"/>
              </w:rPr>
              <w:t>Reserved</w:t>
            </w:r>
          </w:p>
        </w:tc>
      </w:tr>
      <w:tr w:rsidR="00D77ECC" w14:paraId="12288C26" w14:textId="77777777" w:rsidTr="00D77ECC">
        <w:trPr>
          <w:trHeight w:val="24"/>
          <w:jc w:val="center"/>
        </w:trPr>
        <w:tc>
          <w:tcPr>
            <w:tcW w:w="780" w:type="dxa"/>
            <w:tcMar>
              <w:top w:w="160" w:type="dxa"/>
              <w:left w:w="120" w:type="dxa"/>
              <w:bottom w:w="120" w:type="dxa"/>
              <w:right w:w="120" w:type="dxa"/>
            </w:tcMar>
            <w:vAlign w:val="center"/>
            <w:hideMark/>
          </w:tcPr>
          <w:p w14:paraId="37D96C30" w14:textId="63BC3FA5" w:rsidR="00D77ECC" w:rsidRDefault="00D77ECC" w:rsidP="00231D51">
            <w:pPr>
              <w:pStyle w:val="figuretext"/>
            </w:pPr>
            <w:r>
              <w:rPr>
                <w:w w:val="100"/>
              </w:rPr>
              <w:t>Bits:</w:t>
            </w:r>
          </w:p>
        </w:tc>
        <w:tc>
          <w:tcPr>
            <w:tcW w:w="921" w:type="dxa"/>
            <w:tcBorders>
              <w:top w:val="single" w:sz="12" w:space="0" w:color="000000"/>
              <w:left w:val="nil"/>
              <w:bottom w:val="nil"/>
              <w:right w:val="nil"/>
            </w:tcBorders>
            <w:tcMar>
              <w:top w:w="160" w:type="dxa"/>
              <w:left w:w="120" w:type="dxa"/>
              <w:bottom w:w="120" w:type="dxa"/>
              <w:right w:w="120" w:type="dxa"/>
            </w:tcMar>
            <w:vAlign w:val="center"/>
            <w:hideMark/>
          </w:tcPr>
          <w:p w14:paraId="2B1835D2" w14:textId="037E4DFB" w:rsidR="00D77ECC" w:rsidRDefault="00D77ECC" w:rsidP="00231D51">
            <w:pPr>
              <w:pStyle w:val="figuretext"/>
            </w:pPr>
            <w:r>
              <w:rPr>
                <w:w w:val="100"/>
              </w:rPr>
              <w:t>2</w:t>
            </w:r>
          </w:p>
        </w:tc>
        <w:tc>
          <w:tcPr>
            <w:tcW w:w="1134" w:type="dxa"/>
            <w:tcBorders>
              <w:top w:val="single" w:sz="12" w:space="0" w:color="000000"/>
              <w:left w:val="nil"/>
              <w:bottom w:val="nil"/>
              <w:right w:val="nil"/>
            </w:tcBorders>
            <w:tcMar>
              <w:top w:w="160" w:type="dxa"/>
              <w:left w:w="120" w:type="dxa"/>
              <w:bottom w:w="120" w:type="dxa"/>
              <w:right w:w="120" w:type="dxa"/>
            </w:tcMar>
            <w:vAlign w:val="center"/>
            <w:hideMark/>
          </w:tcPr>
          <w:p w14:paraId="5AD57E99" w14:textId="77777777" w:rsidR="00D77ECC" w:rsidRDefault="00D77ECC" w:rsidP="00231D51">
            <w:pPr>
              <w:pStyle w:val="figuretext"/>
            </w:pPr>
            <w:r>
              <w:rPr>
                <w:w w:val="100"/>
              </w:rPr>
              <w:t>1</w:t>
            </w:r>
          </w:p>
        </w:tc>
        <w:tc>
          <w:tcPr>
            <w:tcW w:w="1134" w:type="dxa"/>
            <w:tcBorders>
              <w:top w:val="single" w:sz="12" w:space="0" w:color="000000"/>
              <w:left w:val="nil"/>
              <w:bottom w:val="nil"/>
              <w:right w:val="nil"/>
            </w:tcBorders>
            <w:tcMar>
              <w:top w:w="160" w:type="dxa"/>
              <w:left w:w="120" w:type="dxa"/>
              <w:bottom w:w="120" w:type="dxa"/>
              <w:right w:w="120" w:type="dxa"/>
            </w:tcMar>
            <w:vAlign w:val="center"/>
            <w:hideMark/>
          </w:tcPr>
          <w:p w14:paraId="4B668E18" w14:textId="6262404F" w:rsidR="00D77ECC" w:rsidRDefault="00D77ECC" w:rsidP="00231D51">
            <w:pPr>
              <w:pStyle w:val="figuretext"/>
            </w:pPr>
            <w:r>
              <w:rPr>
                <w:w w:val="100"/>
              </w:rPr>
              <w:t>3</w:t>
            </w:r>
          </w:p>
        </w:tc>
        <w:tc>
          <w:tcPr>
            <w:tcW w:w="993" w:type="dxa"/>
            <w:tcBorders>
              <w:top w:val="single" w:sz="12" w:space="0" w:color="000000"/>
              <w:left w:val="nil"/>
              <w:bottom w:val="nil"/>
              <w:right w:val="nil"/>
            </w:tcBorders>
            <w:tcMar>
              <w:top w:w="160" w:type="dxa"/>
              <w:left w:w="120" w:type="dxa"/>
              <w:bottom w:w="120" w:type="dxa"/>
              <w:right w:w="120" w:type="dxa"/>
            </w:tcMar>
            <w:vAlign w:val="center"/>
            <w:hideMark/>
          </w:tcPr>
          <w:p w14:paraId="386618BE" w14:textId="77777777" w:rsidR="00D77ECC" w:rsidRDefault="00D77ECC" w:rsidP="00231D51">
            <w:pPr>
              <w:pStyle w:val="figuretext"/>
            </w:pPr>
            <w:r>
              <w:rPr>
                <w:w w:val="100"/>
              </w:rPr>
              <w:t>1</w:t>
            </w:r>
          </w:p>
        </w:tc>
        <w:tc>
          <w:tcPr>
            <w:tcW w:w="992" w:type="dxa"/>
            <w:tcBorders>
              <w:top w:val="single" w:sz="12" w:space="0" w:color="000000"/>
              <w:left w:val="nil"/>
              <w:bottom w:val="nil"/>
              <w:right w:val="nil"/>
            </w:tcBorders>
            <w:vAlign w:val="center"/>
          </w:tcPr>
          <w:p w14:paraId="3FD00BB0" w14:textId="77777777" w:rsidR="00D77ECC" w:rsidRDefault="00D77ECC" w:rsidP="00231D51">
            <w:pPr>
              <w:pStyle w:val="figuretext"/>
              <w:rPr>
                <w:w w:val="100"/>
              </w:rPr>
            </w:pPr>
            <w:r>
              <w:rPr>
                <w:w w:val="100"/>
              </w:rPr>
              <w:t>1</w:t>
            </w:r>
          </w:p>
        </w:tc>
      </w:tr>
    </w:tbl>
    <w:p w14:paraId="3895592F" w14:textId="598EEB43" w:rsidR="00934506" w:rsidRDefault="00D77ECC" w:rsidP="00934506">
      <w:pPr>
        <w:pStyle w:val="FigTitle"/>
        <w:spacing w:before="0" w:line="0" w:lineRule="atLeast"/>
      </w:pPr>
      <w:r>
        <w:rPr>
          <w:w w:val="100"/>
        </w:rPr>
        <w:t>Figure 9-788em</w:t>
      </w:r>
      <w:r w:rsidR="00934506">
        <w:rPr>
          <w:w w:val="100"/>
        </w:rPr>
        <w:t xml:space="preserve"> – </w:t>
      </w:r>
      <w:r w:rsidRPr="00D77ECC">
        <w:rPr>
          <w:w w:val="100"/>
        </w:rPr>
        <w:t>TID-to-Link Mapping Control</w:t>
      </w:r>
      <w:r>
        <w:rPr>
          <w:w w:val="100"/>
        </w:rPr>
        <w:t xml:space="preserve"> field</w:t>
      </w:r>
      <w:r w:rsidR="00934506">
        <w:rPr>
          <w:w w:val="100"/>
        </w:rPr>
        <w:t xml:space="preserve"> format</w:t>
      </w:r>
    </w:p>
    <w:p w14:paraId="0F9B8939" w14:textId="77777777" w:rsidR="00934506" w:rsidRPr="00934506" w:rsidRDefault="00934506" w:rsidP="004723DE">
      <w:pPr>
        <w:jc w:val="both"/>
        <w:rPr>
          <w:lang w:val="en-US"/>
        </w:rPr>
      </w:pPr>
    </w:p>
    <w:p w14:paraId="5CEBFD56" w14:textId="7F637FD2" w:rsidR="00934506" w:rsidRPr="00A5418F" w:rsidRDefault="00A5418F" w:rsidP="004723DE">
      <w:pPr>
        <w:jc w:val="both"/>
        <w:rPr>
          <w:sz w:val="20"/>
        </w:rPr>
      </w:pPr>
      <w:r w:rsidRPr="00A5418F">
        <w:rPr>
          <w:sz w:val="20"/>
        </w:rPr>
        <w:t xml:space="preserve">The </w:t>
      </w:r>
      <w:r>
        <w:rPr>
          <w:sz w:val="20"/>
        </w:rPr>
        <w:t xml:space="preserve">Direction subfield indicates the </w:t>
      </w:r>
      <w:r w:rsidR="00231D51">
        <w:rPr>
          <w:sz w:val="20"/>
        </w:rPr>
        <w:t xml:space="preserve">direction of data </w:t>
      </w:r>
      <w:r w:rsidR="00DB6B72">
        <w:rPr>
          <w:sz w:val="20"/>
        </w:rPr>
        <w:t>to which</w:t>
      </w:r>
      <w:r w:rsidR="00231D51">
        <w:rPr>
          <w:sz w:val="20"/>
        </w:rPr>
        <w:t xml:space="preserve"> the TID-to-Link mapping applies</w:t>
      </w:r>
      <w:r w:rsidR="00DB6B72">
        <w:rPr>
          <w:sz w:val="20"/>
        </w:rPr>
        <w:t xml:space="preserve"> </w:t>
      </w:r>
      <w:r w:rsidR="00DB6B72" w:rsidRPr="00DB6B72">
        <w:rPr>
          <w:sz w:val="20"/>
        </w:rPr>
        <w:t>for all links indicated in the TID-to-Link Mapping information field</w:t>
      </w:r>
      <w:r w:rsidR="00231D51">
        <w:rPr>
          <w:sz w:val="20"/>
        </w:rPr>
        <w:t xml:space="preserve">. The encoding of the Direction </w:t>
      </w:r>
      <w:proofErr w:type="spellStart"/>
      <w:r w:rsidR="00231D51">
        <w:rPr>
          <w:sz w:val="20"/>
        </w:rPr>
        <w:t>subfiled</w:t>
      </w:r>
      <w:proofErr w:type="spellEnd"/>
      <w:r w:rsidR="00231D51">
        <w:rPr>
          <w:sz w:val="20"/>
        </w:rPr>
        <w:t xml:space="preserve"> is shown in Table 9-158 (</w:t>
      </w:r>
      <w:r w:rsidR="00231D51" w:rsidRPr="00231D51">
        <w:rPr>
          <w:sz w:val="20"/>
        </w:rPr>
        <w:t>Direction subfield encoding</w:t>
      </w:r>
      <w:r w:rsidR="00231D51">
        <w:rPr>
          <w:sz w:val="20"/>
        </w:rPr>
        <w:t>).</w:t>
      </w:r>
    </w:p>
    <w:p w14:paraId="6462BDD5" w14:textId="77777777" w:rsidR="00934506" w:rsidRPr="00A5418F" w:rsidRDefault="00934506" w:rsidP="004723DE">
      <w:pPr>
        <w:jc w:val="both"/>
        <w:rPr>
          <w:sz w:val="20"/>
        </w:rPr>
      </w:pPr>
    </w:p>
    <w:p w14:paraId="3B197C4E" w14:textId="2191B651" w:rsidR="00934506" w:rsidRPr="00A5418F" w:rsidRDefault="00231D51" w:rsidP="004723DE">
      <w:pPr>
        <w:jc w:val="both"/>
        <w:rPr>
          <w:sz w:val="20"/>
        </w:rPr>
      </w:pPr>
      <w:r>
        <w:rPr>
          <w:sz w:val="20"/>
        </w:rPr>
        <w:t>A STA that transmits the TID-to-Link Mapping element with the TID-to-Link Mapping Request subfield equal to 1 is a TID-to-Link mapping initiator. Otherwise, it is a TID-to-Link mapping responder.</w:t>
      </w:r>
    </w:p>
    <w:p w14:paraId="5BC293B3" w14:textId="77777777" w:rsidR="00934506" w:rsidRPr="00A5418F" w:rsidRDefault="00934506" w:rsidP="004723DE">
      <w:pPr>
        <w:jc w:val="both"/>
        <w:rPr>
          <w:sz w:val="20"/>
        </w:rPr>
      </w:pPr>
    </w:p>
    <w:p w14:paraId="52A93249" w14:textId="506AF2F6" w:rsidR="00934506" w:rsidRDefault="00E77427" w:rsidP="004723DE">
      <w:pPr>
        <w:jc w:val="both"/>
        <w:rPr>
          <w:sz w:val="20"/>
        </w:rPr>
      </w:pPr>
      <w:r>
        <w:rPr>
          <w:sz w:val="20"/>
        </w:rPr>
        <w:t xml:space="preserve">The </w:t>
      </w:r>
      <w:r w:rsidRPr="00E77427">
        <w:rPr>
          <w:sz w:val="20"/>
        </w:rPr>
        <w:t>TID-to-Link Mapping Negotiation Type</w:t>
      </w:r>
      <w:r>
        <w:rPr>
          <w:sz w:val="20"/>
        </w:rPr>
        <w:t xml:space="preserve"> subfield is encoded as shown in Table </w:t>
      </w:r>
      <w:r w:rsidR="00BB0165">
        <w:rPr>
          <w:sz w:val="20"/>
        </w:rPr>
        <w:t>9-322ao</w:t>
      </w:r>
      <w:r>
        <w:rPr>
          <w:sz w:val="20"/>
        </w:rPr>
        <w:t>.</w:t>
      </w:r>
    </w:p>
    <w:p w14:paraId="60652D09" w14:textId="77777777" w:rsidR="00BB0165" w:rsidRDefault="00BB0165" w:rsidP="004723DE">
      <w:pPr>
        <w:jc w:val="both"/>
        <w:rPr>
          <w:sz w:val="20"/>
        </w:rPr>
      </w:pPr>
    </w:p>
    <w:p w14:paraId="5FDE725A" w14:textId="35206FB8" w:rsidR="00B607F8" w:rsidRPr="00BB0165" w:rsidRDefault="00BB0165" w:rsidP="00BB0165">
      <w:pPr>
        <w:jc w:val="center"/>
        <w:rPr>
          <w:rFonts w:ascii="Arial" w:hAnsi="Arial" w:cs="Arial"/>
          <w:b/>
          <w:sz w:val="20"/>
        </w:rPr>
      </w:pPr>
      <w:r>
        <w:rPr>
          <w:rFonts w:ascii="Arial" w:hAnsi="Arial" w:cs="Arial"/>
          <w:b/>
          <w:sz w:val="20"/>
        </w:rPr>
        <w:t>Table 9-322ao</w:t>
      </w:r>
      <w:r w:rsidRPr="00BB0165">
        <w:rPr>
          <w:rFonts w:ascii="Arial" w:hAnsi="Arial" w:cs="Arial"/>
          <w:b/>
          <w:sz w:val="20"/>
        </w:rPr>
        <w:t xml:space="preserve"> – TID-to-Link Mapping Negotiation Type subfield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97"/>
        <w:gridCol w:w="4460"/>
      </w:tblGrid>
      <w:tr w:rsidR="00B607F8" w14:paraId="578DB5D1" w14:textId="77777777" w:rsidTr="006F2543">
        <w:trPr>
          <w:trHeight w:val="402"/>
          <w:jc w:val="center"/>
        </w:trPr>
        <w:tc>
          <w:tcPr>
            <w:tcW w:w="1997"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8194B8D" w14:textId="703F85B4" w:rsidR="00B607F8" w:rsidRDefault="006F2543" w:rsidP="006F2543">
            <w:pPr>
              <w:pStyle w:val="CellHeading"/>
            </w:pPr>
            <w:r w:rsidRPr="006F2543">
              <w:rPr>
                <w:w w:val="100"/>
              </w:rPr>
              <w:t xml:space="preserve">TID-to-Link Mapping Negotiation Type subfield </w:t>
            </w:r>
            <w:r>
              <w:rPr>
                <w:w w:val="100"/>
              </w:rPr>
              <w:t>v</w:t>
            </w:r>
            <w:r w:rsidR="00B607F8">
              <w:rPr>
                <w:w w:val="100"/>
              </w:rPr>
              <w:t>alue</w:t>
            </w:r>
          </w:p>
        </w:tc>
        <w:tc>
          <w:tcPr>
            <w:tcW w:w="44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1D74295B" w14:textId="77777777" w:rsidR="00B607F8" w:rsidRDefault="00B607F8" w:rsidP="00B607F8">
            <w:pPr>
              <w:pStyle w:val="CellHeading"/>
            </w:pPr>
            <w:r>
              <w:rPr>
                <w:w w:val="100"/>
              </w:rPr>
              <w:t>Meaning</w:t>
            </w:r>
          </w:p>
        </w:tc>
      </w:tr>
      <w:tr w:rsidR="00B607F8" w14:paraId="121EEA9B" w14:textId="77777777" w:rsidTr="006F2543">
        <w:trPr>
          <w:trHeight w:val="321"/>
          <w:jc w:val="center"/>
        </w:trPr>
        <w:tc>
          <w:tcPr>
            <w:tcW w:w="1997"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7BF1ED0" w14:textId="0B01CC49" w:rsidR="00B607F8" w:rsidRDefault="006F2543" w:rsidP="00B607F8">
            <w:pPr>
              <w:pStyle w:val="Body"/>
              <w:spacing w:before="0" w:line="200" w:lineRule="atLeast"/>
              <w:jc w:val="center"/>
              <w:rPr>
                <w:sz w:val="18"/>
                <w:szCs w:val="18"/>
              </w:rPr>
            </w:pPr>
            <w:r>
              <w:rPr>
                <w:w w:val="100"/>
                <w:sz w:val="18"/>
                <w:szCs w:val="18"/>
              </w:rPr>
              <w:t>0</w:t>
            </w:r>
          </w:p>
        </w:tc>
        <w:tc>
          <w:tcPr>
            <w:tcW w:w="44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597C801" w14:textId="77777777" w:rsidR="00B607F8" w:rsidRDefault="0002630A" w:rsidP="0002630A">
            <w:pPr>
              <w:pStyle w:val="CellBody"/>
              <w:rPr>
                <w:w w:val="100"/>
              </w:rPr>
            </w:pPr>
            <w:r>
              <w:rPr>
                <w:w w:val="100"/>
              </w:rPr>
              <w:t xml:space="preserve">Suggest </w:t>
            </w:r>
            <w:r w:rsidR="00B607F8">
              <w:rPr>
                <w:w w:val="100"/>
              </w:rPr>
              <w:t>TID-to-Link Mapping</w:t>
            </w:r>
            <w:r w:rsidR="006F2543">
              <w:rPr>
                <w:w w:val="100"/>
              </w:rPr>
              <w:t>.</w:t>
            </w:r>
            <w:r w:rsidR="00B607F8">
              <w:rPr>
                <w:w w:val="100"/>
              </w:rPr>
              <w:t xml:space="preserve"> </w:t>
            </w:r>
          </w:p>
          <w:p w14:paraId="4FF945DF" w14:textId="77777777" w:rsidR="006F2543" w:rsidRDefault="006F2543" w:rsidP="006F2543">
            <w:pPr>
              <w:pStyle w:val="CellBody"/>
              <w:rPr>
                <w:w w:val="100"/>
              </w:rPr>
            </w:pPr>
            <w:r>
              <w:rPr>
                <w:w w:val="100"/>
              </w:rPr>
              <w:t>A TID-to-Link mapping initiator request to establish a TID-to-Link mapping, and specifies a suggested TID-to-Link mapping.</w:t>
            </w:r>
          </w:p>
          <w:p w14:paraId="5A0DE555" w14:textId="6D1A01D5" w:rsidR="006F2543" w:rsidRDefault="006F2543" w:rsidP="006F2543">
            <w:pPr>
              <w:pStyle w:val="CellBody"/>
            </w:pPr>
            <w:r>
              <w:rPr>
                <w:w w:val="100"/>
              </w:rPr>
              <w:t xml:space="preserve">Only applicable when the </w:t>
            </w:r>
            <w:r w:rsidRPr="006F2543">
              <w:rPr>
                <w:w w:val="100"/>
              </w:rPr>
              <w:t xml:space="preserve">TID-to-Link Mapping Request subfield </w:t>
            </w:r>
            <w:r>
              <w:rPr>
                <w:w w:val="100"/>
              </w:rPr>
              <w:t xml:space="preserve">is </w:t>
            </w:r>
            <w:r w:rsidRPr="006F2543">
              <w:rPr>
                <w:w w:val="100"/>
              </w:rPr>
              <w:t>equal to 1</w:t>
            </w:r>
            <w:r>
              <w:rPr>
                <w:w w:val="100"/>
              </w:rPr>
              <w:t>.</w:t>
            </w:r>
          </w:p>
        </w:tc>
      </w:tr>
      <w:tr w:rsidR="00B607F8" w14:paraId="3564E8DE" w14:textId="77777777" w:rsidTr="006F2543">
        <w:trPr>
          <w:trHeight w:val="321"/>
          <w:jc w:val="center"/>
        </w:trPr>
        <w:tc>
          <w:tcPr>
            <w:tcW w:w="1997"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71AEC30" w14:textId="2125C9A1" w:rsidR="00B607F8" w:rsidRDefault="006F2543" w:rsidP="00B607F8">
            <w:pPr>
              <w:pStyle w:val="Body"/>
              <w:spacing w:before="0" w:line="200" w:lineRule="atLeast"/>
              <w:jc w:val="center"/>
              <w:rPr>
                <w:sz w:val="18"/>
                <w:szCs w:val="18"/>
              </w:rPr>
            </w:pPr>
            <w:r>
              <w:rPr>
                <w:w w:val="100"/>
                <w:sz w:val="18"/>
                <w:szCs w:val="18"/>
              </w:rPr>
              <w:lastRenderedPageBreak/>
              <w:t>1</w:t>
            </w:r>
          </w:p>
        </w:tc>
        <w:tc>
          <w:tcPr>
            <w:tcW w:w="44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9C52F55" w14:textId="77777777" w:rsidR="00B607F8" w:rsidRDefault="0002630A" w:rsidP="0002630A">
            <w:pPr>
              <w:pStyle w:val="CellBody"/>
              <w:rPr>
                <w:w w:val="100"/>
              </w:rPr>
            </w:pPr>
            <w:r>
              <w:rPr>
                <w:w w:val="100"/>
              </w:rPr>
              <w:t xml:space="preserve">Demand </w:t>
            </w:r>
            <w:r w:rsidR="00B607F8">
              <w:rPr>
                <w:w w:val="100"/>
              </w:rPr>
              <w:t>TID-to-Link Mapping</w:t>
            </w:r>
            <w:r w:rsidR="006F2543">
              <w:rPr>
                <w:w w:val="100"/>
              </w:rPr>
              <w:t>.</w:t>
            </w:r>
            <w:r w:rsidR="00B607F8">
              <w:rPr>
                <w:w w:val="100"/>
              </w:rPr>
              <w:t xml:space="preserve"> </w:t>
            </w:r>
          </w:p>
          <w:p w14:paraId="2C95A066" w14:textId="0952F2B3" w:rsidR="006F2543" w:rsidRDefault="006F2543" w:rsidP="006F2543">
            <w:pPr>
              <w:pStyle w:val="CellBody"/>
              <w:rPr>
                <w:w w:val="100"/>
              </w:rPr>
            </w:pPr>
            <w:r>
              <w:rPr>
                <w:w w:val="100"/>
              </w:rPr>
              <w:t>A TID-to-Link mapping initiator request to establish a TID-to-Link mapping, and specifies a demanded TID-to-Link mapping.</w:t>
            </w:r>
          </w:p>
          <w:p w14:paraId="6EE3C9E5" w14:textId="03372E38" w:rsidR="006F2543" w:rsidRDefault="006F2543" w:rsidP="006F2543">
            <w:pPr>
              <w:pStyle w:val="CellBody"/>
            </w:pPr>
            <w:r>
              <w:rPr>
                <w:w w:val="100"/>
              </w:rPr>
              <w:t xml:space="preserve">Only applicable when the </w:t>
            </w:r>
            <w:r w:rsidRPr="006F2543">
              <w:rPr>
                <w:w w:val="100"/>
              </w:rPr>
              <w:t xml:space="preserve">TID-to-Link Mapping Request subfield </w:t>
            </w:r>
            <w:r>
              <w:rPr>
                <w:w w:val="100"/>
              </w:rPr>
              <w:t xml:space="preserve">is </w:t>
            </w:r>
            <w:r w:rsidRPr="006F2543">
              <w:rPr>
                <w:w w:val="100"/>
              </w:rPr>
              <w:t>equal to 1</w:t>
            </w:r>
            <w:r>
              <w:rPr>
                <w:w w:val="100"/>
              </w:rPr>
              <w:t>.</w:t>
            </w:r>
          </w:p>
        </w:tc>
      </w:tr>
      <w:tr w:rsidR="00B607F8" w14:paraId="7B44BA67" w14:textId="77777777" w:rsidTr="006F2543">
        <w:trPr>
          <w:trHeight w:val="321"/>
          <w:jc w:val="center"/>
        </w:trPr>
        <w:tc>
          <w:tcPr>
            <w:tcW w:w="1997"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00733CF" w14:textId="555B4637" w:rsidR="00B607F8" w:rsidRDefault="006F2543" w:rsidP="00B607F8">
            <w:pPr>
              <w:pStyle w:val="Body"/>
              <w:spacing w:before="0" w:line="200" w:lineRule="atLeast"/>
              <w:jc w:val="center"/>
              <w:rPr>
                <w:w w:val="100"/>
                <w:sz w:val="18"/>
                <w:szCs w:val="18"/>
              </w:rPr>
            </w:pPr>
            <w:r>
              <w:rPr>
                <w:w w:val="100"/>
                <w:sz w:val="18"/>
                <w:szCs w:val="18"/>
              </w:rPr>
              <w:t>2</w:t>
            </w:r>
          </w:p>
        </w:tc>
        <w:tc>
          <w:tcPr>
            <w:tcW w:w="44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2AEC580" w14:textId="77777777" w:rsidR="00B607F8" w:rsidRDefault="006F2543" w:rsidP="00B607F8">
            <w:pPr>
              <w:pStyle w:val="CellBody"/>
              <w:rPr>
                <w:w w:val="100"/>
              </w:rPr>
            </w:pPr>
            <w:r>
              <w:rPr>
                <w:w w:val="100"/>
              </w:rPr>
              <w:t>Accept TID-to-Link Mapping.</w:t>
            </w:r>
          </w:p>
          <w:p w14:paraId="1CD6F3FA" w14:textId="77777777" w:rsidR="00BB0165" w:rsidRDefault="006F2543" w:rsidP="00BB0165">
            <w:pPr>
              <w:pStyle w:val="CellBody"/>
              <w:rPr>
                <w:w w:val="100"/>
              </w:rPr>
            </w:pPr>
            <w:r>
              <w:rPr>
                <w:w w:val="100"/>
              </w:rPr>
              <w:t xml:space="preserve">A TID-to-Link mapping responder accepts </w:t>
            </w:r>
            <w:r w:rsidR="00BB0165">
              <w:rPr>
                <w:w w:val="100"/>
              </w:rPr>
              <w:t>the</w:t>
            </w:r>
            <w:r>
              <w:rPr>
                <w:w w:val="100"/>
              </w:rPr>
              <w:t xml:space="preserve"> TID-to-Link mapping</w:t>
            </w:r>
            <w:r w:rsidR="00BB0165">
              <w:rPr>
                <w:w w:val="100"/>
              </w:rPr>
              <w:t xml:space="preserve"> request indicated in the TID-to-Link mapping element transmitted by the TID-to-Link mapping initiator.</w:t>
            </w:r>
          </w:p>
          <w:p w14:paraId="4F5B43CC" w14:textId="4EF7A93E" w:rsidR="006F2543" w:rsidRDefault="00BB0165" w:rsidP="00BB0165">
            <w:pPr>
              <w:pStyle w:val="CellBody"/>
              <w:rPr>
                <w:w w:val="100"/>
              </w:rPr>
            </w:pPr>
            <w:r>
              <w:rPr>
                <w:w w:val="100"/>
              </w:rPr>
              <w:t xml:space="preserve">Only applicable when the </w:t>
            </w:r>
            <w:r w:rsidRPr="006F2543">
              <w:rPr>
                <w:w w:val="100"/>
              </w:rPr>
              <w:t xml:space="preserve">TID-to-Link Mapping Request subfield </w:t>
            </w:r>
            <w:r>
              <w:rPr>
                <w:w w:val="100"/>
              </w:rPr>
              <w:t>is equal to 0.</w:t>
            </w:r>
          </w:p>
        </w:tc>
      </w:tr>
      <w:tr w:rsidR="00B607F8" w14:paraId="71D4D860" w14:textId="77777777" w:rsidTr="006F2543">
        <w:trPr>
          <w:trHeight w:val="321"/>
          <w:jc w:val="center"/>
        </w:trPr>
        <w:tc>
          <w:tcPr>
            <w:tcW w:w="1997"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202B3C" w14:textId="371E5DDD" w:rsidR="00B607F8" w:rsidRDefault="006F2543" w:rsidP="00B607F8">
            <w:pPr>
              <w:pStyle w:val="Body"/>
              <w:spacing w:before="0" w:line="200" w:lineRule="atLeast"/>
              <w:jc w:val="center"/>
              <w:rPr>
                <w:w w:val="100"/>
                <w:sz w:val="18"/>
                <w:szCs w:val="18"/>
              </w:rPr>
            </w:pPr>
            <w:r>
              <w:rPr>
                <w:w w:val="100"/>
                <w:sz w:val="18"/>
                <w:szCs w:val="18"/>
              </w:rPr>
              <w:t>3</w:t>
            </w:r>
          </w:p>
        </w:tc>
        <w:tc>
          <w:tcPr>
            <w:tcW w:w="44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347DFA0" w14:textId="77777777" w:rsidR="00B607F8" w:rsidRDefault="006F2543" w:rsidP="00B607F8">
            <w:pPr>
              <w:pStyle w:val="CellBody"/>
              <w:rPr>
                <w:w w:val="100"/>
              </w:rPr>
            </w:pPr>
            <w:r>
              <w:rPr>
                <w:w w:val="100"/>
              </w:rPr>
              <w:t>Alternate TID-to-Link Mapping.</w:t>
            </w:r>
          </w:p>
          <w:p w14:paraId="7EE7440F" w14:textId="77777777" w:rsidR="00BB0165" w:rsidRDefault="00BB0165" w:rsidP="00B607F8">
            <w:pPr>
              <w:pStyle w:val="CellBody"/>
              <w:rPr>
                <w:w w:val="100"/>
              </w:rPr>
            </w:pPr>
            <w:r>
              <w:rPr>
                <w:w w:val="100"/>
              </w:rPr>
              <w:t xml:space="preserve">A TID-to-Link mapping responder suggests a </w:t>
            </w:r>
            <w:r w:rsidRPr="00BB0165">
              <w:rPr>
                <w:w w:val="100"/>
              </w:rPr>
              <w:t>TID-to-Link mapping</w:t>
            </w:r>
            <w:r>
              <w:rPr>
                <w:w w:val="100"/>
              </w:rPr>
              <w:t xml:space="preserve"> that is different from the one suggested by the TID-to-Link mapping initiator.</w:t>
            </w:r>
          </w:p>
          <w:p w14:paraId="1A27542C" w14:textId="092AEDF6" w:rsidR="00BB0165" w:rsidRDefault="00BB0165" w:rsidP="00B607F8">
            <w:pPr>
              <w:pStyle w:val="CellBody"/>
              <w:rPr>
                <w:w w:val="100"/>
              </w:rPr>
            </w:pPr>
            <w:r>
              <w:rPr>
                <w:w w:val="100"/>
              </w:rPr>
              <w:t xml:space="preserve">Only applicable when the </w:t>
            </w:r>
            <w:r w:rsidRPr="006F2543">
              <w:rPr>
                <w:w w:val="100"/>
              </w:rPr>
              <w:t xml:space="preserve">TID-to-Link Mapping Request subfield </w:t>
            </w:r>
            <w:r>
              <w:rPr>
                <w:w w:val="100"/>
              </w:rPr>
              <w:t>is equal to 0.</w:t>
            </w:r>
          </w:p>
        </w:tc>
      </w:tr>
      <w:tr w:rsidR="00B607F8" w14:paraId="2AC41751" w14:textId="77777777" w:rsidTr="006F2543">
        <w:trPr>
          <w:trHeight w:val="321"/>
          <w:jc w:val="center"/>
        </w:trPr>
        <w:tc>
          <w:tcPr>
            <w:tcW w:w="1997"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27A0E7" w14:textId="61096653" w:rsidR="00B607F8" w:rsidRDefault="006F2543" w:rsidP="00B607F8">
            <w:pPr>
              <w:pStyle w:val="Body"/>
              <w:spacing w:before="0" w:line="200" w:lineRule="atLeast"/>
              <w:jc w:val="center"/>
              <w:rPr>
                <w:w w:val="100"/>
                <w:sz w:val="18"/>
                <w:szCs w:val="18"/>
              </w:rPr>
            </w:pPr>
            <w:r>
              <w:rPr>
                <w:w w:val="100"/>
                <w:sz w:val="18"/>
                <w:szCs w:val="18"/>
              </w:rPr>
              <w:t>4</w:t>
            </w:r>
          </w:p>
        </w:tc>
        <w:tc>
          <w:tcPr>
            <w:tcW w:w="44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E24962E" w14:textId="77777777" w:rsidR="00B607F8" w:rsidRDefault="006F2543" w:rsidP="00B607F8">
            <w:pPr>
              <w:pStyle w:val="CellBody"/>
              <w:rPr>
                <w:w w:val="100"/>
              </w:rPr>
            </w:pPr>
            <w:r>
              <w:rPr>
                <w:w w:val="100"/>
              </w:rPr>
              <w:t>Dictate TID-to-Link Mapping.</w:t>
            </w:r>
          </w:p>
          <w:p w14:paraId="2CA21058" w14:textId="5B4613A8" w:rsidR="00BB0165" w:rsidRDefault="00BB0165" w:rsidP="00B607F8">
            <w:pPr>
              <w:pStyle w:val="CellBody"/>
              <w:rPr>
                <w:w w:val="100"/>
              </w:rPr>
            </w:pPr>
            <w:r>
              <w:rPr>
                <w:w w:val="100"/>
              </w:rPr>
              <w:t xml:space="preserve">A TID-to-Link mapping responder indicates a </w:t>
            </w:r>
            <w:r w:rsidRPr="00BB0165">
              <w:rPr>
                <w:w w:val="100"/>
              </w:rPr>
              <w:t>TID-to-Link mapping</w:t>
            </w:r>
            <w:r>
              <w:rPr>
                <w:w w:val="100"/>
              </w:rPr>
              <w:t xml:space="preserve"> that is different from the one suggested by the TID-to-Link mapping initiator.</w:t>
            </w:r>
          </w:p>
          <w:p w14:paraId="6B54AED5" w14:textId="6059CB32" w:rsidR="00BB0165" w:rsidRDefault="00BB0165" w:rsidP="00B607F8">
            <w:pPr>
              <w:pStyle w:val="CellBody"/>
              <w:rPr>
                <w:w w:val="100"/>
              </w:rPr>
            </w:pPr>
            <w:r>
              <w:rPr>
                <w:w w:val="100"/>
              </w:rPr>
              <w:t xml:space="preserve">Only applicable when the </w:t>
            </w:r>
            <w:r w:rsidRPr="006F2543">
              <w:rPr>
                <w:w w:val="100"/>
              </w:rPr>
              <w:t xml:space="preserve">TID-to-Link Mapping Request subfield </w:t>
            </w:r>
            <w:r>
              <w:rPr>
                <w:w w:val="100"/>
              </w:rPr>
              <w:t>is equal to 0.</w:t>
            </w:r>
          </w:p>
        </w:tc>
      </w:tr>
      <w:tr w:rsidR="00BB0165" w14:paraId="5CD87AAA" w14:textId="77777777" w:rsidTr="006F2543">
        <w:trPr>
          <w:trHeight w:val="321"/>
          <w:jc w:val="center"/>
        </w:trPr>
        <w:tc>
          <w:tcPr>
            <w:tcW w:w="1997"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0941D41" w14:textId="77E6BFD2" w:rsidR="00BB0165" w:rsidRDefault="00BB0165" w:rsidP="00B607F8">
            <w:pPr>
              <w:pStyle w:val="Body"/>
              <w:spacing w:before="0" w:line="200" w:lineRule="atLeast"/>
              <w:jc w:val="center"/>
              <w:rPr>
                <w:w w:val="100"/>
                <w:sz w:val="18"/>
                <w:szCs w:val="18"/>
              </w:rPr>
            </w:pPr>
            <w:r>
              <w:rPr>
                <w:w w:val="100"/>
                <w:sz w:val="18"/>
                <w:szCs w:val="18"/>
              </w:rPr>
              <w:t>5</w:t>
            </w:r>
          </w:p>
        </w:tc>
        <w:tc>
          <w:tcPr>
            <w:tcW w:w="44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3326BFA" w14:textId="77777777" w:rsidR="00BB0165" w:rsidRDefault="00BB0165" w:rsidP="00B607F8">
            <w:pPr>
              <w:pStyle w:val="CellBody"/>
              <w:rPr>
                <w:w w:val="100"/>
              </w:rPr>
            </w:pPr>
            <w:r>
              <w:rPr>
                <w:w w:val="100"/>
              </w:rPr>
              <w:t>Reject TID-to-Link Mapping.</w:t>
            </w:r>
          </w:p>
          <w:p w14:paraId="364E5294" w14:textId="7F3E4BAE" w:rsidR="00BB0165" w:rsidRDefault="00BB0165" w:rsidP="00BB0165">
            <w:pPr>
              <w:pStyle w:val="CellBody"/>
              <w:rPr>
                <w:w w:val="100"/>
              </w:rPr>
            </w:pPr>
            <w:r>
              <w:rPr>
                <w:w w:val="100"/>
              </w:rPr>
              <w:t xml:space="preserve">A TID-to-Link mapping responder </w:t>
            </w:r>
            <w:r w:rsidR="00265F7D">
              <w:rPr>
                <w:w w:val="100"/>
              </w:rPr>
              <w:t>rejects the</w:t>
            </w:r>
            <w:r>
              <w:rPr>
                <w:w w:val="100"/>
              </w:rPr>
              <w:t xml:space="preserve"> </w:t>
            </w:r>
            <w:r w:rsidRPr="00BB0165">
              <w:rPr>
                <w:w w:val="100"/>
              </w:rPr>
              <w:t>TID-to-Link mapping</w:t>
            </w:r>
            <w:r>
              <w:rPr>
                <w:w w:val="100"/>
              </w:rPr>
              <w:t xml:space="preserve"> </w:t>
            </w:r>
            <w:r w:rsidR="00265F7D">
              <w:rPr>
                <w:w w:val="100"/>
              </w:rPr>
              <w:t>requested</w:t>
            </w:r>
            <w:r>
              <w:rPr>
                <w:w w:val="100"/>
              </w:rPr>
              <w:t xml:space="preserve"> by the TID-to-Link mapping initiator.</w:t>
            </w:r>
          </w:p>
          <w:p w14:paraId="6D331C7B" w14:textId="75C2B85A" w:rsidR="00BB0165" w:rsidRDefault="00BB0165" w:rsidP="00BB0165">
            <w:pPr>
              <w:pStyle w:val="CellBody"/>
              <w:rPr>
                <w:w w:val="100"/>
              </w:rPr>
            </w:pPr>
            <w:r>
              <w:rPr>
                <w:w w:val="100"/>
              </w:rPr>
              <w:t xml:space="preserve">Only applicable when the </w:t>
            </w:r>
            <w:r w:rsidRPr="006F2543">
              <w:rPr>
                <w:w w:val="100"/>
              </w:rPr>
              <w:t xml:space="preserve">TID-to-Link Mapping Request subfield </w:t>
            </w:r>
            <w:r>
              <w:rPr>
                <w:w w:val="100"/>
              </w:rPr>
              <w:t>is equal to 0.</w:t>
            </w:r>
          </w:p>
        </w:tc>
      </w:tr>
      <w:tr w:rsidR="00B607F8" w14:paraId="74665880" w14:textId="77777777" w:rsidTr="006F2543">
        <w:trPr>
          <w:trHeight w:val="321"/>
          <w:jc w:val="center"/>
        </w:trPr>
        <w:tc>
          <w:tcPr>
            <w:tcW w:w="1997"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C33384" w14:textId="109A4CBD" w:rsidR="00B607F8" w:rsidRDefault="00BB0165" w:rsidP="00B607F8">
            <w:pPr>
              <w:pStyle w:val="Body"/>
              <w:spacing w:before="0" w:line="200" w:lineRule="atLeast"/>
              <w:jc w:val="center"/>
              <w:rPr>
                <w:w w:val="100"/>
                <w:sz w:val="18"/>
                <w:szCs w:val="18"/>
              </w:rPr>
            </w:pPr>
            <w:r>
              <w:rPr>
                <w:w w:val="100"/>
                <w:sz w:val="18"/>
                <w:szCs w:val="18"/>
              </w:rPr>
              <w:t>6</w:t>
            </w:r>
            <w:r w:rsidR="006F2543">
              <w:rPr>
                <w:w w:val="100"/>
                <w:sz w:val="18"/>
                <w:szCs w:val="18"/>
              </w:rPr>
              <w:t>-7</w:t>
            </w:r>
          </w:p>
        </w:tc>
        <w:tc>
          <w:tcPr>
            <w:tcW w:w="44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39C0B32" w14:textId="685F127D" w:rsidR="00B607F8" w:rsidRDefault="006F2543" w:rsidP="00B607F8">
            <w:pPr>
              <w:pStyle w:val="CellBody"/>
              <w:rPr>
                <w:w w:val="100"/>
              </w:rPr>
            </w:pPr>
            <w:r>
              <w:rPr>
                <w:w w:val="100"/>
              </w:rPr>
              <w:t>Reserved</w:t>
            </w:r>
          </w:p>
        </w:tc>
      </w:tr>
    </w:tbl>
    <w:p w14:paraId="73D5D43D" w14:textId="77777777" w:rsidR="00B607F8" w:rsidRDefault="00B607F8" w:rsidP="004723DE">
      <w:pPr>
        <w:jc w:val="both"/>
        <w:rPr>
          <w:sz w:val="20"/>
        </w:rPr>
      </w:pPr>
    </w:p>
    <w:p w14:paraId="34AE4D88" w14:textId="77777777" w:rsidR="00E77427" w:rsidRDefault="00E77427" w:rsidP="004723DE">
      <w:pPr>
        <w:jc w:val="both"/>
        <w:rPr>
          <w:sz w:val="20"/>
        </w:rPr>
      </w:pPr>
    </w:p>
    <w:p w14:paraId="1DE1318D" w14:textId="4F23CD9A" w:rsidR="00E77427" w:rsidRDefault="00E77427" w:rsidP="004723DE">
      <w:pPr>
        <w:jc w:val="both"/>
        <w:rPr>
          <w:sz w:val="20"/>
        </w:rPr>
      </w:pPr>
      <w:r>
        <w:rPr>
          <w:sz w:val="20"/>
        </w:rPr>
        <w:t xml:space="preserve">The Default Mapping subfield is set to 1 to indicate that all TIDs are mapped to all </w:t>
      </w:r>
      <w:r w:rsidR="00DB6B72">
        <w:rPr>
          <w:sz w:val="20"/>
        </w:rPr>
        <w:t xml:space="preserve">setup </w:t>
      </w:r>
      <w:r>
        <w:rPr>
          <w:sz w:val="20"/>
        </w:rPr>
        <w:t xml:space="preserve">links. Otherwise, it is set to 0. </w:t>
      </w:r>
    </w:p>
    <w:p w14:paraId="6336B6B7" w14:textId="77777777" w:rsidR="00E77427" w:rsidRPr="00A5418F" w:rsidRDefault="00E77427" w:rsidP="004723DE">
      <w:pPr>
        <w:jc w:val="both"/>
        <w:rPr>
          <w:sz w:val="20"/>
        </w:rPr>
      </w:pPr>
    </w:p>
    <w:p w14:paraId="0E014143" w14:textId="7AE56400" w:rsidR="00934506" w:rsidRDefault="00E77427" w:rsidP="004723DE">
      <w:pPr>
        <w:jc w:val="both"/>
      </w:pPr>
      <w:r w:rsidRPr="00184989">
        <w:rPr>
          <w:sz w:val="20"/>
        </w:rPr>
        <w:t>The</w:t>
      </w:r>
      <w:r>
        <w:rPr>
          <w:sz w:val="20"/>
        </w:rPr>
        <w:t xml:space="preserve"> </w:t>
      </w:r>
      <w:r w:rsidRPr="00A5418F">
        <w:rPr>
          <w:sz w:val="20"/>
        </w:rPr>
        <w:t xml:space="preserve">TID-to-Link Mapping Information </w:t>
      </w:r>
      <w:r>
        <w:rPr>
          <w:sz w:val="20"/>
        </w:rPr>
        <w:t>field is only present when the Default Mapping subfield is set to 0. Otherwise, it is not present. If present, t</w:t>
      </w:r>
      <w:r w:rsidR="00A5418F" w:rsidRPr="00184989">
        <w:rPr>
          <w:sz w:val="20"/>
        </w:rPr>
        <w:t>he</w:t>
      </w:r>
      <w:r w:rsidR="00A5418F">
        <w:rPr>
          <w:sz w:val="20"/>
        </w:rPr>
        <w:t xml:space="preserve"> </w:t>
      </w:r>
      <w:r w:rsidR="00A5418F" w:rsidRPr="00A5418F">
        <w:rPr>
          <w:sz w:val="20"/>
        </w:rPr>
        <w:t xml:space="preserve">TID-to-Link Mapping Information </w:t>
      </w:r>
      <w:r w:rsidR="00A5418F">
        <w:rPr>
          <w:sz w:val="20"/>
        </w:rPr>
        <w:t>field is shown in Figure 9-788en (</w:t>
      </w:r>
      <w:r w:rsidR="00A5418F" w:rsidRPr="00A5418F">
        <w:rPr>
          <w:sz w:val="20"/>
        </w:rPr>
        <w:t>TID-to-Link Mapping Information field format</w:t>
      </w:r>
      <w:r w:rsidR="00A5418F">
        <w:rPr>
          <w:sz w:val="20"/>
        </w:rPr>
        <w:t>).</w:t>
      </w:r>
    </w:p>
    <w:p w14:paraId="548B2F92" w14:textId="77777777" w:rsidR="00934506" w:rsidRDefault="00934506" w:rsidP="00934506">
      <w:pPr>
        <w:pStyle w:val="Default"/>
      </w:pPr>
    </w:p>
    <w:tbl>
      <w:tblPr>
        <w:tblW w:w="4395"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347"/>
        <w:gridCol w:w="850"/>
        <w:gridCol w:w="1418"/>
      </w:tblGrid>
      <w:tr w:rsidR="00D77ECC" w14:paraId="62E8802F" w14:textId="77777777" w:rsidTr="00D77ECC">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7AACE986" w14:textId="77777777" w:rsidR="00D77ECC" w:rsidRDefault="00D77ECC" w:rsidP="00231D51">
            <w:pPr>
              <w:pStyle w:val="figuretext"/>
              <w:rPr>
                <w:w w:val="1"/>
              </w:rPr>
            </w:pPr>
          </w:p>
        </w:tc>
        <w:tc>
          <w:tcPr>
            <w:tcW w:w="1347" w:type="dxa"/>
            <w:tcBorders>
              <w:top w:val="single" w:sz="12" w:space="0" w:color="000000"/>
              <w:left w:val="single" w:sz="12" w:space="0" w:color="000000"/>
              <w:bottom w:val="single" w:sz="12" w:space="0" w:color="000000"/>
              <w:right w:val="single" w:sz="12" w:space="0" w:color="000000"/>
            </w:tcBorders>
            <w:vAlign w:val="center"/>
          </w:tcPr>
          <w:p w14:paraId="3F68C395" w14:textId="0F06BC60" w:rsidR="00D77ECC" w:rsidRDefault="002E2722" w:rsidP="00231D51">
            <w:pPr>
              <w:pStyle w:val="figuretext"/>
              <w:rPr>
                <w:w w:val="100"/>
              </w:rPr>
            </w:pPr>
            <w:r>
              <w:rPr>
                <w:w w:val="100"/>
              </w:rPr>
              <w:t>Link P</w:t>
            </w:r>
            <w:r w:rsidR="00D77ECC">
              <w:rPr>
                <w:w w:val="100"/>
              </w:rPr>
              <w:t>rofile</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31240365" w14:textId="77777777" w:rsidR="00D77ECC" w:rsidRDefault="00D77ECC" w:rsidP="00231D51">
            <w:pPr>
              <w:pStyle w:val="figuretext"/>
              <w:rPr>
                <w:w w:val="100"/>
              </w:rPr>
            </w:pPr>
            <w:r>
              <w:rPr>
                <w:w w:val="100"/>
              </w:rPr>
              <w:t>…</w:t>
            </w:r>
          </w:p>
        </w:tc>
        <w:tc>
          <w:tcPr>
            <w:tcW w:w="1418"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408DBE5" w14:textId="519544F5" w:rsidR="00D77ECC" w:rsidRDefault="002E2722" w:rsidP="00231D51">
            <w:pPr>
              <w:pStyle w:val="figuretext"/>
            </w:pPr>
            <w:r>
              <w:rPr>
                <w:w w:val="100"/>
              </w:rPr>
              <w:t>Link P</w:t>
            </w:r>
            <w:r w:rsidR="00D77ECC">
              <w:rPr>
                <w:w w:val="100"/>
              </w:rPr>
              <w:t>rofile</w:t>
            </w:r>
          </w:p>
        </w:tc>
      </w:tr>
      <w:tr w:rsidR="00D77ECC" w14:paraId="3FFFB575" w14:textId="77777777" w:rsidTr="00D77ECC">
        <w:trPr>
          <w:trHeight w:val="24"/>
          <w:jc w:val="center"/>
        </w:trPr>
        <w:tc>
          <w:tcPr>
            <w:tcW w:w="780" w:type="dxa"/>
            <w:tcMar>
              <w:top w:w="160" w:type="dxa"/>
              <w:left w:w="120" w:type="dxa"/>
              <w:bottom w:w="120" w:type="dxa"/>
              <w:right w:w="120" w:type="dxa"/>
            </w:tcMar>
            <w:vAlign w:val="center"/>
            <w:hideMark/>
          </w:tcPr>
          <w:p w14:paraId="0C8A7A6C" w14:textId="77777777" w:rsidR="00D77ECC" w:rsidRDefault="00D77ECC" w:rsidP="00231D51">
            <w:pPr>
              <w:pStyle w:val="figuretext"/>
            </w:pPr>
            <w:r>
              <w:rPr>
                <w:w w:val="100"/>
              </w:rPr>
              <w:t>Octets:</w:t>
            </w:r>
          </w:p>
        </w:tc>
        <w:tc>
          <w:tcPr>
            <w:tcW w:w="1347" w:type="dxa"/>
            <w:tcBorders>
              <w:top w:val="single" w:sz="12" w:space="0" w:color="000000"/>
              <w:left w:val="nil"/>
              <w:bottom w:val="nil"/>
              <w:right w:val="nil"/>
            </w:tcBorders>
            <w:vAlign w:val="center"/>
          </w:tcPr>
          <w:p w14:paraId="47483BC9" w14:textId="7A592154" w:rsidR="00D77ECC" w:rsidRDefault="00D8502B" w:rsidP="00231D51">
            <w:pPr>
              <w:pStyle w:val="figuretext"/>
              <w:rPr>
                <w:w w:val="100"/>
              </w:rPr>
            </w:pPr>
            <w:r>
              <w:rPr>
                <w:w w:val="100"/>
              </w:rPr>
              <w:t xml:space="preserve">1 or </w:t>
            </w:r>
            <w:r w:rsidR="00D77ECC">
              <w:rPr>
                <w:w w:val="100"/>
              </w:rPr>
              <w:t>2</w:t>
            </w:r>
          </w:p>
        </w:tc>
        <w:tc>
          <w:tcPr>
            <w:tcW w:w="850" w:type="dxa"/>
            <w:tcBorders>
              <w:top w:val="single" w:sz="12" w:space="0" w:color="000000"/>
              <w:left w:val="nil"/>
              <w:bottom w:val="nil"/>
              <w:right w:val="nil"/>
            </w:tcBorders>
          </w:tcPr>
          <w:p w14:paraId="392A6F81" w14:textId="77777777" w:rsidR="00D77ECC" w:rsidRDefault="00D77ECC" w:rsidP="00231D51">
            <w:pPr>
              <w:pStyle w:val="figuretext"/>
              <w:rPr>
                <w:w w:val="100"/>
              </w:rPr>
            </w:pPr>
          </w:p>
        </w:tc>
        <w:tc>
          <w:tcPr>
            <w:tcW w:w="1418" w:type="dxa"/>
            <w:tcBorders>
              <w:top w:val="single" w:sz="12" w:space="0" w:color="000000"/>
              <w:left w:val="nil"/>
              <w:bottom w:val="nil"/>
              <w:right w:val="nil"/>
            </w:tcBorders>
            <w:tcMar>
              <w:top w:w="160" w:type="dxa"/>
              <w:left w:w="120" w:type="dxa"/>
              <w:bottom w:w="120" w:type="dxa"/>
              <w:right w:w="120" w:type="dxa"/>
            </w:tcMar>
            <w:vAlign w:val="center"/>
            <w:hideMark/>
          </w:tcPr>
          <w:p w14:paraId="2C046767" w14:textId="6B1A93D1" w:rsidR="00D77ECC" w:rsidRDefault="00D8502B" w:rsidP="00231D51">
            <w:pPr>
              <w:pStyle w:val="figuretext"/>
            </w:pPr>
            <w:r>
              <w:rPr>
                <w:w w:val="100"/>
              </w:rPr>
              <w:t xml:space="preserve">1 or </w:t>
            </w:r>
            <w:r w:rsidR="00D77ECC">
              <w:rPr>
                <w:w w:val="100"/>
              </w:rPr>
              <w:t>2</w:t>
            </w:r>
          </w:p>
        </w:tc>
      </w:tr>
    </w:tbl>
    <w:p w14:paraId="4FE11794" w14:textId="1F2E73C4" w:rsidR="00934506" w:rsidRDefault="00D77ECC" w:rsidP="00934506">
      <w:pPr>
        <w:pStyle w:val="FigTitle"/>
        <w:spacing w:before="0" w:line="0" w:lineRule="atLeast"/>
      </w:pPr>
      <w:r>
        <w:rPr>
          <w:w w:val="100"/>
        </w:rPr>
        <w:t>Figure 9-788en</w:t>
      </w:r>
      <w:r w:rsidR="00934506">
        <w:rPr>
          <w:w w:val="100"/>
        </w:rPr>
        <w:t xml:space="preserve"> – </w:t>
      </w:r>
      <w:r w:rsidRPr="00D77ECC">
        <w:rPr>
          <w:w w:val="100"/>
        </w:rPr>
        <w:t>TID-to-Link Mapping Information</w:t>
      </w:r>
      <w:r>
        <w:rPr>
          <w:w w:val="100"/>
        </w:rPr>
        <w:t xml:space="preserve"> field</w:t>
      </w:r>
      <w:r w:rsidR="00934506">
        <w:rPr>
          <w:w w:val="100"/>
        </w:rPr>
        <w:t xml:space="preserve"> format</w:t>
      </w:r>
    </w:p>
    <w:p w14:paraId="613168C0" w14:textId="77777777" w:rsidR="00934506" w:rsidRPr="00934506" w:rsidRDefault="00934506" w:rsidP="004723DE">
      <w:pPr>
        <w:jc w:val="both"/>
        <w:rPr>
          <w:lang w:val="en-US"/>
        </w:rPr>
      </w:pPr>
    </w:p>
    <w:p w14:paraId="3F8C7D8B" w14:textId="77777777" w:rsidR="00934506" w:rsidRPr="00E77427" w:rsidRDefault="00934506" w:rsidP="004723DE">
      <w:pPr>
        <w:jc w:val="both"/>
        <w:rPr>
          <w:sz w:val="20"/>
        </w:rPr>
      </w:pPr>
    </w:p>
    <w:p w14:paraId="0BB917A3" w14:textId="77777777" w:rsidR="00934506" w:rsidRPr="00E77427" w:rsidRDefault="00934506" w:rsidP="004723DE">
      <w:pPr>
        <w:jc w:val="both"/>
        <w:rPr>
          <w:sz w:val="20"/>
        </w:rPr>
      </w:pPr>
    </w:p>
    <w:p w14:paraId="50798ECB" w14:textId="4BF9FA6F" w:rsidR="003433FA" w:rsidRPr="00E77427" w:rsidRDefault="00E77427" w:rsidP="004723DE">
      <w:pPr>
        <w:jc w:val="both"/>
        <w:rPr>
          <w:sz w:val="20"/>
        </w:rPr>
      </w:pPr>
      <w:r w:rsidRPr="00E77427">
        <w:rPr>
          <w:sz w:val="20"/>
        </w:rPr>
        <w:t xml:space="preserve">The </w:t>
      </w:r>
      <w:r w:rsidR="002E2722">
        <w:rPr>
          <w:sz w:val="20"/>
        </w:rPr>
        <w:t>Link Profile subfield is shown in Figure 9-788e0 (</w:t>
      </w:r>
      <w:r w:rsidR="002E2722" w:rsidRPr="002E2722">
        <w:rPr>
          <w:sz w:val="20"/>
        </w:rPr>
        <w:t>Link Profile subfield format</w:t>
      </w:r>
      <w:r w:rsidR="002E2722">
        <w:rPr>
          <w:sz w:val="20"/>
        </w:rPr>
        <w:t>).</w:t>
      </w:r>
    </w:p>
    <w:p w14:paraId="2577BA7B" w14:textId="77777777" w:rsidR="00F6527A" w:rsidRPr="002E2722" w:rsidRDefault="00F6527A" w:rsidP="00F6527A">
      <w:pPr>
        <w:pStyle w:val="Default"/>
        <w:rPr>
          <w:lang w:val="en-GB"/>
        </w:rPr>
      </w:pPr>
    </w:p>
    <w:tbl>
      <w:tblPr>
        <w:tblW w:w="6379"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63"/>
        <w:gridCol w:w="851"/>
        <w:gridCol w:w="992"/>
        <w:gridCol w:w="2693"/>
      </w:tblGrid>
      <w:tr w:rsidR="00F6527A" w14:paraId="3A2CDC7A" w14:textId="77777777" w:rsidTr="00F6527A">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154CAAFF" w14:textId="77777777" w:rsidR="00F6527A" w:rsidRDefault="00F6527A" w:rsidP="00231D51">
            <w:pPr>
              <w:pStyle w:val="figuretext"/>
              <w:rPr>
                <w:w w:val="1"/>
              </w:rPr>
            </w:pPr>
          </w:p>
        </w:tc>
        <w:tc>
          <w:tcPr>
            <w:tcW w:w="1063"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948C6A3" w14:textId="317A85CB" w:rsidR="00F6527A" w:rsidRDefault="00F6527A" w:rsidP="00231D51">
            <w:pPr>
              <w:pStyle w:val="figuretext"/>
            </w:pPr>
            <w:r>
              <w:rPr>
                <w:w w:val="100"/>
              </w:rPr>
              <w:t>Link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7F9386D" w14:textId="6C0F1931" w:rsidR="00F6527A" w:rsidRDefault="00F6527A" w:rsidP="00231D51">
            <w:pPr>
              <w:pStyle w:val="figuretext"/>
            </w:pPr>
            <w:r>
              <w:rPr>
                <w:w w:val="100"/>
              </w:rPr>
              <w:t>Disable</w:t>
            </w:r>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EF685F0" w14:textId="0612A753" w:rsidR="00F6527A" w:rsidRDefault="00F6527A" w:rsidP="00231D51">
            <w:pPr>
              <w:pStyle w:val="figuretext"/>
            </w:pPr>
            <w:r>
              <w:rPr>
                <w:w w:val="100"/>
              </w:rPr>
              <w:t>Reserved</w:t>
            </w:r>
          </w:p>
        </w:tc>
        <w:tc>
          <w:tcPr>
            <w:tcW w:w="2693"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27D27F3" w14:textId="1CD52CF8" w:rsidR="00F6527A" w:rsidRDefault="00F6527A" w:rsidP="00231D51">
            <w:pPr>
              <w:pStyle w:val="figuretext"/>
            </w:pPr>
            <w:r>
              <w:rPr>
                <w:w w:val="100"/>
              </w:rPr>
              <w:t>TID Bitmap</w:t>
            </w:r>
          </w:p>
        </w:tc>
      </w:tr>
      <w:tr w:rsidR="00F6527A" w14:paraId="55DA6B19" w14:textId="77777777" w:rsidTr="00F6527A">
        <w:trPr>
          <w:trHeight w:val="24"/>
          <w:jc w:val="center"/>
        </w:trPr>
        <w:tc>
          <w:tcPr>
            <w:tcW w:w="780" w:type="dxa"/>
            <w:tcMar>
              <w:top w:w="160" w:type="dxa"/>
              <w:left w:w="120" w:type="dxa"/>
              <w:bottom w:w="120" w:type="dxa"/>
              <w:right w:w="120" w:type="dxa"/>
            </w:tcMar>
            <w:vAlign w:val="center"/>
            <w:hideMark/>
          </w:tcPr>
          <w:p w14:paraId="6613088A" w14:textId="77777777" w:rsidR="00F6527A" w:rsidRDefault="00F6527A" w:rsidP="00231D51">
            <w:pPr>
              <w:pStyle w:val="figuretext"/>
            </w:pPr>
            <w:r>
              <w:rPr>
                <w:w w:val="100"/>
              </w:rPr>
              <w:t>Bits:</w:t>
            </w:r>
          </w:p>
        </w:tc>
        <w:tc>
          <w:tcPr>
            <w:tcW w:w="1063" w:type="dxa"/>
            <w:tcBorders>
              <w:top w:val="single" w:sz="12" w:space="0" w:color="000000"/>
              <w:left w:val="nil"/>
              <w:bottom w:val="nil"/>
              <w:right w:val="nil"/>
            </w:tcBorders>
            <w:tcMar>
              <w:top w:w="160" w:type="dxa"/>
              <w:left w:w="120" w:type="dxa"/>
              <w:bottom w:w="120" w:type="dxa"/>
              <w:right w:w="120" w:type="dxa"/>
            </w:tcMar>
            <w:vAlign w:val="center"/>
            <w:hideMark/>
          </w:tcPr>
          <w:p w14:paraId="033B7645" w14:textId="19D39C7E" w:rsidR="00F6527A" w:rsidRDefault="00F6527A" w:rsidP="00231D51">
            <w:pPr>
              <w:pStyle w:val="figuretext"/>
            </w:pPr>
            <w:r>
              <w:rPr>
                <w:w w:val="100"/>
              </w:rPr>
              <w:t>4</w:t>
            </w:r>
          </w:p>
        </w:tc>
        <w:tc>
          <w:tcPr>
            <w:tcW w:w="851" w:type="dxa"/>
            <w:tcBorders>
              <w:top w:val="single" w:sz="12" w:space="0" w:color="000000"/>
              <w:left w:val="nil"/>
              <w:bottom w:val="nil"/>
              <w:right w:val="nil"/>
            </w:tcBorders>
            <w:tcMar>
              <w:top w:w="160" w:type="dxa"/>
              <w:left w:w="120" w:type="dxa"/>
              <w:bottom w:w="120" w:type="dxa"/>
              <w:right w:w="120" w:type="dxa"/>
            </w:tcMar>
            <w:vAlign w:val="center"/>
            <w:hideMark/>
          </w:tcPr>
          <w:p w14:paraId="1B34EA45" w14:textId="77777777" w:rsidR="00F6527A" w:rsidRDefault="00F6527A" w:rsidP="00231D51">
            <w:pPr>
              <w:pStyle w:val="figuretext"/>
            </w:pPr>
            <w:r>
              <w:rPr>
                <w:w w:val="100"/>
              </w:rPr>
              <w:t>1</w:t>
            </w:r>
          </w:p>
        </w:tc>
        <w:tc>
          <w:tcPr>
            <w:tcW w:w="992" w:type="dxa"/>
            <w:tcBorders>
              <w:top w:val="single" w:sz="12" w:space="0" w:color="000000"/>
              <w:left w:val="nil"/>
              <w:bottom w:val="nil"/>
              <w:right w:val="nil"/>
            </w:tcBorders>
            <w:tcMar>
              <w:top w:w="160" w:type="dxa"/>
              <w:left w:w="120" w:type="dxa"/>
              <w:bottom w:w="120" w:type="dxa"/>
              <w:right w:w="120" w:type="dxa"/>
            </w:tcMar>
            <w:vAlign w:val="center"/>
            <w:hideMark/>
          </w:tcPr>
          <w:p w14:paraId="580C0B32" w14:textId="77777777" w:rsidR="00F6527A" w:rsidRDefault="00F6527A" w:rsidP="00231D51">
            <w:pPr>
              <w:pStyle w:val="figuretext"/>
            </w:pPr>
            <w:r>
              <w:rPr>
                <w:w w:val="100"/>
              </w:rPr>
              <w:t>3</w:t>
            </w:r>
          </w:p>
        </w:tc>
        <w:tc>
          <w:tcPr>
            <w:tcW w:w="2693" w:type="dxa"/>
            <w:tcBorders>
              <w:top w:val="single" w:sz="12" w:space="0" w:color="000000"/>
              <w:left w:val="nil"/>
              <w:bottom w:val="nil"/>
              <w:right w:val="nil"/>
            </w:tcBorders>
            <w:tcMar>
              <w:top w:w="160" w:type="dxa"/>
              <w:left w:w="120" w:type="dxa"/>
              <w:bottom w:w="120" w:type="dxa"/>
              <w:right w:w="120" w:type="dxa"/>
            </w:tcMar>
            <w:vAlign w:val="center"/>
            <w:hideMark/>
          </w:tcPr>
          <w:p w14:paraId="61165B7F" w14:textId="22DCD277" w:rsidR="00F6527A" w:rsidRDefault="001C5D54" w:rsidP="00231D51">
            <w:pPr>
              <w:pStyle w:val="figuretext"/>
            </w:pPr>
            <w:r>
              <w:rPr>
                <w:w w:val="100"/>
              </w:rPr>
              <w:t xml:space="preserve">0 or </w:t>
            </w:r>
            <w:r w:rsidR="00F6527A">
              <w:rPr>
                <w:w w:val="100"/>
              </w:rPr>
              <w:t>8</w:t>
            </w:r>
          </w:p>
        </w:tc>
      </w:tr>
    </w:tbl>
    <w:p w14:paraId="08749EBC" w14:textId="0344FD1F" w:rsidR="00F6527A" w:rsidRDefault="00F6527A" w:rsidP="00F6527A">
      <w:pPr>
        <w:pStyle w:val="FigTitle"/>
        <w:spacing w:before="0" w:line="0" w:lineRule="atLeast"/>
      </w:pPr>
      <w:r>
        <w:rPr>
          <w:w w:val="100"/>
        </w:rPr>
        <w:t xml:space="preserve">Figure 9-788eo – Link </w:t>
      </w:r>
      <w:r w:rsidR="002E2722">
        <w:rPr>
          <w:w w:val="100"/>
        </w:rPr>
        <w:t>P</w:t>
      </w:r>
      <w:r>
        <w:rPr>
          <w:w w:val="100"/>
        </w:rPr>
        <w:t>rofile subfield format</w:t>
      </w:r>
    </w:p>
    <w:p w14:paraId="0A73E3C2" w14:textId="77777777" w:rsidR="003433FA" w:rsidRPr="00F6527A" w:rsidRDefault="003433FA" w:rsidP="004723DE">
      <w:pPr>
        <w:jc w:val="both"/>
        <w:rPr>
          <w:lang w:val="en-US"/>
        </w:rPr>
      </w:pPr>
    </w:p>
    <w:p w14:paraId="1AF5389C" w14:textId="75A59FA6" w:rsidR="003433FA" w:rsidRDefault="002E2722" w:rsidP="004723DE">
      <w:pPr>
        <w:jc w:val="both"/>
        <w:rPr>
          <w:sz w:val="20"/>
        </w:rPr>
      </w:pPr>
      <w:r w:rsidRPr="002E2722">
        <w:rPr>
          <w:sz w:val="20"/>
        </w:rPr>
        <w:t>The Link ID subfield</w:t>
      </w:r>
      <w:r w:rsidR="00D8502B">
        <w:rPr>
          <w:sz w:val="20"/>
        </w:rPr>
        <w:t xml:space="preserve"> indicates the link that the TID-to-Link mapping applies to.</w:t>
      </w:r>
    </w:p>
    <w:p w14:paraId="6DEAA4B4" w14:textId="77777777" w:rsidR="00D8502B" w:rsidRDefault="00D8502B" w:rsidP="004723DE">
      <w:pPr>
        <w:jc w:val="both"/>
        <w:rPr>
          <w:sz w:val="20"/>
        </w:rPr>
      </w:pPr>
    </w:p>
    <w:p w14:paraId="5DBD81E7" w14:textId="00B7B1A1" w:rsidR="00D8502B" w:rsidRDefault="00D8502B" w:rsidP="004723DE">
      <w:pPr>
        <w:jc w:val="both"/>
        <w:rPr>
          <w:sz w:val="20"/>
        </w:rPr>
      </w:pPr>
      <w:r>
        <w:rPr>
          <w:sz w:val="20"/>
        </w:rPr>
        <w:t>The Disable subfield is set to 1 if no TID is mapped to the link indicated in the Link ID subfield. Otherwise, it is set to 0.</w:t>
      </w:r>
    </w:p>
    <w:p w14:paraId="22262FCD" w14:textId="77777777" w:rsidR="00D8502B" w:rsidRDefault="00D8502B" w:rsidP="004723DE">
      <w:pPr>
        <w:jc w:val="both"/>
        <w:rPr>
          <w:sz w:val="20"/>
        </w:rPr>
      </w:pPr>
    </w:p>
    <w:p w14:paraId="2E049BCC" w14:textId="22E048D7" w:rsidR="00D8502B" w:rsidRPr="002E2722" w:rsidRDefault="00D8502B" w:rsidP="004723DE">
      <w:pPr>
        <w:jc w:val="both"/>
        <w:rPr>
          <w:sz w:val="20"/>
        </w:rPr>
      </w:pPr>
      <w:r>
        <w:rPr>
          <w:sz w:val="20"/>
        </w:rPr>
        <w:t xml:space="preserve">The TID Bitmap subfield is only present when the Disable subfield is set to 0. Otherwise, it is not present. If present, the TID Bitmap subfield indicates whether the frames of one or more TIDs that can be exchanged on the link indicated in the Link ID subfield. A value of 1 in the bit position </w:t>
      </w:r>
      <w:proofErr w:type="spellStart"/>
      <w:r>
        <w:rPr>
          <w:sz w:val="20"/>
        </w:rPr>
        <w:t>i</w:t>
      </w:r>
      <w:proofErr w:type="spellEnd"/>
      <w:r>
        <w:rPr>
          <w:sz w:val="20"/>
        </w:rPr>
        <w:t xml:space="preserve"> of the TID Bitmap subfield means that the frames of TID </w:t>
      </w:r>
      <w:proofErr w:type="spellStart"/>
      <w:r>
        <w:rPr>
          <w:sz w:val="20"/>
        </w:rPr>
        <w:t>i</w:t>
      </w:r>
      <w:proofErr w:type="spellEnd"/>
      <w:r>
        <w:rPr>
          <w:sz w:val="20"/>
        </w:rPr>
        <w:t xml:space="preserve"> can be exchanged on the link indicated in the Link ID subfield. A value of 0 1 in the bit position </w:t>
      </w:r>
      <w:proofErr w:type="spellStart"/>
      <w:r>
        <w:rPr>
          <w:sz w:val="20"/>
        </w:rPr>
        <w:t>i</w:t>
      </w:r>
      <w:proofErr w:type="spellEnd"/>
      <w:r>
        <w:rPr>
          <w:sz w:val="20"/>
        </w:rPr>
        <w:t xml:space="preserve"> of the TID Bitmap subfield means that the frames of TID </w:t>
      </w:r>
      <w:proofErr w:type="spellStart"/>
      <w:r>
        <w:rPr>
          <w:sz w:val="20"/>
        </w:rPr>
        <w:t>i</w:t>
      </w:r>
      <w:proofErr w:type="spellEnd"/>
      <w:r>
        <w:rPr>
          <w:sz w:val="20"/>
        </w:rPr>
        <w:t xml:space="preserve"> </w:t>
      </w:r>
      <w:proofErr w:type="spellStart"/>
      <w:r>
        <w:rPr>
          <w:sz w:val="20"/>
        </w:rPr>
        <w:t>can not</w:t>
      </w:r>
      <w:proofErr w:type="spellEnd"/>
      <w:r>
        <w:rPr>
          <w:sz w:val="20"/>
        </w:rPr>
        <w:t xml:space="preserve"> be exchanged on the link indicated in the Link ID subfield.</w:t>
      </w:r>
    </w:p>
    <w:p w14:paraId="284D7C60" w14:textId="77777777" w:rsidR="00E2763A" w:rsidRPr="002E2722" w:rsidRDefault="00E2763A" w:rsidP="00024800">
      <w:pPr>
        <w:jc w:val="both"/>
        <w:rPr>
          <w:sz w:val="20"/>
        </w:rPr>
      </w:pPr>
    </w:p>
    <w:p w14:paraId="500957C1" w14:textId="77777777" w:rsidR="002E2722" w:rsidRPr="002E2722" w:rsidRDefault="002E2722" w:rsidP="00024800">
      <w:pPr>
        <w:jc w:val="both"/>
        <w:rPr>
          <w:sz w:val="20"/>
        </w:rPr>
      </w:pPr>
    </w:p>
    <w:p w14:paraId="11786261" w14:textId="77777777" w:rsidR="002E2722" w:rsidRPr="002E2722" w:rsidRDefault="002E2722" w:rsidP="00024800">
      <w:pPr>
        <w:jc w:val="both"/>
        <w:rPr>
          <w:sz w:val="20"/>
        </w:rPr>
      </w:pPr>
    </w:p>
    <w:p w14:paraId="5262DFDB" w14:textId="77777777" w:rsidR="002E2722" w:rsidRPr="002E2722" w:rsidRDefault="002E2722" w:rsidP="00024800">
      <w:pPr>
        <w:jc w:val="both"/>
        <w:rPr>
          <w:sz w:val="20"/>
        </w:rPr>
      </w:pPr>
    </w:p>
    <w:p w14:paraId="3632AC60" w14:textId="77777777" w:rsidR="002E2722" w:rsidRPr="002E2722" w:rsidRDefault="002E2722" w:rsidP="00024800">
      <w:pPr>
        <w:jc w:val="both"/>
        <w:rPr>
          <w:sz w:val="20"/>
        </w:rPr>
      </w:pPr>
    </w:p>
    <w:p w14:paraId="510BB438" w14:textId="77777777" w:rsidR="002E2722" w:rsidRPr="002E2722" w:rsidRDefault="002E2722" w:rsidP="00024800">
      <w:pPr>
        <w:jc w:val="both"/>
        <w:rPr>
          <w:sz w:val="20"/>
        </w:rPr>
      </w:pPr>
    </w:p>
    <w:p w14:paraId="490D9DE9" w14:textId="77777777" w:rsidR="002E2722" w:rsidRPr="002E2722" w:rsidRDefault="002E2722" w:rsidP="00024800">
      <w:pPr>
        <w:jc w:val="both"/>
        <w:rPr>
          <w:sz w:val="20"/>
        </w:rPr>
      </w:pPr>
    </w:p>
    <w:p w14:paraId="3FA9287F" w14:textId="77777777" w:rsidR="00E2763A" w:rsidRDefault="00E2763A" w:rsidP="00024800">
      <w:pPr>
        <w:jc w:val="both"/>
        <w:rPr>
          <w:rFonts w:eastAsiaTheme="minorEastAsia"/>
          <w:sz w:val="20"/>
          <w:lang w:eastAsia="ko-KR"/>
        </w:rPr>
      </w:pPr>
    </w:p>
    <w:p w14:paraId="456ED317" w14:textId="55593B91"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6F2190">
        <w:rPr>
          <w:rFonts w:eastAsiaTheme="minorEastAsia"/>
          <w:b/>
          <w:color w:val="FF0000"/>
          <w:sz w:val="20"/>
          <w:lang w:eastAsia="ko-KR"/>
        </w:rPr>
        <w:t>21</w:t>
      </w:r>
      <w:r w:rsidRPr="0005449D">
        <w:rPr>
          <w:rFonts w:eastAsiaTheme="minorEastAsia"/>
          <w:b/>
          <w:color w:val="FF0000"/>
          <w:sz w:val="20"/>
          <w:lang w:eastAsia="ko-KR"/>
        </w:rPr>
        <w:t>/</w:t>
      </w:r>
      <w:r w:rsidR="00F6527A">
        <w:rPr>
          <w:rFonts w:eastAsiaTheme="minorEastAsia"/>
          <w:b/>
          <w:color w:val="FF0000"/>
          <w:sz w:val="20"/>
          <w:lang w:eastAsia="ko-KR"/>
        </w:rPr>
        <w:t>XXXX</w:t>
      </w:r>
      <w:r w:rsidRPr="0005449D">
        <w:rPr>
          <w:rFonts w:eastAsiaTheme="minorEastAsia"/>
          <w:b/>
          <w:color w:val="FF0000"/>
          <w:sz w:val="20"/>
          <w:lang w:eastAsia="ko-KR"/>
        </w:rPr>
        <w:t>r</w:t>
      </w:r>
      <w:r w:rsidR="006F2190">
        <w:rPr>
          <w:rFonts w:eastAsiaTheme="minorEastAsia"/>
          <w:b/>
          <w:color w:val="FF0000"/>
          <w:sz w:val="20"/>
          <w:lang w:eastAsia="ko-KR"/>
        </w:rPr>
        <w:t>0</w:t>
      </w:r>
      <w:r w:rsidRPr="0005449D">
        <w:rPr>
          <w:rFonts w:eastAsiaTheme="minorEastAsia"/>
          <w:b/>
          <w:color w:val="FF0000"/>
          <w:sz w:val="20"/>
          <w:lang w:eastAsia="ko-KR"/>
        </w:rPr>
        <w:t xml:space="preserve"> to the</w:t>
      </w:r>
      <w:r w:rsidR="004723DE">
        <w:rPr>
          <w:rFonts w:eastAsiaTheme="minorEastAsia"/>
          <w:b/>
          <w:color w:val="FF0000"/>
          <w:sz w:val="20"/>
          <w:lang w:eastAsia="ko-KR"/>
        </w:rPr>
        <w:t xml:space="preserve"> next revision of</w:t>
      </w:r>
      <w:r w:rsidRPr="0005449D">
        <w:rPr>
          <w:rFonts w:eastAsiaTheme="minorEastAsia"/>
          <w:b/>
          <w:color w:val="FF0000"/>
          <w:sz w:val="20"/>
          <w:lang w:eastAsia="ko-KR"/>
        </w:rPr>
        <w:t xml:space="preserv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004723DE">
        <w:rPr>
          <w:rFonts w:eastAsiaTheme="minorEastAsia"/>
          <w:b/>
          <w:color w:val="FF0000"/>
          <w:sz w:val="20"/>
          <w:lang w:eastAsia="ko-KR"/>
        </w:rPr>
        <w:t xml:space="preserve"> Draft</w:t>
      </w:r>
      <w:r w:rsidR="007866E8">
        <w:rPr>
          <w:rFonts w:eastAsiaTheme="minorEastAsia"/>
          <w:b/>
          <w:color w:val="FF0000"/>
          <w:sz w:val="20"/>
          <w:lang w:eastAsia="ko-KR"/>
        </w:rPr>
        <w:t xml:space="preserve"> 0.4</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0F9B1" w14:textId="77777777" w:rsidR="00C70494" w:rsidRDefault="00C70494">
      <w:r>
        <w:separator/>
      </w:r>
    </w:p>
  </w:endnote>
  <w:endnote w:type="continuationSeparator" w:id="0">
    <w:p w14:paraId="790093CC" w14:textId="77777777" w:rsidR="00C70494" w:rsidRDefault="00C7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36BE53C8" w:rsidR="00BB0165" w:rsidRDefault="003679DF">
    <w:pPr>
      <w:pStyle w:val="a3"/>
      <w:tabs>
        <w:tab w:val="clear" w:pos="6480"/>
        <w:tab w:val="center" w:pos="4680"/>
        <w:tab w:val="right" w:pos="9360"/>
      </w:tabs>
    </w:pPr>
    <w:fldSimple w:instr=" SUBJECT  \* MERGEFORMAT ">
      <w:r w:rsidR="00BB0165">
        <w:t>Submission</w:t>
      </w:r>
    </w:fldSimple>
    <w:r w:rsidR="00BB0165">
      <w:tab/>
      <w:t xml:space="preserve">page </w:t>
    </w:r>
    <w:r w:rsidR="00BB0165">
      <w:fldChar w:fldCharType="begin"/>
    </w:r>
    <w:r w:rsidR="00BB0165">
      <w:instrText xml:space="preserve">page </w:instrText>
    </w:r>
    <w:r w:rsidR="00BB0165">
      <w:fldChar w:fldCharType="separate"/>
    </w:r>
    <w:r w:rsidR="00032A4F">
      <w:rPr>
        <w:noProof/>
      </w:rPr>
      <w:t>4</w:t>
    </w:r>
    <w:r w:rsidR="00BB0165">
      <w:rPr>
        <w:noProof/>
      </w:rPr>
      <w:fldChar w:fldCharType="end"/>
    </w:r>
    <w:r w:rsidR="00BB0165">
      <w:tab/>
      <w:t xml:space="preserve">Jason Yuchen Guo, Huawei Technologies </w:t>
    </w:r>
    <w:proofErr w:type="spellStart"/>
    <w:r w:rsidR="00BB0165">
      <w:t>Co.</w:t>
    </w:r>
    <w:proofErr w:type="gramStart"/>
    <w:r w:rsidR="00BB0165">
      <w:t>,Ltd</w:t>
    </w:r>
    <w:proofErr w:type="spellEnd"/>
    <w:proofErr w:type="gramEnd"/>
    <w:r w:rsidR="00BB0165">
      <w:t>.</w:t>
    </w:r>
  </w:p>
  <w:p w14:paraId="78B10FFF" w14:textId="77777777" w:rsidR="00BB0165" w:rsidRDefault="00BB01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933DD" w14:textId="77777777" w:rsidR="00C70494" w:rsidRDefault="00C70494">
      <w:r>
        <w:separator/>
      </w:r>
    </w:p>
  </w:footnote>
  <w:footnote w:type="continuationSeparator" w:id="0">
    <w:p w14:paraId="553D6A4F" w14:textId="77777777" w:rsidR="00C70494" w:rsidRDefault="00C70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9D1BA48" w:rsidR="00BB0165" w:rsidRDefault="00BA308A">
    <w:pPr>
      <w:pStyle w:val="a4"/>
      <w:tabs>
        <w:tab w:val="clear" w:pos="6480"/>
        <w:tab w:val="center" w:pos="4680"/>
        <w:tab w:val="right" w:pos="9360"/>
      </w:tabs>
    </w:pPr>
    <w:r>
      <w:rPr>
        <w:lang w:eastAsia="ko-KR"/>
      </w:rPr>
      <w:t>March</w:t>
    </w:r>
    <w:r w:rsidR="00BB0165">
      <w:rPr>
        <w:lang w:eastAsia="ko-KR"/>
      </w:rPr>
      <w:t xml:space="preserve"> 2021</w:t>
    </w:r>
    <w:r w:rsidR="00BB0165">
      <w:tab/>
    </w:r>
    <w:r w:rsidR="00BB0165">
      <w:tab/>
    </w:r>
    <w:r w:rsidR="00BB0165" w:rsidRPr="00F545A8">
      <w:rPr>
        <w:lang w:eastAsia="ko-KR"/>
      </w:rPr>
      <w:fldChar w:fldCharType="begin"/>
    </w:r>
    <w:r w:rsidR="00BB0165" w:rsidRPr="00F545A8">
      <w:rPr>
        <w:lang w:eastAsia="ko-KR"/>
      </w:rPr>
      <w:instrText xml:space="preserve"> TITLE  \* MERGEFORMAT </w:instrText>
    </w:r>
    <w:r w:rsidR="00BB0165" w:rsidRPr="00F545A8">
      <w:rPr>
        <w:lang w:eastAsia="ko-KR"/>
      </w:rPr>
      <w:fldChar w:fldCharType="end"/>
    </w:r>
    <w:r w:rsidR="00BB0165" w:rsidRPr="00F545A8">
      <w:rPr>
        <w:lang w:eastAsia="ko-KR"/>
      </w:rPr>
      <w:fldChar w:fldCharType="begin"/>
    </w:r>
    <w:r w:rsidR="00BB0165" w:rsidRPr="00F545A8">
      <w:rPr>
        <w:lang w:eastAsia="ko-KR"/>
      </w:rPr>
      <w:instrText xml:space="preserve"> TITLE  \* MERGEFORMAT </w:instrText>
    </w:r>
    <w:r w:rsidR="00BB0165" w:rsidRPr="00F545A8">
      <w:rPr>
        <w:lang w:eastAsia="ko-KR"/>
      </w:rPr>
      <w:fldChar w:fldCharType="separate"/>
    </w:r>
    <w:r w:rsidR="00BB0165" w:rsidRPr="00F545A8">
      <w:rPr>
        <w:lang w:eastAsia="ko-KR"/>
      </w:rPr>
      <w:t>doc.: IEEE 802.11-21/</w:t>
    </w:r>
    <w:r>
      <w:rPr>
        <w:lang w:eastAsia="ko-KR"/>
      </w:rPr>
      <w:t>0529</w:t>
    </w:r>
    <w:r w:rsidR="00BB0165" w:rsidRPr="00F545A8">
      <w:rPr>
        <w:lang w:eastAsia="ko-KR"/>
      </w:rPr>
      <w:t>r</w:t>
    </w:r>
    <w:r w:rsidR="00BB0165" w:rsidRPr="00F545A8">
      <w:rPr>
        <w:lang w:eastAsia="ko-KR"/>
      </w:rPr>
      <w:fldChar w:fldCharType="end"/>
    </w:r>
    <w:r w:rsidR="00BB0165" w:rsidRPr="00F545A8">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4"/>
  </w:num>
  <w:num w:numId="8">
    <w:abstractNumId w:val="3"/>
  </w:num>
  <w:num w:numId="9">
    <w:abstractNumId w:val="12"/>
  </w:num>
  <w:num w:numId="10">
    <w:abstractNumId w:val="6"/>
  </w:num>
  <w:num w:numId="11">
    <w:abstractNumId w:val="1"/>
  </w:num>
  <w:num w:numId="12">
    <w:abstractNumId w:val="9"/>
  </w:num>
  <w:num w:numId="13">
    <w:abstractNumId w:val="13"/>
  </w:num>
  <w:num w:numId="14">
    <w:abstractNumId w:val="7"/>
  </w:num>
  <w:num w:numId="15">
    <w:abstractNumId w:val="5"/>
  </w:num>
  <w:num w:numId="16">
    <w:abstractNumId w:val="14"/>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630A"/>
    <w:rsid w:val="00027D05"/>
    <w:rsid w:val="0003034E"/>
    <w:rsid w:val="00031E68"/>
    <w:rsid w:val="00032A4F"/>
    <w:rsid w:val="00033B0A"/>
    <w:rsid w:val="00034E6F"/>
    <w:rsid w:val="000358B3"/>
    <w:rsid w:val="000405C4"/>
    <w:rsid w:val="00041AC4"/>
    <w:rsid w:val="000438DD"/>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B041A"/>
    <w:rsid w:val="000B083E"/>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4A4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548"/>
    <w:rsid w:val="00192C6E"/>
    <w:rsid w:val="00193B0A"/>
    <w:rsid w:val="00193C39"/>
    <w:rsid w:val="00193F7C"/>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5D54"/>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2505"/>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D51"/>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3D14"/>
    <w:rsid w:val="00265F7D"/>
    <w:rsid w:val="002662A5"/>
    <w:rsid w:val="002674D1"/>
    <w:rsid w:val="00270171"/>
    <w:rsid w:val="00270F98"/>
    <w:rsid w:val="00272D83"/>
    <w:rsid w:val="00273257"/>
    <w:rsid w:val="00273FA9"/>
    <w:rsid w:val="002742C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1B8D"/>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2722"/>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3FA"/>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679DF"/>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3DE"/>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2FEE"/>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40657"/>
    <w:rsid w:val="005406D1"/>
    <w:rsid w:val="00540A2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B7C9C"/>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2543"/>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6E8"/>
    <w:rsid w:val="00786A15"/>
    <w:rsid w:val="00790064"/>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4BED"/>
    <w:rsid w:val="007A5765"/>
    <w:rsid w:val="007A5B89"/>
    <w:rsid w:val="007A77FC"/>
    <w:rsid w:val="007B058E"/>
    <w:rsid w:val="007B0864"/>
    <w:rsid w:val="007B0E05"/>
    <w:rsid w:val="007B2BDF"/>
    <w:rsid w:val="007B5965"/>
    <w:rsid w:val="007B5DB4"/>
    <w:rsid w:val="007C0143"/>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ED4"/>
    <w:rsid w:val="00895A28"/>
    <w:rsid w:val="00896A36"/>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4B25"/>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506"/>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2AB"/>
    <w:rsid w:val="009A6506"/>
    <w:rsid w:val="009B04F7"/>
    <w:rsid w:val="009B09CD"/>
    <w:rsid w:val="009B0D82"/>
    <w:rsid w:val="009B2383"/>
    <w:rsid w:val="009B2392"/>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10B3"/>
    <w:rsid w:val="009E1533"/>
    <w:rsid w:val="009E2362"/>
    <w:rsid w:val="009E2715"/>
    <w:rsid w:val="009E2785"/>
    <w:rsid w:val="009E4C1F"/>
    <w:rsid w:val="009E5718"/>
    <w:rsid w:val="009E5870"/>
    <w:rsid w:val="009F08F6"/>
    <w:rsid w:val="009F0C4F"/>
    <w:rsid w:val="009F0CDB"/>
    <w:rsid w:val="009F17CA"/>
    <w:rsid w:val="009F2E7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418F"/>
    <w:rsid w:val="00A55079"/>
    <w:rsid w:val="00A5564B"/>
    <w:rsid w:val="00A563E9"/>
    <w:rsid w:val="00A57C2D"/>
    <w:rsid w:val="00A57CE8"/>
    <w:rsid w:val="00A61F48"/>
    <w:rsid w:val="00A6270B"/>
    <w:rsid w:val="00A62DE2"/>
    <w:rsid w:val="00A630CC"/>
    <w:rsid w:val="00A6389A"/>
    <w:rsid w:val="00A63DC8"/>
    <w:rsid w:val="00A66CBC"/>
    <w:rsid w:val="00A7025D"/>
    <w:rsid w:val="00A70990"/>
    <w:rsid w:val="00A717AC"/>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FC5"/>
    <w:rsid w:val="00B422A1"/>
    <w:rsid w:val="00B43A65"/>
    <w:rsid w:val="00B447D8"/>
    <w:rsid w:val="00B45A5E"/>
    <w:rsid w:val="00B51003"/>
    <w:rsid w:val="00B51194"/>
    <w:rsid w:val="00B52374"/>
    <w:rsid w:val="00B5292B"/>
    <w:rsid w:val="00B52A96"/>
    <w:rsid w:val="00B5499F"/>
    <w:rsid w:val="00B54BCB"/>
    <w:rsid w:val="00B56B13"/>
    <w:rsid w:val="00B5776D"/>
    <w:rsid w:val="00B607F8"/>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08A"/>
    <w:rsid w:val="00BA32BA"/>
    <w:rsid w:val="00BA32CA"/>
    <w:rsid w:val="00BA36B0"/>
    <w:rsid w:val="00BA477A"/>
    <w:rsid w:val="00BA6C7C"/>
    <w:rsid w:val="00BA7016"/>
    <w:rsid w:val="00BA787B"/>
    <w:rsid w:val="00BB0165"/>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1B4E"/>
    <w:rsid w:val="00BF2436"/>
    <w:rsid w:val="00BF321B"/>
    <w:rsid w:val="00BF36A4"/>
    <w:rsid w:val="00BF3773"/>
    <w:rsid w:val="00BF3E14"/>
    <w:rsid w:val="00BF4644"/>
    <w:rsid w:val="00BF5F1A"/>
    <w:rsid w:val="00BF6269"/>
    <w:rsid w:val="00BF63AA"/>
    <w:rsid w:val="00C00D18"/>
    <w:rsid w:val="00C03B8D"/>
    <w:rsid w:val="00C0428C"/>
    <w:rsid w:val="00C04532"/>
    <w:rsid w:val="00C06081"/>
    <w:rsid w:val="00C06D1A"/>
    <w:rsid w:val="00C078F3"/>
    <w:rsid w:val="00C11262"/>
    <w:rsid w:val="00C11CDA"/>
    <w:rsid w:val="00C12A01"/>
    <w:rsid w:val="00C12AEB"/>
    <w:rsid w:val="00C13426"/>
    <w:rsid w:val="00C1356B"/>
    <w:rsid w:val="00C14B31"/>
    <w:rsid w:val="00C151D0"/>
    <w:rsid w:val="00C163D1"/>
    <w:rsid w:val="00C172D4"/>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0494"/>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2A59"/>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77ECC"/>
    <w:rsid w:val="00D826B4"/>
    <w:rsid w:val="00D828A5"/>
    <w:rsid w:val="00D84566"/>
    <w:rsid w:val="00D8502B"/>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B72"/>
    <w:rsid w:val="00DB6FA2"/>
    <w:rsid w:val="00DB7D1B"/>
    <w:rsid w:val="00DC0CA2"/>
    <w:rsid w:val="00DC176F"/>
    <w:rsid w:val="00DC1C04"/>
    <w:rsid w:val="00DC2B1D"/>
    <w:rsid w:val="00DC40E8"/>
    <w:rsid w:val="00DC4546"/>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7742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346C"/>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3375"/>
    <w:rsid w:val="00F5458D"/>
    <w:rsid w:val="00F545A8"/>
    <w:rsid w:val="00F54F3A"/>
    <w:rsid w:val="00F55028"/>
    <w:rsid w:val="00F5670E"/>
    <w:rsid w:val="00F5693B"/>
    <w:rsid w:val="00F60892"/>
    <w:rsid w:val="00F61E6F"/>
    <w:rsid w:val="00F6485C"/>
    <w:rsid w:val="00F6527A"/>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3B2"/>
    <w:rsid w:val="00FC64E4"/>
    <w:rsid w:val="00FC7D8B"/>
    <w:rsid w:val="00FD0CFD"/>
    <w:rsid w:val="00FD2BDA"/>
    <w:rsid w:val="00FD522B"/>
    <w:rsid w:val="00FD554D"/>
    <w:rsid w:val="00FD5B24"/>
    <w:rsid w:val="00FD65F5"/>
    <w:rsid w:val="00FE02DE"/>
    <w:rsid w:val="00FE1231"/>
    <w:rsid w:val="00FE1E87"/>
    <w:rsid w:val="00FE29AA"/>
    <w:rsid w:val="00FE30C5"/>
    <w:rsid w:val="00FE31E9"/>
    <w:rsid w:val="00FE362B"/>
    <w:rsid w:val="00FE37EF"/>
    <w:rsid w:val="00FE4297"/>
    <w:rsid w:val="00FE441E"/>
    <w:rsid w:val="00FE5A00"/>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yuche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20_0761r2</b:Tag>
    <b:SourceType>JournalArticle</b:SourceType>
    <b:Guid>{FFC7FCF7-23D4-4497-AC8F-788B8C9A107E}</b:Guid>
    <b:Author>
      <b:Author>
        <b:Corporate>Jason Yuchen Guo (Huawei)</b:Corporate>
      </b:Author>
    </b:Author>
    <b:Title>Multi link group addressed frame delivery for non-STR MLD</b:Title>
    <b:JournalName>20/0761r2</b:JournalName>
    <b:Year>November 2020</b:Year>
    <b:RefOrder>256</b:RefOrder>
  </b:Source>
</b:Sources>
</file>

<file path=customXml/itemProps1.xml><?xml version="1.0" encoding="utf-8"?>
<ds:datastoreItem xmlns:ds="http://schemas.openxmlformats.org/officeDocument/2006/customXml" ds:itemID="{6CA689EA-2315-48E3-87F3-A6C3120A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2021-02-20T07:28:00Z</dcterms:created>
  <dcterms:modified xsi:type="dcterms:W3CDTF">2021-03-24T03:00:00Z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(3)6yFAFTCq8skqafQgs7vma5f5ZLWz52Bho7L1BnTsmCv8E9tn7Rhwbr18u1Mn0SxXrLe7ksQb
0KhQdg9ulUj7sgtStIaUVoEL+8qsHUhQeeq2j4cNWfC8Hnyk+gjhD59ioFA5E4xWq/4X/AOE
pWWcM6ot3k43Z/Kuo74MostXabrj4gtn5sj2c9Q+v59OfCw8BtsuLERj1n3JMdNZ9lPhzHBZ
m5ngbdJs4dJwvbFDDX</vt:lpwstr>
  </property>
  <property fmtid="{D5CDD505-2E9C-101B-9397-08002B2CF9AE}" pid="9" name="_2015_ms_pID_7253431">
    <vt:lpwstr>/0J9iEDwvKkZe6ZTyjUO/WU9agsCP3OsWDaEs48AYRKNZ9l1B6UY9O
7VqWU4bNHCtWS0dobwyPum9oQ9fSFiHmTodydnyqr/BCBPgFCQoKlIhciaZbUw0CwsywYXnB
h7KIQK8HHqZDX2QqErtgxftHO9rTftxybFoVG77sBVjKvSZofxGkuSVN8UOqjCOa402gEexZ
K5GKTS987oHWe1Rr21IjcAWUSyXBYC9f4rnc</vt:lpwstr>
  </property>
  <property fmtid="{D5CDD505-2E9C-101B-9397-08002B2CF9AE}" pid="10" name="_2015_ms_pID_7253432">
    <vt:lpwstr>Pw==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1616376607</vt:lpwstr>
  </property>
</Properties>
</file>