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81293">
            <w:pPr>
              <w:pStyle w:val="T2"/>
            </w:pPr>
            <w:r>
              <w:t>Resolutions to Miscellaneous 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EC7179" w:rsidRPr="00EC7179" w:rsidRDefault="00CA09B2" w:rsidP="00EC717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EC7179">
              <w:rPr>
                <w:b w:val="0"/>
                <w:sz w:val="20"/>
              </w:rPr>
              <w:t xml:space="preserve">  2020-06-17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812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A812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A812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C10FD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A81293">
                            <w:pPr>
                              <w:jc w:val="both"/>
                            </w:pPr>
                            <w:r>
                              <w:t xml:space="preserve">This submissions contains proposed </w:t>
                            </w:r>
                            <w:proofErr w:type="spellStart"/>
                            <w:r>
                              <w:t>reolutions</w:t>
                            </w:r>
                            <w:proofErr w:type="spellEnd"/>
                            <w:r>
                              <w:t xml:space="preserve"> to CIDs 24237, 24241, 24566, and 24567</w:t>
                            </w:r>
                          </w:p>
                          <w:p w:rsidR="00A81293" w:rsidRDefault="00A81293">
                            <w:pPr>
                              <w:jc w:val="both"/>
                            </w:pPr>
                          </w:p>
                          <w:p w:rsidR="00A81293" w:rsidRDefault="00A81293">
                            <w:pPr>
                              <w:jc w:val="both"/>
                            </w:pPr>
                          </w:p>
                          <w:p w:rsidR="00A81293" w:rsidRDefault="00A81293">
                            <w:pPr>
                              <w:jc w:val="both"/>
                            </w:pPr>
                            <w:r>
                              <w:t>R0: Initial 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A81293">
                      <w:pPr>
                        <w:jc w:val="both"/>
                      </w:pPr>
                      <w:r>
                        <w:t xml:space="preserve">This submissions contains proposed </w:t>
                      </w:r>
                      <w:proofErr w:type="spellStart"/>
                      <w:r>
                        <w:t>reolutions</w:t>
                      </w:r>
                      <w:proofErr w:type="spellEnd"/>
                      <w:r>
                        <w:t xml:space="preserve"> to CIDs 24237, 24241, 24566, and 24567</w:t>
                      </w:r>
                    </w:p>
                    <w:p w:rsidR="00A81293" w:rsidRDefault="00A81293">
                      <w:pPr>
                        <w:jc w:val="both"/>
                      </w:pPr>
                    </w:p>
                    <w:p w:rsidR="00A81293" w:rsidRDefault="00A81293">
                      <w:pPr>
                        <w:jc w:val="both"/>
                      </w:pPr>
                    </w:p>
                    <w:p w:rsidR="00A81293" w:rsidRDefault="00A81293">
                      <w:pPr>
                        <w:jc w:val="both"/>
                      </w:pPr>
                      <w:r>
                        <w:t>R0: Initial draft</w:t>
                      </w:r>
                    </w:p>
                  </w:txbxContent>
                </v:textbox>
              </v:shape>
            </w:pict>
          </mc:Fallback>
        </mc:AlternateContent>
      </w:r>
    </w:p>
    <w:p w:rsidR="006C10FD" w:rsidRDefault="00CA09B2" w:rsidP="006C10FD">
      <w:r>
        <w:br w:type="page"/>
      </w:r>
      <w:r w:rsidR="006C10FD">
        <w:lastRenderedPageBreak/>
        <w:t xml:space="preserve"> </w:t>
      </w:r>
    </w:p>
    <w:p w:rsidR="00CA09B2" w:rsidRDefault="00CA09B2">
      <w:r>
        <w:t>[</w:t>
      </w:r>
      <w:proofErr w:type="gramStart"/>
      <w:r>
        <w:t>place</w:t>
      </w:r>
      <w:proofErr w:type="gramEnd"/>
      <w:r>
        <w:t xml:space="preserve"> document body text here]</w:t>
      </w:r>
    </w:p>
    <w:p w:rsidR="006C10FD" w:rsidRDefault="006C10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855"/>
        <w:gridCol w:w="879"/>
        <w:gridCol w:w="2168"/>
        <w:gridCol w:w="1693"/>
        <w:gridCol w:w="2989"/>
      </w:tblGrid>
      <w:tr w:rsidR="006C10FD" w:rsidRPr="006C10FD" w:rsidTr="006C10FD">
        <w:trPr>
          <w:trHeight w:val="780"/>
        </w:trPr>
        <w:tc>
          <w:tcPr>
            <w:tcW w:w="766" w:type="dxa"/>
            <w:hideMark/>
          </w:tcPr>
          <w:p w:rsidR="006C10FD" w:rsidRPr="006C10FD" w:rsidRDefault="006C10FD">
            <w:pPr>
              <w:rPr>
                <w:b/>
                <w:bCs/>
                <w:lang w:val="en-US"/>
              </w:rPr>
            </w:pPr>
            <w:r w:rsidRPr="006C10FD">
              <w:rPr>
                <w:b/>
                <w:bCs/>
              </w:rPr>
              <w:t>CID</w:t>
            </w:r>
          </w:p>
        </w:tc>
        <w:tc>
          <w:tcPr>
            <w:tcW w:w="856" w:type="dxa"/>
            <w:hideMark/>
          </w:tcPr>
          <w:p w:rsidR="006C10FD" w:rsidRPr="006C10FD" w:rsidRDefault="006C10FD">
            <w:pPr>
              <w:rPr>
                <w:b/>
                <w:bCs/>
              </w:rPr>
            </w:pPr>
            <w:r w:rsidRPr="006C10FD">
              <w:rPr>
                <w:b/>
                <w:bCs/>
              </w:rPr>
              <w:t>Page</w:t>
            </w:r>
          </w:p>
        </w:tc>
        <w:tc>
          <w:tcPr>
            <w:tcW w:w="880" w:type="dxa"/>
            <w:hideMark/>
          </w:tcPr>
          <w:p w:rsidR="006C10FD" w:rsidRPr="006C10FD" w:rsidRDefault="006C10FD">
            <w:pPr>
              <w:rPr>
                <w:b/>
                <w:bCs/>
              </w:rPr>
            </w:pPr>
            <w:r w:rsidRPr="006C10FD">
              <w:rPr>
                <w:b/>
                <w:bCs/>
              </w:rPr>
              <w:t>Clause</w:t>
            </w:r>
          </w:p>
        </w:tc>
        <w:tc>
          <w:tcPr>
            <w:tcW w:w="2196" w:type="dxa"/>
            <w:hideMark/>
          </w:tcPr>
          <w:p w:rsidR="006C10FD" w:rsidRPr="006C10FD" w:rsidRDefault="006C10FD">
            <w:pPr>
              <w:rPr>
                <w:b/>
                <w:bCs/>
              </w:rPr>
            </w:pPr>
            <w:r w:rsidRPr="006C10FD">
              <w:rPr>
                <w:b/>
                <w:bCs/>
              </w:rPr>
              <w:t>Comment</w:t>
            </w:r>
          </w:p>
        </w:tc>
        <w:tc>
          <w:tcPr>
            <w:tcW w:w="1710" w:type="dxa"/>
            <w:hideMark/>
          </w:tcPr>
          <w:p w:rsidR="006C10FD" w:rsidRPr="006C10FD" w:rsidRDefault="006C10FD">
            <w:pPr>
              <w:rPr>
                <w:b/>
                <w:bCs/>
              </w:rPr>
            </w:pPr>
            <w:r w:rsidRPr="006C10FD">
              <w:rPr>
                <w:b/>
                <w:bCs/>
              </w:rPr>
              <w:t>Proposed Change</w:t>
            </w:r>
          </w:p>
        </w:tc>
        <w:tc>
          <w:tcPr>
            <w:tcW w:w="3060" w:type="dxa"/>
            <w:hideMark/>
          </w:tcPr>
          <w:p w:rsidR="006C10FD" w:rsidRPr="006C10FD" w:rsidRDefault="006C10FD">
            <w:pPr>
              <w:rPr>
                <w:b/>
                <w:bCs/>
              </w:rPr>
            </w:pPr>
            <w:r w:rsidRPr="006C10FD">
              <w:rPr>
                <w:b/>
                <w:bCs/>
              </w:rPr>
              <w:t>Resolution</w:t>
            </w:r>
          </w:p>
        </w:tc>
      </w:tr>
      <w:tr w:rsidR="006C10FD" w:rsidRPr="006C10FD" w:rsidTr="006C10FD">
        <w:trPr>
          <w:trHeight w:val="1500"/>
        </w:trPr>
        <w:tc>
          <w:tcPr>
            <w:tcW w:w="766" w:type="dxa"/>
            <w:hideMark/>
          </w:tcPr>
          <w:p w:rsidR="006C10FD" w:rsidRPr="006C10FD" w:rsidRDefault="006C10FD" w:rsidP="006C10FD">
            <w:r w:rsidRPr="006C10FD">
              <w:t>24237</w:t>
            </w:r>
          </w:p>
        </w:tc>
        <w:tc>
          <w:tcPr>
            <w:tcW w:w="856" w:type="dxa"/>
            <w:hideMark/>
          </w:tcPr>
          <w:p w:rsidR="006C10FD" w:rsidRPr="006C10FD" w:rsidRDefault="006C10FD" w:rsidP="006C10FD">
            <w:r w:rsidRPr="006C10FD">
              <w:t>521.27</w:t>
            </w:r>
          </w:p>
        </w:tc>
        <w:tc>
          <w:tcPr>
            <w:tcW w:w="880" w:type="dxa"/>
            <w:hideMark/>
          </w:tcPr>
          <w:p w:rsidR="006C10FD" w:rsidRPr="006C10FD" w:rsidRDefault="006C10FD">
            <w:r w:rsidRPr="006C10FD">
              <w:t>27.3.4</w:t>
            </w:r>
          </w:p>
        </w:tc>
        <w:tc>
          <w:tcPr>
            <w:tcW w:w="2196" w:type="dxa"/>
            <w:hideMark/>
          </w:tcPr>
          <w:p w:rsidR="006C10FD" w:rsidRPr="006C10FD" w:rsidRDefault="006C10FD">
            <w:r w:rsidRPr="006C10FD">
              <w:t>The caption does not really reflect what is in the figure. It says "The number of...", but I believe much more information is provided. The number  could have been a simple table</w:t>
            </w:r>
          </w:p>
        </w:tc>
        <w:tc>
          <w:tcPr>
            <w:tcW w:w="1710" w:type="dxa"/>
            <w:hideMark/>
          </w:tcPr>
          <w:p w:rsidR="006C10FD" w:rsidRPr="006C10FD" w:rsidRDefault="006C10FD">
            <w:r w:rsidRPr="006C10FD">
              <w:t>Update the caption to reflect what is in the figure</w:t>
            </w:r>
          </w:p>
        </w:tc>
        <w:tc>
          <w:tcPr>
            <w:tcW w:w="3060" w:type="dxa"/>
            <w:hideMark/>
          </w:tcPr>
          <w:p w:rsidR="006C10FD" w:rsidRPr="006C10FD" w:rsidRDefault="006C10FD"/>
        </w:tc>
      </w:tr>
      <w:tr w:rsidR="006C10FD" w:rsidRPr="006C10FD" w:rsidTr="006C10FD">
        <w:trPr>
          <w:trHeight w:val="1500"/>
        </w:trPr>
        <w:tc>
          <w:tcPr>
            <w:tcW w:w="766" w:type="dxa"/>
            <w:hideMark/>
          </w:tcPr>
          <w:p w:rsidR="006C10FD" w:rsidRPr="006C10FD" w:rsidRDefault="006C10FD" w:rsidP="006C10FD">
            <w:r w:rsidRPr="006C10FD">
              <w:t>24241</w:t>
            </w:r>
          </w:p>
        </w:tc>
        <w:tc>
          <w:tcPr>
            <w:tcW w:w="856" w:type="dxa"/>
            <w:hideMark/>
          </w:tcPr>
          <w:p w:rsidR="006C10FD" w:rsidRPr="006C10FD" w:rsidRDefault="006C10FD" w:rsidP="006C10FD">
            <w:r w:rsidRPr="006C10FD">
              <w:t>524.47</w:t>
            </w:r>
          </w:p>
        </w:tc>
        <w:tc>
          <w:tcPr>
            <w:tcW w:w="880" w:type="dxa"/>
            <w:hideMark/>
          </w:tcPr>
          <w:p w:rsidR="006C10FD" w:rsidRPr="006C10FD" w:rsidRDefault="006C10FD">
            <w:r w:rsidRPr="006C10FD">
              <w:t>27.3.5</w:t>
            </w:r>
          </w:p>
        </w:tc>
        <w:tc>
          <w:tcPr>
            <w:tcW w:w="2196" w:type="dxa"/>
            <w:hideMark/>
          </w:tcPr>
          <w:p w:rsidR="006C10FD" w:rsidRPr="006C10FD" w:rsidRDefault="006C10FD">
            <w:r w:rsidRPr="006C10FD">
              <w:t xml:space="preserve">The figure does not match the corresponding description on page </w:t>
            </w:r>
            <w:r w:rsidRPr="009E495D">
              <w:rPr>
                <w:highlight w:val="yellow"/>
              </w:rPr>
              <w:t>534</w:t>
            </w:r>
            <w:r w:rsidRPr="006C10FD">
              <w:t>. In the figure, the CSD is in the time domain, in the description it is in the frequency domain.</w:t>
            </w:r>
          </w:p>
        </w:tc>
        <w:tc>
          <w:tcPr>
            <w:tcW w:w="1710" w:type="dxa"/>
            <w:hideMark/>
          </w:tcPr>
          <w:p w:rsidR="006C10FD" w:rsidRPr="006C10FD" w:rsidRDefault="006C10FD">
            <w:r w:rsidRPr="006C10FD">
              <w:t>Make sure the description of the figure matches the figure.</w:t>
            </w:r>
          </w:p>
        </w:tc>
        <w:tc>
          <w:tcPr>
            <w:tcW w:w="3060" w:type="dxa"/>
            <w:hideMark/>
          </w:tcPr>
          <w:p w:rsidR="006C10FD" w:rsidRPr="006C10FD" w:rsidRDefault="006C10FD"/>
        </w:tc>
      </w:tr>
      <w:tr w:rsidR="006C10FD" w:rsidRPr="006C10FD" w:rsidTr="006C10FD">
        <w:trPr>
          <w:trHeight w:val="2250"/>
        </w:trPr>
        <w:tc>
          <w:tcPr>
            <w:tcW w:w="766" w:type="dxa"/>
            <w:hideMark/>
          </w:tcPr>
          <w:p w:rsidR="006C10FD" w:rsidRPr="006C10FD" w:rsidRDefault="006C10FD" w:rsidP="006C10FD">
            <w:r w:rsidRPr="006C10FD">
              <w:t>24566</w:t>
            </w:r>
          </w:p>
        </w:tc>
        <w:tc>
          <w:tcPr>
            <w:tcW w:w="856" w:type="dxa"/>
            <w:hideMark/>
          </w:tcPr>
          <w:p w:rsidR="006C10FD" w:rsidRPr="006C10FD" w:rsidRDefault="006C10FD" w:rsidP="006C10FD">
            <w:r w:rsidRPr="006C10FD">
              <w:t>369.27</w:t>
            </w:r>
          </w:p>
        </w:tc>
        <w:tc>
          <w:tcPr>
            <w:tcW w:w="880" w:type="dxa"/>
            <w:hideMark/>
          </w:tcPr>
          <w:p w:rsidR="006C10FD" w:rsidRPr="006C10FD" w:rsidRDefault="006C10FD">
            <w:r w:rsidRPr="006C10FD">
              <w:t>26.5.6</w:t>
            </w:r>
          </w:p>
        </w:tc>
        <w:tc>
          <w:tcPr>
            <w:tcW w:w="2196" w:type="dxa"/>
            <w:hideMark/>
          </w:tcPr>
          <w:p w:rsidR="006C10FD" w:rsidRPr="006C10FD" w:rsidRDefault="006C10FD">
            <w:r w:rsidRPr="006C10FD">
              <w:t xml:space="preserve">If the PPDU carrying BQRP is not occupying 160MHz, there should be no requirement for non-AP STA to report channel availability info for the entire 160MHz. Reporting those 20MHz </w:t>
            </w:r>
            <w:proofErr w:type="spellStart"/>
            <w:r w:rsidRPr="006C10FD">
              <w:t>subchannels</w:t>
            </w:r>
            <w:proofErr w:type="spellEnd"/>
            <w:r w:rsidRPr="006C10FD">
              <w:t xml:space="preserve"> occupied by the PPDU carrying BQRP should be sufficient</w:t>
            </w:r>
          </w:p>
        </w:tc>
        <w:tc>
          <w:tcPr>
            <w:tcW w:w="1710" w:type="dxa"/>
            <w:hideMark/>
          </w:tcPr>
          <w:p w:rsidR="006C10FD" w:rsidRPr="006C10FD" w:rsidRDefault="006C10FD">
            <w:r w:rsidRPr="006C10FD">
              <w:t>relax the STA reporting requirement</w:t>
            </w:r>
          </w:p>
        </w:tc>
        <w:tc>
          <w:tcPr>
            <w:tcW w:w="3060" w:type="dxa"/>
            <w:hideMark/>
          </w:tcPr>
          <w:p w:rsidR="006C10FD" w:rsidRPr="006C10FD" w:rsidRDefault="006C10FD"/>
        </w:tc>
      </w:tr>
      <w:tr w:rsidR="006C10FD" w:rsidRPr="006C10FD" w:rsidTr="006C10FD">
        <w:trPr>
          <w:trHeight w:val="500"/>
        </w:trPr>
        <w:tc>
          <w:tcPr>
            <w:tcW w:w="766" w:type="dxa"/>
            <w:hideMark/>
          </w:tcPr>
          <w:p w:rsidR="006C10FD" w:rsidRPr="006C10FD" w:rsidRDefault="006C10FD" w:rsidP="006C10FD">
            <w:r w:rsidRPr="006C10FD">
              <w:t>24567</w:t>
            </w:r>
          </w:p>
        </w:tc>
        <w:tc>
          <w:tcPr>
            <w:tcW w:w="856" w:type="dxa"/>
            <w:hideMark/>
          </w:tcPr>
          <w:p w:rsidR="006C10FD" w:rsidRPr="006C10FD" w:rsidRDefault="006C10FD" w:rsidP="006C10FD">
            <w:r w:rsidRPr="006C10FD">
              <w:t>369.15</w:t>
            </w:r>
          </w:p>
        </w:tc>
        <w:tc>
          <w:tcPr>
            <w:tcW w:w="880" w:type="dxa"/>
            <w:hideMark/>
          </w:tcPr>
          <w:p w:rsidR="006C10FD" w:rsidRPr="006C10FD" w:rsidRDefault="006C10FD">
            <w:r w:rsidRPr="006C10FD">
              <w:t>26.5.6</w:t>
            </w:r>
          </w:p>
        </w:tc>
        <w:tc>
          <w:tcPr>
            <w:tcW w:w="2196" w:type="dxa"/>
            <w:hideMark/>
          </w:tcPr>
          <w:p w:rsidR="006C10FD" w:rsidRPr="006C10FD" w:rsidRDefault="006C10FD">
            <w:r w:rsidRPr="006C10FD">
              <w:t>Can AID12=0 or 2045 in BQRP?</w:t>
            </w:r>
          </w:p>
        </w:tc>
        <w:tc>
          <w:tcPr>
            <w:tcW w:w="1710" w:type="dxa"/>
            <w:hideMark/>
          </w:tcPr>
          <w:p w:rsidR="006C10FD" w:rsidRPr="006C10FD" w:rsidRDefault="006C10FD">
            <w:r w:rsidRPr="006C10FD">
              <w:t>Clarify whether STA needs to respond to such BQRP</w:t>
            </w:r>
          </w:p>
        </w:tc>
        <w:tc>
          <w:tcPr>
            <w:tcW w:w="3060" w:type="dxa"/>
            <w:hideMark/>
          </w:tcPr>
          <w:p w:rsidR="006C10FD" w:rsidRPr="006C10FD" w:rsidRDefault="006C10FD"/>
        </w:tc>
      </w:tr>
    </w:tbl>
    <w:p w:rsidR="006C10FD" w:rsidRPr="006C10FD" w:rsidRDefault="006C10FD"/>
    <w:p w:rsidR="006C10FD" w:rsidRDefault="006C10FD"/>
    <w:p w:rsidR="006C10FD" w:rsidRDefault="00837543">
      <w:r>
        <w:t>CID 24237</w:t>
      </w:r>
    </w:p>
    <w:p w:rsidR="00837543" w:rsidRDefault="00837543"/>
    <w:p w:rsidR="00837543" w:rsidRDefault="00837543">
      <w:r>
        <w:t>The commenter is referring to Figure 27-12</w:t>
      </w:r>
    </w:p>
    <w:p w:rsidR="00837543" w:rsidRDefault="00837543"/>
    <w:p w:rsidR="00837543" w:rsidRDefault="00837543">
      <w:r>
        <w:rPr>
          <w:noProof/>
          <w:lang w:val="en-US" w:eastAsia="zh-CN"/>
        </w:rPr>
        <w:lastRenderedPageBreak/>
        <w:drawing>
          <wp:inline distT="0" distB="0" distL="0" distR="0" wp14:anchorId="5C2D9E05" wp14:editId="24310C34">
            <wp:extent cx="5943600" cy="3603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543" w:rsidRDefault="00837543"/>
    <w:p w:rsidR="00837543" w:rsidRDefault="00837543">
      <w:r>
        <w:t xml:space="preserve">This Figure was added to draft D2.0. The comment spreadsheet </w:t>
      </w:r>
      <w:hyperlink r:id="rId7" w:history="1">
        <w:r w:rsidRPr="005C4F62">
          <w:rPr>
            <w:rStyle w:val="Hyperlink"/>
          </w:rPr>
          <w:t>https://mentor.ieee.org/802.11/dcn/17/11-17-0010-14-00ax-comments-on-tgax-d1-0.xlsx</w:t>
        </w:r>
      </w:hyperlink>
      <w:r>
        <w:t xml:space="preserve"> is not clear how this Figure was added to draft D2.0 and which submission is responsible for this addition. This Figure replaces what was in draft D1.0:</w:t>
      </w:r>
    </w:p>
    <w:p w:rsidR="00837543" w:rsidRDefault="00837543"/>
    <w:p w:rsidR="00837543" w:rsidRDefault="009E495D">
      <w:r>
        <w:t>Proposed Resolution: Revised</w:t>
      </w:r>
    </w:p>
    <w:p w:rsidR="009E495D" w:rsidRDefault="009E495D"/>
    <w:p w:rsidR="009E495D" w:rsidRDefault="009E495D">
      <w:proofErr w:type="spellStart"/>
      <w:r>
        <w:t>TGax</w:t>
      </w:r>
      <w:proofErr w:type="spellEnd"/>
      <w:r>
        <w:t xml:space="preserve"> Editor: Please delete Figure 27-12 and its caption.</w:t>
      </w:r>
    </w:p>
    <w:p w:rsidR="009E495D" w:rsidRDefault="009E495D"/>
    <w:p w:rsidR="009E495D" w:rsidRDefault="009E495D">
      <w:r>
        <w:t>CID 24241</w:t>
      </w:r>
    </w:p>
    <w:p w:rsidR="009E495D" w:rsidRDefault="009E495D"/>
    <w:p w:rsidR="009E495D" w:rsidRDefault="009E495D">
      <w:r>
        <w:t>The commenter seems to refer to Figure 27-16</w:t>
      </w:r>
    </w:p>
    <w:p w:rsidR="009E495D" w:rsidRDefault="009E495D"/>
    <w:p w:rsidR="009E495D" w:rsidRDefault="009E495D">
      <w:r w:rsidRPr="009E495D">
        <w:rPr>
          <w:noProof/>
          <w:lang w:val="en-US" w:eastAsia="zh-CN"/>
        </w:rPr>
        <w:drawing>
          <wp:inline distT="0" distB="0" distL="0" distR="0">
            <wp:extent cx="5810250" cy="29864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5D" w:rsidRDefault="009E495D">
      <w:r>
        <w:lastRenderedPageBreak/>
        <w:t>On page 534 (D6.0) 27.3.6.7 it is stated:</w:t>
      </w:r>
    </w:p>
    <w:p w:rsidR="009E495D" w:rsidRDefault="009E495D"/>
    <w:p w:rsidR="009E495D" w:rsidRDefault="009E495D" w:rsidP="009E495D">
      <w:pPr>
        <w:ind w:left="720" w:hanging="720"/>
      </w:pPr>
      <w:r>
        <w:rPr>
          <w:sz w:val="20"/>
        </w:rPr>
        <w:t>g)</w:t>
      </w:r>
      <w:r>
        <w:rPr>
          <w:sz w:val="20"/>
        </w:rPr>
        <w:tab/>
        <w:t>CSD: Apply CSD for each transmit chain and frequency segment as described in 27.3.11.2.1 (Cyclic shift for pre-HE modulated fields).</w:t>
      </w:r>
    </w:p>
    <w:p w:rsidR="009E495D" w:rsidRDefault="009E495D"/>
    <w:p w:rsidR="009E495D" w:rsidRDefault="009E495D"/>
    <w:p w:rsidR="00A73297" w:rsidRDefault="00A73297">
      <w:r>
        <w:t>Proposed Resolution: Rejected</w:t>
      </w:r>
    </w:p>
    <w:p w:rsidR="00A73297" w:rsidRDefault="00A73297"/>
    <w:p w:rsidR="00A73297" w:rsidRDefault="00A73297">
      <w:r>
        <w:t>The Construction of HE SIG-B in clause 27.3.6.7 doesn’t refer to Figure 27-16.</w:t>
      </w:r>
    </w:p>
    <w:p w:rsidR="00A73297" w:rsidRDefault="00A73297"/>
    <w:p w:rsidR="00A73297" w:rsidRDefault="00A73297">
      <w:r>
        <w:t>CID 24566</w:t>
      </w:r>
    </w:p>
    <w:p w:rsidR="00A73297" w:rsidRDefault="00A73297"/>
    <w:p w:rsidR="00A73297" w:rsidRDefault="00A73297">
      <w:r>
        <w:t>The commen</w:t>
      </w:r>
      <w:r w:rsidR="00B63BA1">
        <w:t>ter seems to refer to</w:t>
      </w:r>
      <w:r>
        <w:t>:</w:t>
      </w:r>
    </w:p>
    <w:p w:rsidR="00A73297" w:rsidRDefault="00A73297"/>
    <w:p w:rsidR="00A73297" w:rsidRDefault="00A73297"/>
    <w:p w:rsidR="00B63BA1" w:rsidRDefault="00B63BA1" w:rsidP="007B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An AP may solicit BQRs from a non-AP STA only if the non-AP STA has indicated support by setting the BQR Support field in the HE Capabilities element it transmits to 1; otherwise the AP shall not solicit BQRs from the non-AP STA. An AP may solicit BQRs from one or more non-AP HE STAs that support </w:t>
      </w:r>
      <w:proofErr w:type="spellStart"/>
      <w:r>
        <w:rPr>
          <w:sz w:val="20"/>
        </w:rPr>
        <w:t>generat-ing</w:t>
      </w:r>
      <w:proofErr w:type="spellEnd"/>
      <w:r>
        <w:rPr>
          <w:sz w:val="20"/>
        </w:rPr>
        <w:t xml:space="preserve"> BQRs, by sending a BQRP Trigger frame (see 9.3.1.22.8 (Bandwidth Query Report Poll (BQRP) </w:t>
      </w:r>
      <w:proofErr w:type="spellStart"/>
      <w:r>
        <w:rPr>
          <w:sz w:val="20"/>
        </w:rPr>
        <w:t>vari</w:t>
      </w:r>
      <w:proofErr w:type="spellEnd"/>
      <w:r>
        <w:rPr>
          <w:sz w:val="20"/>
        </w:rPr>
        <w:t xml:space="preserve">-ant)). A non-AP STA that supports generating a BQR responds (solicited BQR) as defined below: </w:t>
      </w:r>
    </w:p>
    <w:p w:rsidR="00B63BA1" w:rsidRDefault="00B63BA1" w:rsidP="007B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B63BA1" w:rsidRDefault="00B63BA1" w:rsidP="007B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— The STA that receives a BQRP Trigger frame shall follow the rules defined in 26.5.2.3 (Non-AP STA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 xml:space="preserve"> for UL MU operation) to generate the HE TB PPDU if the Trigger frame contains the STA’s AID in any of the User Info fields; otherwise the STA shall follow the rules defined in 26.5.4 (UL OFDMA-based random access (UORA)) to gain access to an RA-RU and generate the HE TB PPDU if the Trigger frame contains one or more RA-RUs.</w:t>
      </w:r>
    </w:p>
    <w:p w:rsidR="00B63BA1" w:rsidRDefault="00B63BA1" w:rsidP="007B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A09B2" w:rsidRDefault="00B63BA1" w:rsidP="007B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20"/>
        </w:rPr>
        <w:t xml:space="preserve"> — </w:t>
      </w:r>
      <w:r w:rsidRPr="00B63BA1">
        <w:rPr>
          <w:sz w:val="20"/>
          <w:highlight w:val="yellow"/>
        </w:rPr>
        <w:t xml:space="preserve">The STA shall include in the HE TB PPDU one or more </w:t>
      </w:r>
      <w:proofErr w:type="spellStart"/>
      <w:r w:rsidRPr="00B63BA1">
        <w:rPr>
          <w:sz w:val="20"/>
          <w:highlight w:val="yellow"/>
        </w:rPr>
        <w:t>QoS</w:t>
      </w:r>
      <w:proofErr w:type="spellEnd"/>
      <w:r w:rsidRPr="00B63BA1">
        <w:rPr>
          <w:sz w:val="20"/>
          <w:highlight w:val="yellow"/>
        </w:rPr>
        <w:t xml:space="preserve"> Nul</w:t>
      </w:r>
      <w:r>
        <w:rPr>
          <w:sz w:val="20"/>
          <w:highlight w:val="yellow"/>
        </w:rPr>
        <w:t>l frames containing the BQR Con</w:t>
      </w:r>
      <w:r w:rsidRPr="00B63BA1">
        <w:rPr>
          <w:sz w:val="20"/>
          <w:highlight w:val="yellow"/>
        </w:rPr>
        <w:t>trol subfield with the channel availability information of the STA</w:t>
      </w:r>
      <w:r>
        <w:rPr>
          <w:sz w:val="20"/>
        </w:rPr>
        <w:t xml:space="preserve">. The HE STA shall not solicit an immediate response for the frames carried in the HE TB PPDU. The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Policy Indication subfield of the frame shall be set to No Ack. </w:t>
      </w:r>
      <w:r>
        <w:rPr>
          <w:sz w:val="18"/>
          <w:szCs w:val="18"/>
        </w:rPr>
        <w:t>NOTE—An AP does not send a BQRP Trigger frame addressed to a STA that has set the UL MU Disable field to 1.</w:t>
      </w:r>
    </w:p>
    <w:p w:rsidR="00B63BA1" w:rsidRDefault="00B63BA1">
      <w:pPr>
        <w:rPr>
          <w:sz w:val="18"/>
          <w:szCs w:val="18"/>
        </w:rPr>
      </w:pPr>
    </w:p>
    <w:p w:rsidR="007B68D9" w:rsidRDefault="007B68D9">
      <w:pPr>
        <w:rPr>
          <w:szCs w:val="22"/>
        </w:rPr>
      </w:pPr>
    </w:p>
    <w:p w:rsidR="00B63BA1" w:rsidRDefault="00B63BA1">
      <w:pPr>
        <w:rPr>
          <w:szCs w:val="22"/>
        </w:rPr>
      </w:pPr>
      <w:r w:rsidRPr="00B63BA1">
        <w:rPr>
          <w:szCs w:val="22"/>
        </w:rPr>
        <w:t>Proposed Resolution</w:t>
      </w:r>
      <w:r>
        <w:rPr>
          <w:szCs w:val="22"/>
        </w:rPr>
        <w:t>: Rejected</w:t>
      </w:r>
    </w:p>
    <w:p w:rsidR="00B63BA1" w:rsidRDefault="00B63BA1">
      <w:pPr>
        <w:rPr>
          <w:szCs w:val="22"/>
        </w:rPr>
      </w:pPr>
    </w:p>
    <w:p w:rsidR="00B63BA1" w:rsidRDefault="00B63BA1">
      <w:pPr>
        <w:rPr>
          <w:szCs w:val="22"/>
        </w:rPr>
      </w:pPr>
      <w:r>
        <w:rPr>
          <w:szCs w:val="22"/>
        </w:rPr>
        <w:t xml:space="preserve">The current text does not mandate the </w:t>
      </w:r>
    </w:p>
    <w:p w:rsidR="00B63BA1" w:rsidRDefault="00B63BA1">
      <w:pPr>
        <w:rPr>
          <w:szCs w:val="22"/>
        </w:rPr>
      </w:pPr>
    </w:p>
    <w:p w:rsidR="00B63BA1" w:rsidRDefault="00B63BA1">
      <w:pPr>
        <w:rPr>
          <w:szCs w:val="22"/>
        </w:rPr>
      </w:pPr>
      <w:r>
        <w:rPr>
          <w:szCs w:val="22"/>
        </w:rPr>
        <w:t xml:space="preserve">CID </w:t>
      </w:r>
      <w:r w:rsidR="007B68D9">
        <w:rPr>
          <w:szCs w:val="22"/>
        </w:rPr>
        <w:t>24567</w:t>
      </w:r>
    </w:p>
    <w:p w:rsidR="0014153F" w:rsidRDefault="0014153F">
      <w:pPr>
        <w:rPr>
          <w:szCs w:val="22"/>
        </w:rPr>
      </w:pPr>
    </w:p>
    <w:p w:rsidR="0014153F" w:rsidRDefault="0014153F">
      <w:pPr>
        <w:rPr>
          <w:szCs w:val="22"/>
        </w:rPr>
      </w:pPr>
      <w:r>
        <w:rPr>
          <w:szCs w:val="22"/>
        </w:rPr>
        <w:t>The commenter seems to be referring to:</w:t>
      </w:r>
    </w:p>
    <w:p w:rsidR="0014153F" w:rsidRDefault="0014153F">
      <w:pPr>
        <w:rPr>
          <w:szCs w:val="22"/>
        </w:rPr>
      </w:pPr>
    </w:p>
    <w:p w:rsidR="0014153F" w:rsidRP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153F">
        <w:rPr>
          <w:szCs w:val="22"/>
        </w:rPr>
        <w:t>An AP may solicit BQRs from a non-AP STA only if the non-AP STA has i</w:t>
      </w:r>
      <w:r>
        <w:rPr>
          <w:szCs w:val="22"/>
        </w:rPr>
        <w:t xml:space="preserve">ndicated support by setting the </w:t>
      </w:r>
      <w:r w:rsidRPr="0014153F">
        <w:rPr>
          <w:szCs w:val="22"/>
        </w:rPr>
        <w:t>BQR Support field in the HE Capabilities element it transmits to 1; otherwise the AP shall not solicit BQRs</w:t>
      </w:r>
      <w:r>
        <w:rPr>
          <w:szCs w:val="22"/>
        </w:rPr>
        <w:t xml:space="preserve"> </w:t>
      </w:r>
      <w:r w:rsidRPr="0014153F">
        <w:rPr>
          <w:szCs w:val="22"/>
        </w:rPr>
        <w:t>from the non-AP STA. An AP may solicit BQRs from one or more non-AP HE STAs that support generating</w:t>
      </w:r>
      <w:r>
        <w:rPr>
          <w:szCs w:val="22"/>
        </w:rPr>
        <w:t xml:space="preserve"> </w:t>
      </w:r>
      <w:r w:rsidRPr="0014153F">
        <w:rPr>
          <w:szCs w:val="22"/>
        </w:rPr>
        <w:t>BQRs, by sending a BQRP Trigger frame (see 9.3.1.22.8 (Bandwidth Query Report Poll (BQRP) variant)).</w:t>
      </w:r>
      <w:r>
        <w:rPr>
          <w:szCs w:val="22"/>
        </w:rPr>
        <w:t xml:space="preserve"> </w:t>
      </w:r>
      <w:r w:rsidRPr="0014153F">
        <w:rPr>
          <w:szCs w:val="22"/>
        </w:rPr>
        <w:t>A non-AP STA that supports generating a BQR responds (solicited BQR) as defined below:</w:t>
      </w:r>
    </w:p>
    <w:p w:rsidR="0014153F" w:rsidRP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highlight w:val="yellow"/>
        </w:rPr>
      </w:pPr>
      <w:r w:rsidRPr="0014153F">
        <w:rPr>
          <w:rFonts w:hint="eastAsia"/>
          <w:szCs w:val="22"/>
        </w:rPr>
        <w:t>—</w:t>
      </w:r>
      <w:r w:rsidRPr="0014153F">
        <w:rPr>
          <w:szCs w:val="22"/>
        </w:rPr>
        <w:t xml:space="preserve"> </w:t>
      </w:r>
      <w:r w:rsidRPr="0014153F">
        <w:rPr>
          <w:szCs w:val="22"/>
          <w:highlight w:val="yellow"/>
        </w:rPr>
        <w:t>The STA that receives a BQRP Trigger frame shall follow the rules defined in 26.5.2.3 (Non-AP</w:t>
      </w:r>
    </w:p>
    <w:p w:rsidR="0014153F" w:rsidRP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highlight w:val="yellow"/>
        </w:rPr>
      </w:pPr>
      <w:r w:rsidRPr="0014153F">
        <w:rPr>
          <w:szCs w:val="22"/>
          <w:highlight w:val="yellow"/>
        </w:rPr>
        <w:t xml:space="preserve">STA </w:t>
      </w:r>
      <w:proofErr w:type="spellStart"/>
      <w:r w:rsidRPr="0014153F">
        <w:rPr>
          <w:szCs w:val="22"/>
          <w:highlight w:val="yellow"/>
        </w:rPr>
        <w:t>behavior</w:t>
      </w:r>
      <w:proofErr w:type="spellEnd"/>
      <w:r w:rsidRPr="0014153F">
        <w:rPr>
          <w:szCs w:val="22"/>
          <w:highlight w:val="yellow"/>
        </w:rPr>
        <w:t xml:space="preserve"> for UL MU operation) to generate the HE TB PPDU if the Trigger frame contains the</w:t>
      </w:r>
    </w:p>
    <w:p w:rsidR="0014153F" w:rsidRP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highlight w:val="yellow"/>
        </w:rPr>
      </w:pPr>
      <w:r w:rsidRPr="0014153F">
        <w:rPr>
          <w:szCs w:val="22"/>
          <w:highlight w:val="yellow"/>
        </w:rPr>
        <w:t>STA’s AID in any of the User Info fields; otherwise the STA shall follow the rules defined in 26.5.4</w:t>
      </w:r>
    </w:p>
    <w:p w:rsidR="0014153F" w:rsidRP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highlight w:val="yellow"/>
        </w:rPr>
      </w:pPr>
      <w:r w:rsidRPr="0014153F">
        <w:rPr>
          <w:szCs w:val="22"/>
          <w:highlight w:val="yellow"/>
        </w:rPr>
        <w:t>(UL OFDMA-based random access (UORA)) to gain access to an RA-RU and generate the HE TB</w:t>
      </w:r>
    </w:p>
    <w:p w:rsidR="0014153F" w:rsidRP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153F">
        <w:rPr>
          <w:szCs w:val="22"/>
          <w:highlight w:val="yellow"/>
        </w:rPr>
        <w:t>PPDU if the Trigger frame contains one or more RA-RUs</w:t>
      </w:r>
      <w:r w:rsidRPr="0014153F">
        <w:rPr>
          <w:szCs w:val="22"/>
        </w:rPr>
        <w:t>.</w:t>
      </w:r>
    </w:p>
    <w:p w:rsidR="0014153F" w:rsidRP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153F">
        <w:rPr>
          <w:rFonts w:hint="eastAsia"/>
          <w:szCs w:val="22"/>
        </w:rPr>
        <w:t>—</w:t>
      </w:r>
      <w:r w:rsidRPr="0014153F">
        <w:rPr>
          <w:szCs w:val="22"/>
        </w:rPr>
        <w:t xml:space="preserve"> The STA shall include in the HE TB PPDU one or more </w:t>
      </w:r>
      <w:proofErr w:type="spellStart"/>
      <w:r w:rsidRPr="0014153F">
        <w:rPr>
          <w:szCs w:val="22"/>
        </w:rPr>
        <w:t>QoS</w:t>
      </w:r>
      <w:proofErr w:type="spellEnd"/>
      <w:r w:rsidRPr="0014153F">
        <w:rPr>
          <w:szCs w:val="22"/>
        </w:rPr>
        <w:t xml:space="preserve"> Null frames containing the BQR Control</w:t>
      </w:r>
    </w:p>
    <w:p w:rsidR="0014153F" w:rsidRP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proofErr w:type="gramStart"/>
      <w:r w:rsidRPr="0014153F">
        <w:rPr>
          <w:szCs w:val="22"/>
        </w:rPr>
        <w:t>subfield</w:t>
      </w:r>
      <w:proofErr w:type="gramEnd"/>
      <w:r w:rsidRPr="0014153F">
        <w:rPr>
          <w:szCs w:val="22"/>
        </w:rPr>
        <w:t xml:space="preserve"> with the channel availability information of the STA. The HE STA shall not solicit an</w:t>
      </w:r>
    </w:p>
    <w:p w:rsidR="0014153F" w:rsidRP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proofErr w:type="gramStart"/>
      <w:r w:rsidRPr="0014153F">
        <w:rPr>
          <w:szCs w:val="22"/>
        </w:rPr>
        <w:t>immediate</w:t>
      </w:r>
      <w:proofErr w:type="gramEnd"/>
      <w:r w:rsidRPr="0014153F">
        <w:rPr>
          <w:szCs w:val="22"/>
        </w:rPr>
        <w:t xml:space="preserve"> response for the frames carried in the HE TB PPDU. The </w:t>
      </w:r>
      <w:proofErr w:type="spellStart"/>
      <w:r w:rsidRPr="0014153F">
        <w:rPr>
          <w:szCs w:val="22"/>
        </w:rPr>
        <w:t>Ack</w:t>
      </w:r>
      <w:proofErr w:type="spellEnd"/>
      <w:r w:rsidRPr="0014153F">
        <w:rPr>
          <w:szCs w:val="22"/>
        </w:rPr>
        <w:t xml:space="preserve"> Policy Indication subfield</w:t>
      </w:r>
    </w:p>
    <w:p w:rsidR="0014153F" w:rsidRDefault="0014153F" w:rsidP="00141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proofErr w:type="gramStart"/>
      <w:r w:rsidRPr="0014153F">
        <w:rPr>
          <w:szCs w:val="22"/>
        </w:rPr>
        <w:t>of</w:t>
      </w:r>
      <w:proofErr w:type="gramEnd"/>
      <w:r w:rsidRPr="0014153F">
        <w:rPr>
          <w:szCs w:val="22"/>
        </w:rPr>
        <w:t xml:space="preserve"> the frame shall be set to No Ack.</w:t>
      </w:r>
    </w:p>
    <w:p w:rsidR="007B68D9" w:rsidRDefault="007B68D9">
      <w:pPr>
        <w:rPr>
          <w:szCs w:val="22"/>
        </w:rPr>
      </w:pPr>
    </w:p>
    <w:p w:rsidR="0014153F" w:rsidRDefault="0014153F">
      <w:pPr>
        <w:rPr>
          <w:szCs w:val="22"/>
        </w:rPr>
      </w:pPr>
      <w:r>
        <w:rPr>
          <w:szCs w:val="22"/>
        </w:rPr>
        <w:t>Resolution: Rejected</w:t>
      </w:r>
    </w:p>
    <w:p w:rsidR="0014153F" w:rsidRDefault="0014153F">
      <w:pPr>
        <w:rPr>
          <w:szCs w:val="22"/>
        </w:rPr>
      </w:pPr>
    </w:p>
    <w:p w:rsidR="007B68D9" w:rsidRDefault="0014153F">
      <w:pPr>
        <w:rPr>
          <w:szCs w:val="22"/>
        </w:rPr>
      </w:pPr>
      <w:r>
        <w:rPr>
          <w:szCs w:val="22"/>
        </w:rPr>
        <w:t>The AID subfield encoding of the User Info field are given in Table 9-31g (Draft 6.0 pp 123) including the use of the values 0 and 2045.</w:t>
      </w:r>
    </w:p>
    <w:p w:rsidR="007B68D9" w:rsidRDefault="007B68D9">
      <w:pPr>
        <w:rPr>
          <w:szCs w:val="22"/>
        </w:rPr>
      </w:pPr>
    </w:p>
    <w:p w:rsidR="007B68D9" w:rsidRPr="00B63BA1" w:rsidRDefault="007B68D9">
      <w:pPr>
        <w:rPr>
          <w:szCs w:val="22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90" w:rsidRDefault="006B6F90">
      <w:r>
        <w:separator/>
      </w:r>
    </w:p>
  </w:endnote>
  <w:endnote w:type="continuationSeparator" w:id="0">
    <w:p w:rsidR="006B6F90" w:rsidRDefault="006B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B6F9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C10F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C7179">
      <w:rPr>
        <w:noProof/>
      </w:rPr>
      <w:t>6</w:t>
    </w:r>
    <w:r w:rsidR="0029020B">
      <w:fldChar w:fldCharType="end"/>
    </w:r>
    <w:r w:rsidR="0029020B">
      <w:tab/>
    </w:r>
    <w:r w:rsidR="00A81293">
      <w:t xml:space="preserve">Osama </w:t>
    </w:r>
    <w:proofErr w:type="spellStart"/>
    <w:r w:rsidR="00A81293">
      <w:t>Aboul-Magd</w:t>
    </w:r>
    <w:proofErr w:type="spellEnd"/>
    <w:r w:rsidR="00A81293">
      <w:t xml:space="preserve"> (Huawei Technologies)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90" w:rsidRDefault="006B6F90">
      <w:r>
        <w:separator/>
      </w:r>
    </w:p>
  </w:footnote>
  <w:footnote w:type="continuationSeparator" w:id="0">
    <w:p w:rsidR="006B6F90" w:rsidRDefault="006B6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B6F9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81293">
      <w:t>June</w:t>
    </w:r>
    <w:r w:rsidR="006C10FD">
      <w:t xml:space="preserve"> </w:t>
    </w:r>
    <w:r>
      <w:fldChar w:fldCharType="end"/>
    </w:r>
    <w:r w:rsidR="00A81293">
      <w:t>2020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C7179">
      <w:t>doc.: IEEE 802.11-20</w:t>
    </w:r>
    <w:r w:rsidR="006C10FD">
      <w:t>/</w:t>
    </w:r>
    <w:r w:rsidR="00EC7179">
      <w:t>0912</w:t>
    </w:r>
    <w:r w:rsidR="006C10FD">
      <w:t>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D"/>
    <w:rsid w:val="0014153F"/>
    <w:rsid w:val="001D723B"/>
    <w:rsid w:val="0029020B"/>
    <w:rsid w:val="002D44BE"/>
    <w:rsid w:val="00442037"/>
    <w:rsid w:val="004B064B"/>
    <w:rsid w:val="0062440B"/>
    <w:rsid w:val="006B6F90"/>
    <w:rsid w:val="006C0727"/>
    <w:rsid w:val="006C10FD"/>
    <w:rsid w:val="006E145F"/>
    <w:rsid w:val="00770572"/>
    <w:rsid w:val="007B68D9"/>
    <w:rsid w:val="00837543"/>
    <w:rsid w:val="009E495D"/>
    <w:rsid w:val="009F2FBC"/>
    <w:rsid w:val="00A73297"/>
    <w:rsid w:val="00A81293"/>
    <w:rsid w:val="00AA427C"/>
    <w:rsid w:val="00B63BA1"/>
    <w:rsid w:val="00B71132"/>
    <w:rsid w:val="00BE68C2"/>
    <w:rsid w:val="00CA09B2"/>
    <w:rsid w:val="00DC5A7B"/>
    <w:rsid w:val="00E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25DB44-9CE3-4C3E-991F-49936EDA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C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mentor.ieee.org/802.11/dcn/17/11-17-0010-14-00ax-comments-on-tgax-d1-0.xls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4</cp:revision>
  <cp:lastPrinted>2020-06-17T15:28:00Z</cp:lastPrinted>
  <dcterms:created xsi:type="dcterms:W3CDTF">2020-06-17T15:28:00Z</dcterms:created>
  <dcterms:modified xsi:type="dcterms:W3CDTF">2020-06-17T17:09:00Z</dcterms:modified>
</cp:coreProperties>
</file>