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16DD6" w:rsidP="00B97AB0">
            <w:pPr>
              <w:pStyle w:val="T2"/>
              <w:spacing w:after="120"/>
            </w:pPr>
            <w:r>
              <w:t>Resolution for CID 2052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55477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</w:t>
            </w:r>
            <w:r w:rsidR="00554774">
              <w:rPr>
                <w:b w:val="0"/>
                <w:sz w:val="24"/>
                <w:szCs w:val="24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0C0DB3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4529B6">
        <w:rPr>
          <w:rFonts w:ascii="Times New Roman" w:hAnsi="Times New Roman"/>
          <w:b w:val="0"/>
          <w:i w:val="0"/>
          <w:sz w:val="24"/>
          <w:szCs w:val="24"/>
        </w:rPr>
        <w:t xml:space="preserve"> 2052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529B6">
              <w:rPr>
                <w:sz w:val="24"/>
                <w:szCs w:val="24"/>
                <w:lang w:val="en-US"/>
              </w:rPr>
              <w:t>052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4529B6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4529B6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4529B6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4529B6" w:rsidP="003D0E11">
            <w:pPr>
              <w:rPr>
                <w:sz w:val="24"/>
                <w:szCs w:val="24"/>
                <w:lang w:val="en-US"/>
              </w:rPr>
            </w:pPr>
            <w:r w:rsidRPr="004529B6">
              <w:rPr>
                <w:sz w:val="24"/>
                <w:szCs w:val="24"/>
                <w:lang w:val="en-US"/>
              </w:rPr>
              <w:t xml:space="preserve">"China directional multi-gigabit (CDMG): Pertaining to operation in DMG and where the channel is contained within the Chinese 60 GHz frequency band" - it seems that Chinese 60GHz band is contained with other </w:t>
            </w:r>
            <w:proofErr w:type="spellStart"/>
            <w:r w:rsidRPr="004529B6">
              <w:rPr>
                <w:sz w:val="24"/>
                <w:szCs w:val="24"/>
                <w:lang w:val="en-US"/>
              </w:rPr>
              <w:t>reglulatory</w:t>
            </w:r>
            <w:proofErr w:type="spellEnd"/>
            <w:r w:rsidRPr="004529B6">
              <w:rPr>
                <w:sz w:val="24"/>
                <w:szCs w:val="24"/>
                <w:lang w:val="en-US"/>
              </w:rPr>
              <w:t xml:space="preserve"> domain bands: US or Europe for example.  Can CDMG BSS operate in Europe or the US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4529B6" w:rsidP="00F74E55">
            <w:pPr>
              <w:rPr>
                <w:sz w:val="24"/>
                <w:szCs w:val="24"/>
                <w:lang w:val="en-US"/>
              </w:rPr>
            </w:pPr>
            <w:r w:rsidRPr="004529B6">
              <w:rPr>
                <w:sz w:val="24"/>
                <w:szCs w:val="24"/>
                <w:lang w:val="en-US"/>
              </w:rPr>
              <w:t>Clarify</w:t>
            </w:r>
            <w:r w:rsidR="00F74E55" w:rsidRPr="00F74E55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EA543F" w:rsidRDefault="004529B6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178.44:</w:t>
      </w:r>
    </w:p>
    <w:p w:rsidR="004529B6" w:rsidRDefault="004529B6" w:rsidP="00EA543F">
      <w:pPr>
        <w:spacing w:after="240"/>
        <w:jc w:val="both"/>
        <w:rPr>
          <w:sz w:val="24"/>
          <w:szCs w:val="24"/>
        </w:rPr>
      </w:pPr>
      <w:r w:rsidRPr="004529B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387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B6" w:rsidRDefault="004529B6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178.55:</w:t>
      </w:r>
    </w:p>
    <w:p w:rsidR="004529B6" w:rsidRDefault="004529B6" w:rsidP="00EA543F">
      <w:pPr>
        <w:spacing w:after="240"/>
        <w:jc w:val="both"/>
        <w:rPr>
          <w:sz w:val="24"/>
          <w:szCs w:val="24"/>
        </w:rPr>
      </w:pPr>
      <w:r w:rsidRPr="004529B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326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3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E1" w:rsidRDefault="001206E1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There are also 3 appearances of “Chinese 60 GHz” in clauses 4 and 11.</w:t>
      </w:r>
    </w:p>
    <w:p w:rsidR="00F930DA" w:rsidRDefault="00F930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lastRenderedPageBreak/>
        <w:t>Proposed resolution:</w:t>
      </w:r>
    </w:p>
    <w:p w:rsidR="00EA543F" w:rsidRDefault="00EA543F" w:rsidP="00EA543F">
      <w:pPr>
        <w:spacing w:after="240"/>
        <w:jc w:val="both"/>
        <w:rPr>
          <w:sz w:val="24"/>
          <w:szCs w:val="24"/>
        </w:rPr>
      </w:pPr>
      <w:r w:rsidRPr="00501D7F">
        <w:rPr>
          <w:sz w:val="24"/>
          <w:szCs w:val="24"/>
        </w:rPr>
        <w:t>Revised</w:t>
      </w:r>
    </w:p>
    <w:p w:rsidR="00215658" w:rsidRDefault="00215658" w:rsidP="0021565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178.44,</w:t>
      </w:r>
    </w:p>
    <w:p w:rsidR="00215658" w:rsidRPr="00215658" w:rsidRDefault="00215658" w:rsidP="0021565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15658">
        <w:rPr>
          <w:sz w:val="24"/>
          <w:szCs w:val="24"/>
        </w:rPr>
        <w:t>China directional multi-gigabit (CDMG): Pertaining to operation in directional multi-gigabit</w:t>
      </w:r>
      <w:r>
        <w:rPr>
          <w:sz w:val="24"/>
          <w:szCs w:val="24"/>
        </w:rPr>
        <w:t xml:space="preserve"> </w:t>
      </w:r>
      <w:r w:rsidRPr="00215658">
        <w:rPr>
          <w:sz w:val="24"/>
          <w:szCs w:val="24"/>
        </w:rPr>
        <w:t>(DMG) and where the channel is contained within the Chin</w:t>
      </w:r>
      <w:r>
        <w:rPr>
          <w:sz w:val="24"/>
          <w:szCs w:val="24"/>
        </w:rPr>
        <w:t>ese 60 GHz frequency band.</w:t>
      </w:r>
    </w:p>
    <w:p w:rsidR="00215658" w:rsidRDefault="00215658" w:rsidP="00215658">
      <w:pPr>
        <w:spacing w:after="240"/>
        <w:jc w:val="both"/>
        <w:rPr>
          <w:sz w:val="24"/>
          <w:szCs w:val="24"/>
        </w:rPr>
      </w:pPr>
      <w:r w:rsidRPr="00215658">
        <w:rPr>
          <w:sz w:val="24"/>
          <w:szCs w:val="24"/>
        </w:rPr>
        <w:t>NOTE—The Chinese 60 GHz channel set is defined in Table E-6 (Operating classes in China) in Annex E</w:t>
      </w:r>
      <w:proofErr w:type="gramStart"/>
      <w:r w:rsidRPr="00215658">
        <w:rPr>
          <w:sz w:val="24"/>
          <w:szCs w:val="24"/>
        </w:rPr>
        <w:t>.(</w:t>
      </w:r>
      <w:proofErr w:type="gramEnd"/>
      <w:r w:rsidRPr="00215658">
        <w:rPr>
          <w:sz w:val="24"/>
          <w:szCs w:val="24"/>
        </w:rPr>
        <w:t>11aj)</w:t>
      </w:r>
      <w:r>
        <w:rPr>
          <w:sz w:val="24"/>
          <w:szCs w:val="24"/>
        </w:rPr>
        <w:t>”</w:t>
      </w:r>
    </w:p>
    <w:p w:rsidR="00215658" w:rsidRPr="00215658" w:rsidRDefault="00215658" w:rsidP="0021565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</w:t>
      </w:r>
      <w:r>
        <w:rPr>
          <w:sz w:val="24"/>
          <w:szCs w:val="24"/>
        </w:rPr>
        <w:t xml:space="preserve"> “</w:t>
      </w:r>
      <w:r w:rsidRPr="00215658">
        <w:rPr>
          <w:sz w:val="24"/>
          <w:szCs w:val="24"/>
        </w:rPr>
        <w:t>China directional multi-gigabit (CDMG): Pertaining to operation in directional multi-gigabit</w:t>
      </w:r>
      <w:r>
        <w:rPr>
          <w:sz w:val="24"/>
          <w:szCs w:val="24"/>
        </w:rPr>
        <w:t xml:space="preserve"> </w:t>
      </w:r>
      <w:r w:rsidRPr="00215658">
        <w:rPr>
          <w:sz w:val="24"/>
          <w:szCs w:val="24"/>
        </w:rPr>
        <w:t>(DMG)</w:t>
      </w:r>
      <w:r>
        <w:rPr>
          <w:sz w:val="24"/>
          <w:szCs w:val="24"/>
        </w:rPr>
        <w:t xml:space="preserve"> and where the channel </w:t>
      </w:r>
      <w:r w:rsidRPr="000D1474">
        <w:rPr>
          <w:sz w:val="24"/>
          <w:szCs w:val="24"/>
          <w:highlight w:val="yellow"/>
        </w:rPr>
        <w:t xml:space="preserve">is defined in </w:t>
      </w:r>
      <w:r w:rsidRPr="000D1474">
        <w:rPr>
          <w:sz w:val="24"/>
          <w:szCs w:val="24"/>
          <w:highlight w:val="yellow"/>
        </w:rPr>
        <w:t>Table E-6 (Operati</w:t>
      </w:r>
      <w:r w:rsidRPr="000D1474">
        <w:rPr>
          <w:sz w:val="24"/>
          <w:szCs w:val="24"/>
          <w:highlight w:val="yellow"/>
        </w:rPr>
        <w:t>ng classes in China) in Annex E.</w:t>
      </w:r>
      <w:r>
        <w:rPr>
          <w:sz w:val="24"/>
          <w:szCs w:val="24"/>
        </w:rPr>
        <w:t>”.</w:t>
      </w:r>
    </w:p>
    <w:p w:rsidR="001C13E8" w:rsidRDefault="000D1474" w:rsidP="001C13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D1474" w:rsidRDefault="000D1474" w:rsidP="001C13E8">
      <w:pPr>
        <w:spacing w:after="2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At 178.55, </w:t>
      </w:r>
    </w:p>
    <w:p w:rsidR="000D1474" w:rsidRPr="000D1474" w:rsidRDefault="000D1474" w:rsidP="000D14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0D1474">
        <w:rPr>
          <w:sz w:val="24"/>
          <w:szCs w:val="24"/>
        </w:rPr>
        <w:t xml:space="preserve">China </w:t>
      </w:r>
      <w:proofErr w:type="spellStart"/>
      <w:r w:rsidRPr="000D1474">
        <w:rPr>
          <w:sz w:val="24"/>
          <w:szCs w:val="24"/>
        </w:rPr>
        <w:t>millimeter</w:t>
      </w:r>
      <w:proofErr w:type="spellEnd"/>
      <w:r w:rsidRPr="000D1474">
        <w:rPr>
          <w:sz w:val="24"/>
          <w:szCs w:val="24"/>
        </w:rPr>
        <w:t>-wave multi-gigabit (CMMG): Pertaining to operation in a frequency band containing a</w:t>
      </w:r>
      <w:r>
        <w:rPr>
          <w:sz w:val="24"/>
          <w:szCs w:val="24"/>
        </w:rPr>
        <w:t xml:space="preserve"> </w:t>
      </w:r>
      <w:r w:rsidRPr="000D1474">
        <w:rPr>
          <w:sz w:val="24"/>
          <w:szCs w:val="24"/>
        </w:rPr>
        <w:t>channel in 42.3 GHz to 47.3 GHz or 47.2 GHz to 48.4 GHz frequency bands.</w:t>
      </w:r>
    </w:p>
    <w:p w:rsidR="000D1474" w:rsidRDefault="000D1474" w:rsidP="000D1474">
      <w:pPr>
        <w:spacing w:after="240"/>
        <w:jc w:val="both"/>
        <w:rPr>
          <w:sz w:val="24"/>
          <w:szCs w:val="24"/>
        </w:rPr>
      </w:pPr>
      <w:r w:rsidRPr="000D1474">
        <w:rPr>
          <w:sz w:val="24"/>
          <w:szCs w:val="24"/>
        </w:rPr>
        <w:t>NOTE—The Chinese 45 GHz channel set is defined in Table E-6 (Operatin</w:t>
      </w:r>
      <w:r>
        <w:rPr>
          <w:sz w:val="24"/>
          <w:szCs w:val="24"/>
        </w:rPr>
        <w:t>g classes in China) in Annex E.”</w:t>
      </w:r>
    </w:p>
    <w:p w:rsidR="000D1474" w:rsidRPr="00501D7F" w:rsidRDefault="000D1474" w:rsidP="000D14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</w:t>
      </w:r>
      <w:r>
        <w:rPr>
          <w:sz w:val="24"/>
          <w:szCs w:val="24"/>
        </w:rPr>
        <w:t xml:space="preserve"> “</w:t>
      </w:r>
      <w:r w:rsidRPr="000D1474">
        <w:rPr>
          <w:sz w:val="24"/>
          <w:szCs w:val="24"/>
        </w:rPr>
        <w:t xml:space="preserve">China </w:t>
      </w:r>
      <w:proofErr w:type="spellStart"/>
      <w:r w:rsidRPr="000D1474">
        <w:rPr>
          <w:sz w:val="24"/>
          <w:szCs w:val="24"/>
        </w:rPr>
        <w:t>millimeter</w:t>
      </w:r>
      <w:proofErr w:type="spellEnd"/>
      <w:r w:rsidRPr="000D1474">
        <w:rPr>
          <w:sz w:val="24"/>
          <w:szCs w:val="24"/>
        </w:rPr>
        <w:t>-wave multi-gigabit (CMMG): Pertaining to operation in a frequency band containing a</w:t>
      </w:r>
      <w:r>
        <w:rPr>
          <w:sz w:val="24"/>
          <w:szCs w:val="24"/>
        </w:rPr>
        <w:t xml:space="preserve"> </w:t>
      </w:r>
      <w:r w:rsidRPr="000D1474">
        <w:rPr>
          <w:sz w:val="24"/>
          <w:szCs w:val="24"/>
        </w:rPr>
        <w:t>channel in 42.3 GHz to 47.3 GHz or 47.2 GHz to 48.4 GHz frequency bands</w:t>
      </w:r>
      <w:r>
        <w:rPr>
          <w:sz w:val="24"/>
          <w:szCs w:val="24"/>
        </w:rPr>
        <w:t xml:space="preserve"> </w:t>
      </w:r>
      <w:r w:rsidRPr="00CA1288">
        <w:rPr>
          <w:sz w:val="24"/>
          <w:szCs w:val="24"/>
          <w:highlight w:val="yellow"/>
        </w:rPr>
        <w:t xml:space="preserve">as defined in </w:t>
      </w:r>
      <w:r w:rsidRPr="00CA1288">
        <w:rPr>
          <w:sz w:val="24"/>
          <w:szCs w:val="24"/>
          <w:highlight w:val="yellow"/>
        </w:rPr>
        <w:t>Table E-6 (Operating classes in China) in Annex E</w:t>
      </w:r>
      <w:r>
        <w:rPr>
          <w:sz w:val="24"/>
          <w:szCs w:val="24"/>
        </w:rPr>
        <w:t>.”</w:t>
      </w:r>
    </w:p>
    <w:p w:rsidR="000D1474" w:rsidRDefault="00FA6580" w:rsidP="000D14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A6580" w:rsidRDefault="00FA6580" w:rsidP="000D14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254.40,</w:t>
      </w:r>
    </w:p>
    <w:p w:rsidR="00FA6580" w:rsidRDefault="00FA6580" w:rsidP="00FA65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FA6580">
        <w:rPr>
          <w:sz w:val="24"/>
          <w:szCs w:val="24"/>
        </w:rPr>
        <w:t>The IEEE 802.11 CDMG STA is a DMG STA that supports CDMG operation in Chinese 60 GHz frequency</w:t>
      </w:r>
      <w:r>
        <w:rPr>
          <w:sz w:val="24"/>
          <w:szCs w:val="24"/>
        </w:rPr>
        <w:t xml:space="preserve"> </w:t>
      </w:r>
      <w:r w:rsidRPr="00FA6580">
        <w:rPr>
          <w:sz w:val="24"/>
          <w:szCs w:val="24"/>
        </w:rPr>
        <w:t>band when dot11CDMGOptionImplemented is true.</w:t>
      </w:r>
      <w:r>
        <w:rPr>
          <w:sz w:val="24"/>
          <w:szCs w:val="24"/>
        </w:rPr>
        <w:t>”</w:t>
      </w:r>
    </w:p>
    <w:p w:rsidR="00FA6580" w:rsidRDefault="00FA6580" w:rsidP="00FA65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</w:t>
      </w:r>
      <w:r>
        <w:rPr>
          <w:sz w:val="24"/>
          <w:szCs w:val="24"/>
        </w:rPr>
        <w:t xml:space="preserve"> “</w:t>
      </w:r>
      <w:r w:rsidRPr="00FA6580">
        <w:rPr>
          <w:sz w:val="24"/>
          <w:szCs w:val="24"/>
        </w:rPr>
        <w:t>The IEEE 802.11 CDMG STA is a DMG STA that supports CDMG operation in 60 GHz frequency</w:t>
      </w:r>
      <w:r>
        <w:rPr>
          <w:sz w:val="24"/>
          <w:szCs w:val="24"/>
        </w:rPr>
        <w:t xml:space="preserve"> band </w:t>
      </w:r>
      <w:r w:rsidRPr="00CA1288">
        <w:rPr>
          <w:sz w:val="24"/>
          <w:szCs w:val="24"/>
          <w:highlight w:val="yellow"/>
        </w:rPr>
        <w:t>as defined in Table E-6 (Operating classes in China)</w:t>
      </w:r>
      <w:r>
        <w:rPr>
          <w:sz w:val="24"/>
          <w:szCs w:val="24"/>
        </w:rPr>
        <w:t xml:space="preserve"> </w:t>
      </w:r>
      <w:r w:rsidRPr="00FA6580">
        <w:rPr>
          <w:sz w:val="24"/>
          <w:szCs w:val="24"/>
        </w:rPr>
        <w:t>when dot11CDMGOptionImplemented is true.</w:t>
      </w:r>
      <w:r>
        <w:rPr>
          <w:sz w:val="24"/>
          <w:szCs w:val="24"/>
        </w:rPr>
        <w:t>”</w:t>
      </w:r>
    </w:p>
    <w:p w:rsidR="00FA6580" w:rsidRDefault="00FB2B71" w:rsidP="000D14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B2B71" w:rsidRDefault="00FB2B71" w:rsidP="000D14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2525.46,</w:t>
      </w:r>
    </w:p>
    <w:p w:rsidR="00FB2B71" w:rsidRDefault="00FB2B71" w:rsidP="005E3C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FB2B71">
        <w:rPr>
          <w:sz w:val="24"/>
          <w:szCs w:val="24"/>
        </w:rPr>
        <w:t>Radio regulations that apply to the 60 GHz band in China allow radio local area networks (RLANs)</w:t>
      </w:r>
      <w:r>
        <w:rPr>
          <w:sz w:val="24"/>
          <w:szCs w:val="24"/>
        </w:rPr>
        <w:t xml:space="preserve"> </w:t>
      </w:r>
      <w:r w:rsidRPr="00FB2B71">
        <w:rPr>
          <w:sz w:val="24"/>
          <w:szCs w:val="24"/>
        </w:rPr>
        <w:t>operating in the Chinese 60 GHz band to operate on a 1.08 GHz or a 2.16 GHz channel,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which requires a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mechanism to coordinate the allocation of operating channel between two CDMG infrastructure BSSs or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 xml:space="preserve">CDMG PBSSs. This </w:t>
      </w:r>
      <w:proofErr w:type="spellStart"/>
      <w:r w:rsidR="005E3C70" w:rsidRPr="005E3C70">
        <w:rPr>
          <w:sz w:val="24"/>
          <w:szCs w:val="24"/>
        </w:rPr>
        <w:t>subclause</w:t>
      </w:r>
      <w:proofErr w:type="spellEnd"/>
      <w:r w:rsidR="005E3C70" w:rsidRPr="005E3C70">
        <w:rPr>
          <w:sz w:val="24"/>
          <w:szCs w:val="24"/>
        </w:rPr>
        <w:t xml:space="preserve"> describes such a mechanism, referred to as dynamic channel selection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(DCS). This mechanism is used to improve the flexibility and channel efficiency when RLANs operate in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Chinese 60 GHz frequency band, in case that there is no available channel or the bandwidth (e.g., 1.08 GHz)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 xml:space="preserve">of idle channel(s) cannot satisfy the operating requirements of RLANs. This </w:t>
      </w:r>
      <w:proofErr w:type="spellStart"/>
      <w:r w:rsidR="005E3C70" w:rsidRPr="005E3C70">
        <w:rPr>
          <w:sz w:val="24"/>
          <w:szCs w:val="24"/>
        </w:rPr>
        <w:t>subclause</w:t>
      </w:r>
      <w:proofErr w:type="spellEnd"/>
      <w:r w:rsidR="005E3C70" w:rsidRPr="005E3C70">
        <w:rPr>
          <w:sz w:val="24"/>
          <w:szCs w:val="24"/>
        </w:rPr>
        <w:t xml:space="preserve"> describes the DCS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procedures that can be used to satisfy CDMG regulatory requirements.</w:t>
      </w:r>
      <w:r>
        <w:rPr>
          <w:sz w:val="24"/>
          <w:szCs w:val="24"/>
        </w:rPr>
        <w:t>”</w:t>
      </w:r>
    </w:p>
    <w:p w:rsidR="00FB2B71" w:rsidRDefault="00FB2B71" w:rsidP="00FB2B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with</w:t>
      </w:r>
      <w:r>
        <w:rPr>
          <w:sz w:val="24"/>
          <w:szCs w:val="24"/>
        </w:rPr>
        <w:t xml:space="preserve"> “</w:t>
      </w:r>
      <w:r w:rsidRPr="00FB2B71">
        <w:rPr>
          <w:sz w:val="24"/>
          <w:szCs w:val="24"/>
        </w:rPr>
        <w:t>Radio regulations that apply to the 60 GHz band in China allow radio local area networks (RLANs)</w:t>
      </w:r>
      <w:r>
        <w:rPr>
          <w:sz w:val="24"/>
          <w:szCs w:val="24"/>
        </w:rPr>
        <w:t xml:space="preserve"> </w:t>
      </w:r>
      <w:r w:rsidRPr="00FB2B71">
        <w:rPr>
          <w:sz w:val="24"/>
          <w:szCs w:val="24"/>
        </w:rPr>
        <w:t>operating in the 60 GHz band</w:t>
      </w:r>
      <w:r>
        <w:rPr>
          <w:sz w:val="24"/>
          <w:szCs w:val="24"/>
        </w:rPr>
        <w:t xml:space="preserve"> </w:t>
      </w:r>
      <w:r w:rsidRPr="00CA1288">
        <w:rPr>
          <w:sz w:val="24"/>
          <w:szCs w:val="24"/>
          <w:highlight w:val="yellow"/>
        </w:rPr>
        <w:t>as defined in Table E-6 (Operating classes in China)</w:t>
      </w:r>
      <w:r>
        <w:rPr>
          <w:sz w:val="24"/>
          <w:szCs w:val="24"/>
        </w:rPr>
        <w:t xml:space="preserve"> </w:t>
      </w:r>
      <w:r w:rsidRPr="00FB2B71">
        <w:rPr>
          <w:sz w:val="24"/>
          <w:szCs w:val="24"/>
        </w:rPr>
        <w:t>to operate on a</w:t>
      </w:r>
      <w:r w:rsidR="005E3C70">
        <w:rPr>
          <w:sz w:val="24"/>
          <w:szCs w:val="24"/>
        </w:rPr>
        <w:t xml:space="preserve"> 1.08 GHz or a 2.16 GHz channel</w:t>
      </w:r>
      <w:r w:rsidR="005E3C70" w:rsidRPr="00FB2B71">
        <w:rPr>
          <w:sz w:val="24"/>
          <w:szCs w:val="24"/>
        </w:rPr>
        <w:t>,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which requires a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mechanism to coordinate the allocation of operating channel between two CDMG infrastructure BSSs or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 xml:space="preserve">CDMG PBSSs. This </w:t>
      </w:r>
      <w:proofErr w:type="spellStart"/>
      <w:r w:rsidR="005E3C70" w:rsidRPr="005E3C70">
        <w:rPr>
          <w:sz w:val="24"/>
          <w:szCs w:val="24"/>
        </w:rPr>
        <w:t>subclause</w:t>
      </w:r>
      <w:proofErr w:type="spellEnd"/>
      <w:r w:rsidR="005E3C70" w:rsidRPr="005E3C70">
        <w:rPr>
          <w:sz w:val="24"/>
          <w:szCs w:val="24"/>
        </w:rPr>
        <w:t xml:space="preserve"> describes such a mechanism, referred to as dynamic channel selection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(DCS). This mechanism is used to improve the flexibility and channel efficiency when RLANs operate in</w:t>
      </w:r>
      <w:r w:rsidR="005E3C70">
        <w:rPr>
          <w:sz w:val="24"/>
          <w:szCs w:val="24"/>
        </w:rPr>
        <w:t xml:space="preserve"> </w:t>
      </w:r>
      <w:r w:rsidR="00CA1288">
        <w:rPr>
          <w:sz w:val="24"/>
          <w:szCs w:val="24"/>
        </w:rPr>
        <w:t xml:space="preserve">the </w:t>
      </w:r>
      <w:r w:rsidR="00CA1288" w:rsidRPr="00CA1288">
        <w:rPr>
          <w:sz w:val="24"/>
          <w:szCs w:val="24"/>
          <w:highlight w:val="yellow"/>
        </w:rPr>
        <w:t>aforementioned</w:t>
      </w:r>
      <w:r w:rsidR="005E3C70" w:rsidRPr="005E3C70">
        <w:rPr>
          <w:sz w:val="24"/>
          <w:szCs w:val="24"/>
        </w:rPr>
        <w:t xml:space="preserve"> frequency band, in case that there is no available channel or the bandwidth (e.g., 1.08 GHz)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 xml:space="preserve">of idle channel(s) cannot satisfy the operating requirements of RLANs. This </w:t>
      </w:r>
      <w:proofErr w:type="spellStart"/>
      <w:r w:rsidR="005E3C70" w:rsidRPr="005E3C70">
        <w:rPr>
          <w:sz w:val="24"/>
          <w:szCs w:val="24"/>
        </w:rPr>
        <w:t>subclause</w:t>
      </w:r>
      <w:proofErr w:type="spellEnd"/>
      <w:r w:rsidR="005E3C70" w:rsidRPr="005E3C70">
        <w:rPr>
          <w:sz w:val="24"/>
          <w:szCs w:val="24"/>
        </w:rPr>
        <w:t xml:space="preserve"> describes the DCS</w:t>
      </w:r>
      <w:r w:rsidR="005E3C70">
        <w:rPr>
          <w:sz w:val="24"/>
          <w:szCs w:val="24"/>
        </w:rPr>
        <w:t xml:space="preserve"> </w:t>
      </w:r>
      <w:r w:rsidR="005E3C70" w:rsidRPr="005E3C70">
        <w:rPr>
          <w:sz w:val="24"/>
          <w:szCs w:val="24"/>
        </w:rPr>
        <w:t>procedures that can be used to satisfy CDMG regulatory requirements.</w:t>
      </w:r>
      <w:r w:rsidR="005E3C70">
        <w:rPr>
          <w:sz w:val="24"/>
          <w:szCs w:val="24"/>
        </w:rPr>
        <w:t>”</w:t>
      </w:r>
    </w:p>
    <w:p w:rsidR="00FB2B71" w:rsidRDefault="00FB2B71" w:rsidP="00FB2B71">
      <w:pPr>
        <w:spacing w:after="240"/>
        <w:jc w:val="both"/>
        <w:rPr>
          <w:sz w:val="24"/>
          <w:szCs w:val="24"/>
        </w:rPr>
      </w:pPr>
    </w:p>
    <w:sectPr w:rsidR="00FB2B71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B3" w:rsidRDefault="000C0DB3">
      <w:r>
        <w:separator/>
      </w:r>
    </w:p>
  </w:endnote>
  <w:endnote w:type="continuationSeparator" w:id="0">
    <w:p w:rsidR="000C0DB3" w:rsidRDefault="000C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C0DB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F930DA">
      <w:rPr>
        <w:noProof/>
      </w:rPr>
      <w:t>4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B3" w:rsidRDefault="000C0DB3">
      <w:r>
        <w:separator/>
      </w:r>
    </w:p>
  </w:footnote>
  <w:footnote w:type="continuationSeparator" w:id="0">
    <w:p w:rsidR="000C0DB3" w:rsidRDefault="000C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r w:rsidR="000C0DB3">
      <w:fldChar w:fldCharType="begin"/>
    </w:r>
    <w:r w:rsidR="000C0DB3">
      <w:instrText xml:space="preserve"> TITLE  \* MERGEFORMAT </w:instrText>
    </w:r>
    <w:r w:rsidR="000C0DB3">
      <w:fldChar w:fldCharType="separate"/>
    </w:r>
    <w:r w:rsidR="00406423">
      <w:t>doc.: IEEE 802.11-19/14</w:t>
    </w:r>
    <w:r w:rsidR="001206E1">
      <w:t>52</w:t>
    </w:r>
    <w:r w:rsidR="00B45D6F">
      <w:t>r</w:t>
    </w:r>
    <w:r w:rsidR="001206E1">
      <w:t>0</w:t>
    </w:r>
    <w:r w:rsidR="000C0DB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164D-C15B-4092-AD2A-B319CBC0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19/1443r1</vt:lpstr>
    </vt:vector>
  </TitlesOfParts>
  <Company>Huawei Technologies</Company>
  <LinksUpToDate>false</LinksUpToDate>
  <CharactersWithSpaces>3985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19/1452r0</dc:title>
  <dc:subject>Comment Resolution for CID1014</dc:subject>
  <dc:creator>Edward Au</dc:creator>
  <cp:keywords>Submission</cp:keywords>
  <dc:description>Resolution for CID 2052</dc:description>
  <cp:lastModifiedBy>Edward Au</cp:lastModifiedBy>
  <cp:revision>323</cp:revision>
  <cp:lastPrinted>2011-03-31T18:31:00Z</cp:lastPrinted>
  <dcterms:created xsi:type="dcterms:W3CDTF">2017-12-15T16:00:00Z</dcterms:created>
  <dcterms:modified xsi:type="dcterms:W3CDTF">2019-08-21T17:43:00Z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