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2C09DA" w:rsidRDefault="002C09DA" w:rsidP="00B97AB0">
            <w:pPr>
              <w:pStyle w:val="T2"/>
              <w:spacing w:after="120"/>
            </w:pPr>
            <w:r w:rsidRPr="002C09DA">
              <w:t xml:space="preserve">Proposed changes re IEEE-SA MEC comment related to </w:t>
            </w:r>
          </w:p>
          <w:p w:rsidR="00CA09B2" w:rsidRDefault="002C09DA" w:rsidP="00B97AB0">
            <w:pPr>
              <w:pStyle w:val="T2"/>
              <w:spacing w:after="120"/>
            </w:pPr>
            <w:r w:rsidRPr="002C09DA">
              <w:t>Draft 2.1 of IEEE P802.11REVmd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26CE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F27B2">
              <w:rPr>
                <w:b w:val="0"/>
                <w:sz w:val="24"/>
                <w:szCs w:val="24"/>
              </w:rPr>
              <w:t>09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F27B2">
              <w:rPr>
                <w:b w:val="0"/>
                <w:sz w:val="24"/>
                <w:szCs w:val="24"/>
              </w:rPr>
              <w:t>03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9289C" w:rsidP="00B14B6A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DB0C9D" w:rsidRPr="00727B6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DB0C9D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B14B6A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</w:t>
      </w:r>
      <w:r w:rsidR="00B14B6A">
        <w:rPr>
          <w:rFonts w:ascii="Times New Roman" w:hAnsi="Times New Roman"/>
          <w:b w:val="0"/>
          <w:i w:val="0"/>
          <w:sz w:val="24"/>
          <w:szCs w:val="24"/>
        </w:rPr>
        <w:t xml:space="preserve"> changes re </w:t>
      </w:r>
      <w:r w:rsidR="00B14B6A" w:rsidRPr="00B14B6A">
        <w:rPr>
          <w:rFonts w:ascii="Times New Roman" w:hAnsi="Times New Roman"/>
          <w:b w:val="0"/>
          <w:i w:val="0"/>
          <w:sz w:val="24"/>
          <w:szCs w:val="24"/>
        </w:rPr>
        <w:t>IEEE-SA MEC comment related to Draft 2.1 of IEEE P802.11REVmd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REVmd/D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726CE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8F67F8" w:rsidRDefault="008F67F8" w:rsidP="008F67F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updated based on the feedback received during the </w:t>
      </w:r>
      <w:r w:rsidR="009700E0">
        <w:rPr>
          <w:rFonts w:ascii="Times New Roman" w:hAnsi="Times New Roman"/>
          <w:b w:val="0"/>
          <w:i w:val="0"/>
          <w:sz w:val="24"/>
          <w:szCs w:val="24"/>
        </w:rPr>
        <w:t>Toronto</w:t>
      </w:r>
      <w:bookmarkStart w:id="0" w:name="_GoBack"/>
      <w:bookmarkEnd w:id="0"/>
      <w:r>
        <w:rPr>
          <w:rFonts w:ascii="Times New Roman" w:hAnsi="Times New Roman"/>
          <w:b w:val="0"/>
          <w:i w:val="0"/>
          <w:sz w:val="24"/>
          <w:szCs w:val="24"/>
        </w:rPr>
        <w:t xml:space="preserve"> ad-hoc</w:t>
      </w:r>
    </w:p>
    <w:p w:rsidR="003F27B2" w:rsidRDefault="003F27B2" w:rsidP="003F27B2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 w:rsidR="009700E0">
        <w:rPr>
          <w:rFonts w:ascii="Times New Roman" w:hAnsi="Times New Roman"/>
          <w:b w:val="0"/>
          <w:i w:val="0"/>
          <w:sz w:val="24"/>
          <w:szCs w:val="24"/>
        </w:rPr>
        <w:t>add the outcome of the discussion in the Toronto ad-hoc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E90340" w:rsidRDefault="00E90340" w:rsidP="007F2FDA">
      <w:pPr>
        <w:rPr>
          <w:sz w:val="24"/>
          <w:szCs w:val="24"/>
        </w:rPr>
      </w:pPr>
    </w:p>
    <w:p w:rsidR="0013370B" w:rsidRPr="0013370B" w:rsidRDefault="0013370B" w:rsidP="0013370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Problem Statement:</w:t>
      </w:r>
    </w:p>
    <w:p w:rsidR="007F2FDA" w:rsidRPr="0013370B" w:rsidRDefault="00E90340" w:rsidP="0013370B">
      <w:pPr>
        <w:jc w:val="both"/>
        <w:rPr>
          <w:b/>
          <w:sz w:val="24"/>
          <w:szCs w:val="24"/>
        </w:rPr>
      </w:pPr>
      <w:r w:rsidRPr="0013370B">
        <w:rPr>
          <w:b/>
          <w:sz w:val="24"/>
          <w:szCs w:val="24"/>
        </w:rPr>
        <w:t>As referred to the IEEE 802.11md MDR report (19/0260r15), IEEE-SA MEC has the following major concern:</w:t>
      </w:r>
    </w:p>
    <w:p w:rsidR="00E90340" w:rsidRPr="00E90340" w:rsidRDefault="00E90340" w:rsidP="007F2FDA">
      <w:pPr>
        <w:rPr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My biggest concern with this draft is that informative text seems to be combined with th</w:t>
      </w:r>
      <w:r>
        <w:rPr>
          <w:i/>
          <w:sz w:val="24"/>
          <w:szCs w:val="24"/>
        </w:rPr>
        <w:t xml:space="preserve">e normative parts of the </w:t>
      </w:r>
      <w:r w:rsidRPr="00E90340">
        <w:rPr>
          <w:i/>
          <w:sz w:val="24"/>
          <w:szCs w:val="24"/>
        </w:rPr>
        <w:t xml:space="preserve">standard. </w:t>
      </w:r>
      <w:r>
        <w:rPr>
          <w:i/>
          <w:sz w:val="24"/>
          <w:szCs w:val="24"/>
        </w:rPr>
        <w:t xml:space="preserve"> 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The IEEE-SA Standards Board Operations Manual defines which parts of a standard are normative and which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>parts of a standard are informative.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Normative text is information that is required to implement the standard and is therefore officially part of the standard.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Informative text is provided for information only and is therefore not officially part of the standard.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Normative text (information required to implement the standard) includes the following:</w:t>
      </w:r>
    </w:p>
    <w:p w:rsidR="00E90340" w:rsidRDefault="00E90340" w:rsidP="0013370B">
      <w:pPr>
        <w:pStyle w:val="ListParagraph"/>
        <w:numPr>
          <w:ilvl w:val="0"/>
          <w:numId w:val="49"/>
        </w:numPr>
        <w:jc w:val="both"/>
        <w:rPr>
          <w:i/>
        </w:rPr>
      </w:pPr>
      <w:r w:rsidRPr="00E90340">
        <w:rPr>
          <w:i/>
        </w:rPr>
        <w:t>The main clauses of the documents including figures, tables, and equations</w:t>
      </w:r>
    </w:p>
    <w:p w:rsidR="00E90340" w:rsidRPr="00E90340" w:rsidRDefault="00E90340" w:rsidP="0013370B">
      <w:pPr>
        <w:pStyle w:val="ListParagraph"/>
        <w:numPr>
          <w:ilvl w:val="0"/>
          <w:numId w:val="49"/>
        </w:numPr>
        <w:jc w:val="both"/>
        <w:rPr>
          <w:i/>
        </w:rPr>
      </w:pPr>
      <w:r w:rsidRPr="00E90340">
        <w:rPr>
          <w:i/>
        </w:rPr>
        <w:t>Footnotes to tables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 xml:space="preserve">Interspersed normative and informative text is not allowed. 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>As such, neither clauses nor subclauses shall be labeled as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>informative.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You have instances where figures are labeled as informative, which is not permitted,</w:t>
      </w:r>
      <w:r>
        <w:rPr>
          <w:i/>
          <w:sz w:val="24"/>
          <w:szCs w:val="24"/>
        </w:rPr>
        <w:t xml:space="preserve"> such as Figure 12-8 and Figure </w:t>
      </w:r>
      <w:r w:rsidRPr="00E90340">
        <w:rPr>
          <w:i/>
          <w:sz w:val="24"/>
          <w:szCs w:val="24"/>
        </w:rPr>
        <w:t>12-21.</w:t>
      </w:r>
    </w:p>
    <w:p w:rsidR="00435999" w:rsidRDefault="00435999" w:rsidP="0013370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[Note from Co-Editor:  It should be Figure 12-31, not Figure 12-21]</w:t>
      </w:r>
    </w:p>
    <w:p w:rsidR="00C2554F" w:rsidRDefault="00C2554F" w:rsidP="0013370B">
      <w:pPr>
        <w:jc w:val="both"/>
        <w:rPr>
          <w:i/>
          <w:sz w:val="24"/>
          <w:szCs w:val="24"/>
        </w:rPr>
      </w:pPr>
    </w:p>
    <w:p w:rsidR="00C2554F" w:rsidRDefault="00C2554F" w:rsidP="0013370B">
      <w:pPr>
        <w:jc w:val="both"/>
        <w:rPr>
          <w:i/>
          <w:sz w:val="24"/>
          <w:szCs w:val="24"/>
        </w:rPr>
      </w:pPr>
      <w:r w:rsidRPr="00C2554F">
        <w:rPr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5463540" cy="212356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534" cy="212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99" w:rsidRDefault="00435999" w:rsidP="0013370B">
      <w:pPr>
        <w:jc w:val="both"/>
        <w:rPr>
          <w:i/>
          <w:sz w:val="24"/>
          <w:szCs w:val="24"/>
        </w:rPr>
      </w:pPr>
      <w:r w:rsidRPr="00435999">
        <w:rPr>
          <w:i/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6073140" cy="4350366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913" cy="435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4F" w:rsidRDefault="00C2554F" w:rsidP="0013370B">
      <w:pPr>
        <w:jc w:val="both"/>
        <w:rPr>
          <w:i/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You also specifically call out figures as informative in text, such as the following sentence: “The informative diagrams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 xml:space="preserve">within this subclause further illustrate the protocol layer model adopted.” </w:t>
      </w:r>
    </w:p>
    <w:p w:rsidR="00F75DAD" w:rsidRDefault="00F75DAD" w:rsidP="0013370B">
      <w:pPr>
        <w:jc w:val="both"/>
        <w:rPr>
          <w:i/>
          <w:sz w:val="24"/>
          <w:szCs w:val="24"/>
        </w:rPr>
      </w:pPr>
    </w:p>
    <w:p w:rsidR="00F75DAD" w:rsidRDefault="00F75DAD" w:rsidP="0013370B">
      <w:pPr>
        <w:jc w:val="both"/>
        <w:rPr>
          <w:i/>
          <w:sz w:val="24"/>
          <w:szCs w:val="24"/>
        </w:rPr>
      </w:pPr>
      <w:r w:rsidRPr="00F75DAD">
        <w:rPr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6393180" cy="20955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And in 1.4, the draft reads as follows: “Where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>normative text references a figure or subclause using “illustrated in”, the referenced figure or subclause is informative.”</w:t>
      </w:r>
    </w:p>
    <w:p w:rsidR="00F75DAD" w:rsidRDefault="00F75DAD" w:rsidP="0013370B">
      <w:pPr>
        <w:jc w:val="both"/>
        <w:rPr>
          <w:i/>
          <w:sz w:val="24"/>
          <w:szCs w:val="24"/>
        </w:rPr>
      </w:pPr>
    </w:p>
    <w:p w:rsidR="00F75DAD" w:rsidRPr="00E90340" w:rsidRDefault="00F75DAD" w:rsidP="0013370B">
      <w:pPr>
        <w:jc w:val="both"/>
        <w:rPr>
          <w:i/>
          <w:sz w:val="24"/>
          <w:szCs w:val="24"/>
        </w:rPr>
      </w:pPr>
      <w:r w:rsidRPr="00F75DAD">
        <w:rPr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6210300" cy="594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lastRenderedPageBreak/>
        <w:t xml:space="preserve">This seems to go against the Operations Manual. I would suggest removing the “informative” labels from the figures. </w:t>
      </w:r>
    </w:p>
    <w:p w:rsidR="00841363" w:rsidRDefault="00841363" w:rsidP="0013370B">
      <w:pPr>
        <w:jc w:val="both"/>
        <w:rPr>
          <w:i/>
          <w:sz w:val="24"/>
          <w:szCs w:val="24"/>
        </w:rPr>
      </w:pPr>
    </w:p>
    <w:p w:rsidR="00841363" w:rsidRPr="00924A6E" w:rsidRDefault="00841363" w:rsidP="00841363">
      <w:pPr>
        <w:spacing w:after="240"/>
        <w:jc w:val="both"/>
        <w:rPr>
          <w:i/>
          <w:sz w:val="24"/>
          <w:szCs w:val="24"/>
        </w:rPr>
      </w:pPr>
      <w:r w:rsidRPr="00924A6E">
        <w:rPr>
          <w:i/>
          <w:sz w:val="24"/>
          <w:szCs w:val="24"/>
        </w:rPr>
        <w:t>[Note from co-Editor:  Clauses 6.4.1, 6.4.3, 6.4.4 and 6.4.5 of IEEE-SA Standards Board Operations Manual (version January 2019, approved by the IEEE-SA Standards Board)]</w:t>
      </w:r>
    </w:p>
    <w:p w:rsidR="00E90340" w:rsidRDefault="00924A6E" w:rsidP="0013370B">
      <w:pPr>
        <w:jc w:val="both"/>
        <w:rPr>
          <w:i/>
          <w:sz w:val="24"/>
          <w:szCs w:val="24"/>
        </w:rPr>
      </w:pPr>
      <w:r w:rsidRPr="00D26B9E">
        <w:rPr>
          <w:noProof/>
          <w:sz w:val="24"/>
          <w:szCs w:val="24"/>
          <w:lang w:val="en-US" w:eastAsia="zh-CN"/>
        </w:rPr>
        <w:drawing>
          <wp:inline distT="0" distB="0" distL="0" distR="0" wp14:anchorId="6B4634A6" wp14:editId="7F5EC4CE">
            <wp:extent cx="6400800" cy="3989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A6E" w:rsidRDefault="00924A6E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>also would consider removing the “informative” distinction from the text, i.e., “the informative diagrams within this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>subclause…” becomes “the diagrams within this subclause.”</w:t>
      </w:r>
    </w:p>
    <w:p w:rsidR="00F673BC" w:rsidRDefault="00F673BC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br w:type="page"/>
      </w:r>
    </w:p>
    <w:p w:rsidR="00B9614A" w:rsidRDefault="00B9614A" w:rsidP="0013370B">
      <w:pPr>
        <w:jc w:val="both"/>
        <w:rPr>
          <w:i/>
          <w:sz w:val="24"/>
          <w:szCs w:val="24"/>
        </w:rPr>
      </w:pPr>
    </w:p>
    <w:p w:rsidR="00B9614A" w:rsidRPr="00B9614A" w:rsidRDefault="00B9614A" w:rsidP="00B9614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B9614A" w:rsidRDefault="00B9614A" w:rsidP="0013370B">
      <w:pPr>
        <w:jc w:val="both"/>
        <w:rPr>
          <w:sz w:val="24"/>
          <w:szCs w:val="24"/>
        </w:rPr>
      </w:pPr>
      <w:r w:rsidRPr="00B9614A">
        <w:rPr>
          <w:sz w:val="24"/>
          <w:szCs w:val="24"/>
        </w:rPr>
        <w:t>In D2.3, there are 153 appearances of “illustrat*”.</w:t>
      </w:r>
      <w:r w:rsidR="000D382F">
        <w:rPr>
          <w:sz w:val="24"/>
          <w:szCs w:val="24"/>
        </w:rPr>
        <w:t xml:space="preserve">  Some of the figures using “illustrated in” are actually</w:t>
      </w:r>
      <w:r w:rsidR="0074206D">
        <w:rPr>
          <w:sz w:val="24"/>
          <w:szCs w:val="24"/>
        </w:rPr>
        <w:t xml:space="preserve"> normative information, i.e., neither</w:t>
      </w:r>
      <w:r w:rsidR="000D382F">
        <w:rPr>
          <w:sz w:val="24"/>
          <w:szCs w:val="24"/>
        </w:rPr>
        <w:t xml:space="preserve"> examples nor informative information. </w:t>
      </w:r>
    </w:p>
    <w:p w:rsidR="005464DE" w:rsidRDefault="005464DE" w:rsidP="0013370B">
      <w:pPr>
        <w:jc w:val="both"/>
        <w:rPr>
          <w:sz w:val="24"/>
          <w:szCs w:val="24"/>
        </w:rPr>
      </w:pPr>
    </w:p>
    <w:p w:rsidR="005464DE" w:rsidRDefault="005464DE" w:rsidP="0013370B">
      <w:pPr>
        <w:jc w:val="both"/>
        <w:rPr>
          <w:sz w:val="24"/>
          <w:szCs w:val="24"/>
        </w:rPr>
      </w:pPr>
      <w:r>
        <w:rPr>
          <w:sz w:val="24"/>
          <w:szCs w:val="24"/>
        </w:rPr>
        <w:t>In D2.3, there are 83 apperances of “informative”.</w:t>
      </w:r>
    </w:p>
    <w:p w:rsidR="003F27B2" w:rsidRDefault="003F27B2" w:rsidP="0013370B">
      <w:pPr>
        <w:jc w:val="both"/>
        <w:rPr>
          <w:sz w:val="24"/>
          <w:szCs w:val="24"/>
        </w:rPr>
      </w:pPr>
    </w:p>
    <w:p w:rsidR="003F27B2" w:rsidRPr="00B9614A" w:rsidRDefault="003F27B2" w:rsidP="00133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Based on the discussion in the Toronto ad-hoc in August 2019, the proposed resolution includes </w:t>
      </w:r>
      <w:r w:rsidR="003D6C14">
        <w:rPr>
          <w:sz w:val="24"/>
          <w:szCs w:val="24"/>
        </w:rPr>
        <w:t xml:space="preserve">(1) </w:t>
      </w:r>
      <w:r>
        <w:rPr>
          <w:sz w:val="24"/>
          <w:szCs w:val="24"/>
        </w:rPr>
        <w:t>the removal of the sentence in Clause 1.4 about the informative description by using the term “illustrated in”</w:t>
      </w:r>
      <w:r w:rsidR="003D6C14">
        <w:rPr>
          <w:sz w:val="24"/>
          <w:szCs w:val="24"/>
        </w:rPr>
        <w:t xml:space="preserve">; (2) </w:t>
      </w:r>
      <w:r>
        <w:rPr>
          <w:sz w:val="24"/>
          <w:szCs w:val="24"/>
        </w:rPr>
        <w:t>the replacement of “illustrate”</w:t>
      </w:r>
      <w:r w:rsidR="003D6C14">
        <w:rPr>
          <w:sz w:val="24"/>
          <w:szCs w:val="24"/>
        </w:rPr>
        <w:t xml:space="preserve"> with other appropriate terms; and (3) the removal of the term “informative” in normative texts.</w:t>
      </w:r>
    </w:p>
    <w:p w:rsidR="00974AAF" w:rsidRDefault="00974AAF" w:rsidP="000F0EF3">
      <w:pPr>
        <w:spacing w:after="240"/>
        <w:jc w:val="both"/>
        <w:rPr>
          <w:b/>
          <w:i/>
          <w:sz w:val="24"/>
          <w:szCs w:val="24"/>
        </w:rPr>
      </w:pPr>
    </w:p>
    <w:p w:rsidR="009B4C26" w:rsidRDefault="00974AAF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F63F72" w:rsidRDefault="008F67F8" w:rsidP="00F63F72">
      <w:pPr>
        <w:spacing w:after="240"/>
        <w:jc w:val="both"/>
        <w:rPr>
          <w:sz w:val="24"/>
          <w:szCs w:val="24"/>
        </w:rPr>
      </w:pPr>
      <w:r w:rsidRPr="008F67F8">
        <w:rPr>
          <w:sz w:val="24"/>
          <w:szCs w:val="24"/>
        </w:rPr>
        <w:t>Delete the following sentences a</w:t>
      </w:r>
      <w:r w:rsidR="00BE513E" w:rsidRPr="008F67F8">
        <w:rPr>
          <w:sz w:val="24"/>
          <w:szCs w:val="24"/>
        </w:rPr>
        <w:t>t</w:t>
      </w:r>
      <w:r w:rsidR="00F63F72" w:rsidRPr="008F67F8">
        <w:rPr>
          <w:sz w:val="24"/>
          <w:szCs w:val="24"/>
        </w:rPr>
        <w:t xml:space="preserve"> 150.40,</w:t>
      </w:r>
      <w:r w:rsidR="00F63F72">
        <w:rPr>
          <w:sz w:val="24"/>
          <w:szCs w:val="24"/>
        </w:rPr>
        <w:t xml:space="preserve"> </w:t>
      </w:r>
    </w:p>
    <w:p w:rsidR="00953535" w:rsidRDefault="00F63F72" w:rsidP="008F67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0969">
        <w:rPr>
          <w:sz w:val="24"/>
          <w:szCs w:val="24"/>
          <w:highlight w:val="yellow"/>
        </w:rPr>
        <w:t xml:space="preserve">“Where normative text references a figure, table or equation using “shown in” or “defined in”, the referenced figure, table or equation is normative, unless the word “example” is used. Where normative text references a figure or subclause using “illustrated in”, the referenced figure or subclause is </w:t>
      </w:r>
      <w:r w:rsidR="008F67F8" w:rsidRPr="00030969">
        <w:rPr>
          <w:sz w:val="24"/>
          <w:szCs w:val="24"/>
          <w:highlight w:val="yellow"/>
        </w:rPr>
        <w:t>informative.”</w:t>
      </w:r>
      <w:r w:rsidR="008F67F8">
        <w:rPr>
          <w:sz w:val="24"/>
          <w:szCs w:val="24"/>
        </w:rPr>
        <w:t>.</w:t>
      </w:r>
    </w:p>
    <w:p w:rsidR="00B9614A" w:rsidRDefault="00B9614A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BE513E" w:rsidRDefault="0022209D" w:rsidP="00BE513E">
      <w:pPr>
        <w:spacing w:after="240"/>
        <w:jc w:val="both"/>
        <w:rPr>
          <w:sz w:val="24"/>
          <w:szCs w:val="24"/>
        </w:rPr>
      </w:pPr>
      <w:r w:rsidRPr="008F67F8">
        <w:rPr>
          <w:sz w:val="24"/>
          <w:szCs w:val="24"/>
        </w:rPr>
        <w:t>At 1307.44,</w:t>
      </w:r>
    </w:p>
    <w:p w:rsidR="003A49E3" w:rsidRDefault="003A49E3" w:rsidP="003A49E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882650">
        <w:rPr>
          <w:sz w:val="24"/>
          <w:szCs w:val="24"/>
        </w:rPr>
        <w:t>eplace “</w:t>
      </w:r>
      <w:r w:rsidRPr="003A49E3">
        <w:rPr>
          <w:sz w:val="24"/>
          <w:szCs w:val="24"/>
        </w:rPr>
        <w:t>The Constraint subfield is defined as illustrated in Figure 9-569 (Constraint subfield format for CMMG</w:t>
      </w:r>
      <w:r>
        <w:rPr>
          <w:sz w:val="24"/>
          <w:szCs w:val="24"/>
        </w:rPr>
        <w:t xml:space="preserve"> STAs) for CMMG STAs.”</w:t>
      </w:r>
    </w:p>
    <w:p w:rsidR="003A49E3" w:rsidRDefault="003A49E3" w:rsidP="003A49E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3A49E3">
        <w:rPr>
          <w:sz w:val="24"/>
          <w:szCs w:val="24"/>
        </w:rPr>
        <w:t xml:space="preserve">The Constraint subfield is defined </w:t>
      </w:r>
      <w:r w:rsidRPr="00336609">
        <w:rPr>
          <w:strike/>
          <w:sz w:val="24"/>
          <w:szCs w:val="24"/>
          <w:highlight w:val="yellow"/>
        </w:rPr>
        <w:t>as</w:t>
      </w:r>
      <w:r w:rsidR="008445F8" w:rsidRPr="00336609">
        <w:rPr>
          <w:strike/>
          <w:sz w:val="24"/>
          <w:szCs w:val="24"/>
          <w:highlight w:val="yellow"/>
        </w:rPr>
        <w:t xml:space="preserve"> </w:t>
      </w:r>
      <w:r w:rsidR="00336609" w:rsidRPr="00336609">
        <w:rPr>
          <w:strike/>
          <w:sz w:val="24"/>
          <w:szCs w:val="24"/>
          <w:highlight w:val="yellow"/>
        </w:rPr>
        <w:t>illustrated</w:t>
      </w:r>
      <w:r w:rsidRPr="003A49E3">
        <w:rPr>
          <w:sz w:val="24"/>
          <w:szCs w:val="24"/>
        </w:rPr>
        <w:t xml:space="preserve"> in Figure 9-569 (Constraint subfield format for CMMG</w:t>
      </w:r>
      <w:r>
        <w:rPr>
          <w:sz w:val="24"/>
          <w:szCs w:val="24"/>
        </w:rPr>
        <w:t xml:space="preserve"> STAs) for CMMG STAs.”</w:t>
      </w:r>
    </w:p>
    <w:p w:rsidR="008445F8" w:rsidRDefault="008445F8" w:rsidP="008445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2209D" w:rsidRDefault="007A04E6" w:rsidP="00BE513E">
      <w:pPr>
        <w:spacing w:after="240"/>
        <w:jc w:val="both"/>
        <w:rPr>
          <w:sz w:val="24"/>
          <w:szCs w:val="24"/>
        </w:rPr>
      </w:pPr>
      <w:r w:rsidRPr="008F67F8">
        <w:rPr>
          <w:sz w:val="24"/>
          <w:szCs w:val="24"/>
        </w:rPr>
        <w:t>At 1425.29,</w:t>
      </w:r>
    </w:p>
    <w:p w:rsidR="007A04E6" w:rsidRDefault="00875F51" w:rsidP="00875F5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875F51">
        <w:rPr>
          <w:sz w:val="24"/>
          <w:szCs w:val="24"/>
        </w:rPr>
        <w:t>The CDMG AP or PCP Capability Information field, illustrated in Figure 9-729 (CDMG AP or PCP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Capability Information field format(11aj)), represents the capabilities, when the transmitting CDMG STA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performs in the role of AP or PCP, that are in addition to the capabilities in the CDMG STA Capability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Information field.</w:t>
      </w:r>
      <w:r>
        <w:rPr>
          <w:sz w:val="24"/>
          <w:szCs w:val="24"/>
        </w:rPr>
        <w:t>”</w:t>
      </w:r>
    </w:p>
    <w:p w:rsidR="00875F51" w:rsidRDefault="00875F51" w:rsidP="00875F5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 “</w:t>
      </w:r>
      <w:r w:rsidRPr="00875F51">
        <w:rPr>
          <w:sz w:val="24"/>
          <w:szCs w:val="24"/>
        </w:rPr>
        <w:t xml:space="preserve">The CDMG AP or PCP Capability Information field, </w:t>
      </w:r>
      <w:r w:rsidR="00671C44" w:rsidRPr="00030969">
        <w:rPr>
          <w:sz w:val="24"/>
          <w:szCs w:val="24"/>
          <w:highlight w:val="cyan"/>
        </w:rPr>
        <w:t>defined</w:t>
      </w:r>
      <w:r w:rsidRPr="00875F51">
        <w:rPr>
          <w:sz w:val="24"/>
          <w:szCs w:val="24"/>
        </w:rPr>
        <w:t xml:space="preserve"> in Figure 9-729 (CDMG AP or PCP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Capability Information field format(11aj)), represents the capabilities, when the transmitting CDMG STA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performs in the role of AP or PCP, that are in addition to the capabilities in the CDMG STA Capability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Information field.</w:t>
      </w:r>
      <w:r>
        <w:rPr>
          <w:sz w:val="24"/>
          <w:szCs w:val="24"/>
        </w:rPr>
        <w:t>”</w:t>
      </w:r>
    </w:p>
    <w:p w:rsidR="0002058F" w:rsidRDefault="0002058F" w:rsidP="0002058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D6C14" w:rsidRDefault="003D6C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2209D" w:rsidRDefault="008F0996" w:rsidP="00BE513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1427.51,</w:t>
      </w:r>
    </w:p>
    <w:p w:rsidR="008F0996" w:rsidRDefault="008F0996" w:rsidP="00BE513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8F0996">
        <w:rPr>
          <w:sz w:val="24"/>
          <w:szCs w:val="24"/>
        </w:rPr>
        <w:t xml:space="preserve">The Allocation field is formatted as illustrated in Figure 9-733 </w:t>
      </w:r>
      <w:r>
        <w:rPr>
          <w:sz w:val="24"/>
          <w:szCs w:val="24"/>
        </w:rPr>
        <w:t>(Allocation field format(11aj)).”</w:t>
      </w:r>
    </w:p>
    <w:p w:rsidR="008F0996" w:rsidRDefault="008F0996" w:rsidP="00BE513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8F0996">
        <w:rPr>
          <w:sz w:val="24"/>
          <w:szCs w:val="24"/>
        </w:rPr>
        <w:t xml:space="preserve">The Allocation field is </w:t>
      </w:r>
      <w:r w:rsidRPr="008F67F8">
        <w:rPr>
          <w:strike/>
          <w:sz w:val="24"/>
          <w:szCs w:val="24"/>
          <w:highlight w:val="yellow"/>
        </w:rPr>
        <w:t>formatted a</w:t>
      </w:r>
      <w:r w:rsidRPr="00C041CE">
        <w:rPr>
          <w:strike/>
          <w:sz w:val="24"/>
          <w:szCs w:val="24"/>
          <w:highlight w:val="yellow"/>
        </w:rPr>
        <w:t>s</w:t>
      </w:r>
      <w:r w:rsidRPr="008F67F8">
        <w:rPr>
          <w:strike/>
          <w:sz w:val="24"/>
          <w:szCs w:val="24"/>
        </w:rPr>
        <w:t xml:space="preserve"> </w:t>
      </w:r>
      <w:r w:rsidR="008F67F8" w:rsidRPr="00030969">
        <w:rPr>
          <w:sz w:val="24"/>
          <w:szCs w:val="24"/>
          <w:highlight w:val="cyan"/>
        </w:rPr>
        <w:t>defined</w:t>
      </w:r>
      <w:r w:rsidRPr="008F0996">
        <w:rPr>
          <w:sz w:val="24"/>
          <w:szCs w:val="24"/>
        </w:rPr>
        <w:t xml:space="preserve"> in Figure 9-733 </w:t>
      </w:r>
      <w:r>
        <w:rPr>
          <w:sz w:val="24"/>
          <w:szCs w:val="24"/>
        </w:rPr>
        <w:t>(Allocation field format(11aj)).”</w:t>
      </w:r>
    </w:p>
    <w:p w:rsidR="0084696B" w:rsidRDefault="008F0996" w:rsidP="008F09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84696B" w:rsidRDefault="0084696B" w:rsidP="008F09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1429.22,</w:t>
      </w:r>
    </w:p>
    <w:p w:rsidR="00F63F72" w:rsidRDefault="0084696B" w:rsidP="0084696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84696B">
        <w:rPr>
          <w:sz w:val="24"/>
          <w:szCs w:val="24"/>
        </w:rPr>
        <w:t>The format of the SSW Report element is as illustrated in Figure 9-736 (SSW Report element format(11aj)).</w:t>
      </w:r>
      <w:r>
        <w:rPr>
          <w:sz w:val="24"/>
          <w:szCs w:val="24"/>
        </w:rPr>
        <w:t>”</w:t>
      </w:r>
    </w:p>
    <w:p w:rsidR="0084696B" w:rsidRDefault="0084696B" w:rsidP="0084696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84696B">
        <w:rPr>
          <w:sz w:val="24"/>
          <w:szCs w:val="24"/>
        </w:rPr>
        <w:t xml:space="preserve">The </w:t>
      </w:r>
      <w:r w:rsidRPr="00D04D71">
        <w:rPr>
          <w:strike/>
          <w:sz w:val="24"/>
          <w:szCs w:val="24"/>
          <w:highlight w:val="yellow"/>
        </w:rPr>
        <w:t>format of the</w:t>
      </w:r>
      <w:r w:rsidRPr="00D04D71">
        <w:rPr>
          <w:strike/>
          <w:sz w:val="24"/>
          <w:szCs w:val="24"/>
        </w:rPr>
        <w:t xml:space="preserve"> </w:t>
      </w:r>
      <w:r w:rsidRPr="0084696B">
        <w:rPr>
          <w:sz w:val="24"/>
          <w:szCs w:val="24"/>
        </w:rPr>
        <w:t xml:space="preserve">SSW Report element is </w:t>
      </w:r>
      <w:r w:rsidRPr="00D04D71">
        <w:rPr>
          <w:strike/>
          <w:sz w:val="24"/>
          <w:szCs w:val="24"/>
          <w:highlight w:val="yellow"/>
        </w:rPr>
        <w:t>as</w:t>
      </w:r>
      <w:r w:rsidRPr="00D04D71">
        <w:rPr>
          <w:strike/>
          <w:sz w:val="24"/>
          <w:szCs w:val="24"/>
        </w:rPr>
        <w:t xml:space="preserve"> </w:t>
      </w:r>
      <w:r w:rsidR="00D04D71" w:rsidRPr="00030969">
        <w:rPr>
          <w:sz w:val="24"/>
          <w:szCs w:val="24"/>
          <w:highlight w:val="cyan"/>
        </w:rPr>
        <w:t>defined</w:t>
      </w:r>
      <w:r w:rsidRPr="0084696B">
        <w:rPr>
          <w:sz w:val="24"/>
          <w:szCs w:val="24"/>
        </w:rPr>
        <w:t xml:space="preserve"> in Figure 9-736 (SSW Report element format(11aj)).</w:t>
      </w:r>
      <w:r>
        <w:rPr>
          <w:sz w:val="24"/>
          <w:szCs w:val="24"/>
        </w:rPr>
        <w:t>”</w:t>
      </w:r>
    </w:p>
    <w:p w:rsidR="0084696B" w:rsidRDefault="0084696B" w:rsidP="0084696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84696B" w:rsidRDefault="005525BF" w:rsidP="0084696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1433</w:t>
      </w:r>
      <w:r w:rsidR="0084696B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84696B">
        <w:rPr>
          <w:sz w:val="24"/>
          <w:szCs w:val="24"/>
        </w:rPr>
        <w:t>2,</w:t>
      </w:r>
    </w:p>
    <w:p w:rsidR="0084696B" w:rsidRDefault="005525BF" w:rsidP="005525B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5525BF">
        <w:rPr>
          <w:sz w:val="24"/>
          <w:szCs w:val="24"/>
        </w:rPr>
        <w:t>The SPSH Report element is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>transmitted in the DMG Beacon frame and is formatted as illustrated in Figure 9-745 (SPSH Report element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>format(11aj)).</w:t>
      </w:r>
      <w:r>
        <w:rPr>
          <w:sz w:val="24"/>
          <w:szCs w:val="24"/>
        </w:rPr>
        <w:t>”</w:t>
      </w:r>
    </w:p>
    <w:p w:rsidR="005525BF" w:rsidRDefault="005525BF" w:rsidP="005525B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5525BF">
        <w:rPr>
          <w:sz w:val="24"/>
          <w:szCs w:val="24"/>
        </w:rPr>
        <w:t>The SPSH Report element is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 xml:space="preserve">transmitted in the DMG Beacon frame and is </w:t>
      </w:r>
      <w:r w:rsidRPr="00030969">
        <w:rPr>
          <w:strike/>
          <w:sz w:val="24"/>
          <w:szCs w:val="24"/>
          <w:highlight w:val="yellow"/>
        </w:rPr>
        <w:t>formatted as</w:t>
      </w:r>
      <w:r w:rsidRPr="00030969">
        <w:rPr>
          <w:strike/>
          <w:sz w:val="24"/>
          <w:szCs w:val="24"/>
        </w:rPr>
        <w:t xml:space="preserve"> </w:t>
      </w:r>
      <w:r w:rsidR="00030969" w:rsidRPr="00030969">
        <w:rPr>
          <w:sz w:val="24"/>
          <w:szCs w:val="24"/>
          <w:highlight w:val="cyan"/>
        </w:rPr>
        <w:t>defined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>in Figure 9-745 (SPSH Report element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>format(11aj)).</w:t>
      </w:r>
      <w:r>
        <w:rPr>
          <w:sz w:val="24"/>
          <w:szCs w:val="24"/>
        </w:rPr>
        <w:t>”</w:t>
      </w:r>
    </w:p>
    <w:p w:rsidR="004E6CA8" w:rsidRDefault="004E6CA8" w:rsidP="005525B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4E6CA8" w:rsidRDefault="004E6CA8" w:rsidP="005525B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</w:t>
      </w:r>
      <w:r w:rsidR="00212763">
        <w:rPr>
          <w:sz w:val="24"/>
          <w:szCs w:val="24"/>
        </w:rPr>
        <w:t xml:space="preserve"> 1434.9,</w:t>
      </w:r>
    </w:p>
    <w:p w:rsidR="00212763" w:rsidRDefault="00212763" w:rsidP="0021276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212763">
        <w:rPr>
          <w:sz w:val="24"/>
          <w:szCs w:val="24"/>
        </w:rPr>
        <w:t>The SPSH List field contains information of non-interfering links and is formatted as illustrated in</w:t>
      </w:r>
      <w:r>
        <w:rPr>
          <w:sz w:val="24"/>
          <w:szCs w:val="24"/>
        </w:rPr>
        <w:t xml:space="preserve"> </w:t>
      </w:r>
      <w:r w:rsidRPr="00212763">
        <w:rPr>
          <w:sz w:val="24"/>
          <w:szCs w:val="24"/>
        </w:rPr>
        <w:t>Figure 9-746 (SPSH List field format(11aj)).</w:t>
      </w:r>
      <w:r>
        <w:rPr>
          <w:sz w:val="24"/>
          <w:szCs w:val="24"/>
        </w:rPr>
        <w:t>”</w:t>
      </w:r>
    </w:p>
    <w:p w:rsidR="00212763" w:rsidRDefault="00212763" w:rsidP="0021276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212763">
        <w:rPr>
          <w:sz w:val="24"/>
          <w:szCs w:val="24"/>
        </w:rPr>
        <w:t xml:space="preserve">The SPSH List field contains information of non-interfering links and is </w:t>
      </w:r>
      <w:r w:rsidRPr="00030969">
        <w:rPr>
          <w:strike/>
          <w:sz w:val="24"/>
          <w:szCs w:val="24"/>
          <w:highlight w:val="yellow"/>
        </w:rPr>
        <w:t>formatted as</w:t>
      </w:r>
      <w:r w:rsidRPr="00030969">
        <w:rPr>
          <w:strike/>
          <w:sz w:val="24"/>
          <w:szCs w:val="24"/>
        </w:rPr>
        <w:t xml:space="preserve"> </w:t>
      </w:r>
      <w:r w:rsidR="00030969" w:rsidRPr="00030969">
        <w:rPr>
          <w:sz w:val="24"/>
          <w:szCs w:val="24"/>
          <w:highlight w:val="cyan"/>
        </w:rPr>
        <w:t>defined</w:t>
      </w:r>
      <w:r w:rsidRPr="00212763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Pr="00212763">
        <w:rPr>
          <w:sz w:val="24"/>
          <w:szCs w:val="24"/>
        </w:rPr>
        <w:t>Figure 9-746 (SPSH List field format(11aj)).</w:t>
      </w:r>
      <w:r>
        <w:rPr>
          <w:sz w:val="24"/>
          <w:szCs w:val="24"/>
        </w:rPr>
        <w:t>”</w:t>
      </w:r>
    </w:p>
    <w:p w:rsidR="00212763" w:rsidRDefault="00212763" w:rsidP="0021276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12763" w:rsidRDefault="00212763" w:rsidP="0021276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143</w:t>
      </w:r>
      <w:r w:rsidR="00082AD5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082AD5">
        <w:rPr>
          <w:sz w:val="24"/>
          <w:szCs w:val="24"/>
        </w:rPr>
        <w:t>10</w:t>
      </w:r>
      <w:r>
        <w:rPr>
          <w:sz w:val="24"/>
          <w:szCs w:val="24"/>
        </w:rPr>
        <w:t>,</w:t>
      </w:r>
    </w:p>
    <w:p w:rsidR="005525BF" w:rsidRDefault="00082AD5" w:rsidP="00082AD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082AD5">
        <w:rPr>
          <w:sz w:val="24"/>
          <w:szCs w:val="24"/>
        </w:rPr>
        <w:t>The Clustering SPSH Control field is illustrated in Figure 9-748 (Clustering SPSH Control field</w:t>
      </w:r>
      <w:r>
        <w:rPr>
          <w:sz w:val="24"/>
          <w:szCs w:val="24"/>
        </w:rPr>
        <w:t xml:space="preserve"> </w:t>
      </w:r>
      <w:r w:rsidRPr="00082AD5">
        <w:rPr>
          <w:sz w:val="24"/>
          <w:szCs w:val="24"/>
        </w:rPr>
        <w:t>format(11aj)).</w:t>
      </w:r>
      <w:r>
        <w:rPr>
          <w:sz w:val="24"/>
          <w:szCs w:val="24"/>
        </w:rPr>
        <w:t>”</w:t>
      </w:r>
    </w:p>
    <w:p w:rsidR="00082AD5" w:rsidRDefault="00082AD5" w:rsidP="00082AD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082AD5">
        <w:rPr>
          <w:sz w:val="24"/>
          <w:szCs w:val="24"/>
        </w:rPr>
        <w:t xml:space="preserve">The Clustering SPSH Control field is </w:t>
      </w:r>
      <w:r w:rsidR="00030969" w:rsidRPr="00030969">
        <w:rPr>
          <w:sz w:val="24"/>
          <w:szCs w:val="24"/>
          <w:highlight w:val="cyan"/>
        </w:rPr>
        <w:t>defined</w:t>
      </w:r>
      <w:r w:rsidRPr="00082AD5">
        <w:rPr>
          <w:sz w:val="24"/>
          <w:szCs w:val="24"/>
        </w:rPr>
        <w:t xml:space="preserve"> in Figure 9-748 (Clustering SPSH Control field</w:t>
      </w:r>
      <w:r>
        <w:rPr>
          <w:sz w:val="24"/>
          <w:szCs w:val="24"/>
        </w:rPr>
        <w:t xml:space="preserve"> </w:t>
      </w:r>
      <w:r w:rsidRPr="00082AD5">
        <w:rPr>
          <w:sz w:val="24"/>
          <w:szCs w:val="24"/>
        </w:rPr>
        <w:t>format(11aj)).</w:t>
      </w:r>
      <w:r>
        <w:rPr>
          <w:sz w:val="24"/>
          <w:szCs w:val="24"/>
        </w:rPr>
        <w:t>”</w:t>
      </w:r>
    </w:p>
    <w:p w:rsidR="00761C49" w:rsidRDefault="00761C49" w:rsidP="00761C4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D6C14" w:rsidRDefault="003D6C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1C49" w:rsidRDefault="00761C49" w:rsidP="00761C4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14</w:t>
      </w:r>
      <w:r w:rsidR="00BF027F">
        <w:rPr>
          <w:sz w:val="24"/>
          <w:szCs w:val="24"/>
        </w:rPr>
        <w:t>43</w:t>
      </w:r>
      <w:r>
        <w:rPr>
          <w:sz w:val="24"/>
          <w:szCs w:val="24"/>
        </w:rPr>
        <w:t>.</w:t>
      </w:r>
      <w:r w:rsidR="00BF027F">
        <w:rPr>
          <w:sz w:val="24"/>
          <w:szCs w:val="24"/>
        </w:rPr>
        <w:t>36</w:t>
      </w:r>
      <w:r>
        <w:rPr>
          <w:sz w:val="24"/>
          <w:szCs w:val="24"/>
        </w:rPr>
        <w:t>,</w:t>
      </w:r>
    </w:p>
    <w:p w:rsidR="00082AD5" w:rsidRDefault="00BF027F" w:rsidP="00BF027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BF027F">
        <w:rPr>
          <w:sz w:val="24"/>
          <w:szCs w:val="24"/>
        </w:rPr>
        <w:t>The CMMG AP or PCP Capability Information field, illustrated in Figure 9-755 (CMMG AP or PCP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Capability Information field format(11aj)), represents the capabilities, when the transmitting STA performs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in the role of AP or PCP, that are in addition to the capabilities in the CMMG STA Capability Information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field.</w:t>
      </w:r>
      <w:r>
        <w:rPr>
          <w:sz w:val="24"/>
          <w:szCs w:val="24"/>
        </w:rPr>
        <w:t>”</w:t>
      </w:r>
    </w:p>
    <w:p w:rsidR="00BF027F" w:rsidRDefault="00BF027F" w:rsidP="00BF027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BF027F">
        <w:rPr>
          <w:sz w:val="24"/>
          <w:szCs w:val="24"/>
        </w:rPr>
        <w:t xml:space="preserve">The CMMG AP or PCP Capability Information field, </w:t>
      </w:r>
      <w:r w:rsidR="00487798" w:rsidRPr="00487798">
        <w:rPr>
          <w:sz w:val="24"/>
          <w:szCs w:val="24"/>
          <w:highlight w:val="cyan"/>
        </w:rPr>
        <w:t>defined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in Figure 9-755 (CMMG AP or PCP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Capability Information field format(11aj)), represents the capabilities, when the transmitting STA performs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in the role of AP or PCP, that are in addition to the capabilities in the CMMG STA Capability Information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field.</w:t>
      </w:r>
      <w:r>
        <w:rPr>
          <w:sz w:val="24"/>
          <w:szCs w:val="24"/>
        </w:rPr>
        <w:t>”</w:t>
      </w:r>
    </w:p>
    <w:p w:rsidR="00786DA7" w:rsidRDefault="00786DA7" w:rsidP="00786DA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786DA7" w:rsidRDefault="00786DA7" w:rsidP="00786DA7">
      <w:pPr>
        <w:spacing w:after="240"/>
        <w:jc w:val="both"/>
        <w:rPr>
          <w:sz w:val="24"/>
          <w:szCs w:val="24"/>
        </w:rPr>
      </w:pPr>
      <w:r w:rsidRPr="00C3151D">
        <w:rPr>
          <w:sz w:val="24"/>
          <w:szCs w:val="24"/>
        </w:rPr>
        <w:t xml:space="preserve">At </w:t>
      </w:r>
      <w:r w:rsidR="00D443C1" w:rsidRPr="00C3151D">
        <w:rPr>
          <w:sz w:val="24"/>
          <w:szCs w:val="24"/>
        </w:rPr>
        <w:t>2088.4</w:t>
      </w:r>
      <w:r w:rsidRPr="00C3151D">
        <w:rPr>
          <w:sz w:val="24"/>
          <w:szCs w:val="24"/>
        </w:rPr>
        <w:t>,</w:t>
      </w:r>
    </w:p>
    <w:p w:rsidR="00D443C1" w:rsidRDefault="00D443C1" w:rsidP="00D443C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D443C1">
        <w:rPr>
          <w:sz w:val="24"/>
          <w:szCs w:val="24"/>
        </w:rPr>
        <w:t>An example with 4 TIMs and their 4 assigned</w:t>
      </w:r>
      <w:r>
        <w:rPr>
          <w:sz w:val="24"/>
          <w:szCs w:val="24"/>
        </w:rPr>
        <w:t xml:space="preserve"> </w:t>
      </w:r>
      <w:r w:rsidRPr="00D443C1">
        <w:rPr>
          <w:sz w:val="24"/>
          <w:szCs w:val="24"/>
        </w:rPr>
        <w:t>page slices is depicted in Figure 10-103 (Illustration of Page Slicing with Page Slice element(11ah)).</w:t>
      </w:r>
      <w:r>
        <w:rPr>
          <w:sz w:val="24"/>
          <w:szCs w:val="24"/>
        </w:rPr>
        <w:t>”</w:t>
      </w:r>
    </w:p>
    <w:p w:rsidR="00D443C1" w:rsidRDefault="00D443C1" w:rsidP="00D443C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="0099399B" w:rsidRPr="0099399B">
        <w:rPr>
          <w:strike/>
          <w:sz w:val="24"/>
          <w:szCs w:val="24"/>
          <w:highlight w:val="yellow"/>
        </w:rPr>
        <w:t>An example with</w:t>
      </w:r>
      <w:r w:rsidR="00EB479B" w:rsidRPr="0099399B">
        <w:rPr>
          <w:sz w:val="24"/>
          <w:szCs w:val="24"/>
          <w:highlight w:val="cyan"/>
        </w:rPr>
        <w:t>The case of</w:t>
      </w:r>
      <w:r w:rsidR="00EB479B">
        <w:rPr>
          <w:sz w:val="24"/>
          <w:szCs w:val="24"/>
        </w:rPr>
        <w:t xml:space="preserve"> </w:t>
      </w:r>
      <w:r w:rsidRPr="00D443C1">
        <w:rPr>
          <w:sz w:val="24"/>
          <w:szCs w:val="24"/>
        </w:rPr>
        <w:t>4 TIMs and their 4 assigned</w:t>
      </w:r>
      <w:r>
        <w:rPr>
          <w:sz w:val="24"/>
          <w:szCs w:val="24"/>
        </w:rPr>
        <w:t xml:space="preserve"> </w:t>
      </w:r>
      <w:r w:rsidRPr="00D443C1">
        <w:rPr>
          <w:sz w:val="24"/>
          <w:szCs w:val="24"/>
        </w:rPr>
        <w:t xml:space="preserve">page slices is </w:t>
      </w:r>
      <w:r w:rsidR="00EB479B">
        <w:rPr>
          <w:sz w:val="24"/>
          <w:szCs w:val="24"/>
        </w:rPr>
        <w:t>depicted</w:t>
      </w:r>
      <w:r w:rsidRPr="00D443C1">
        <w:rPr>
          <w:sz w:val="24"/>
          <w:szCs w:val="24"/>
        </w:rPr>
        <w:t xml:space="preserve"> in Figure 10-103 </w:t>
      </w:r>
      <w:r w:rsidRPr="0099399B">
        <w:rPr>
          <w:sz w:val="24"/>
          <w:szCs w:val="24"/>
        </w:rPr>
        <w:t>(</w:t>
      </w:r>
      <w:r w:rsidRPr="00505AD6">
        <w:rPr>
          <w:strike/>
          <w:sz w:val="24"/>
          <w:szCs w:val="24"/>
          <w:highlight w:val="yellow"/>
        </w:rPr>
        <w:t>Illustration of</w:t>
      </w:r>
      <w:r w:rsidRPr="00D443C1">
        <w:rPr>
          <w:sz w:val="24"/>
          <w:szCs w:val="24"/>
        </w:rPr>
        <w:t xml:space="preserve"> Page Slicing with Page Slice element</w:t>
      </w:r>
      <w:r w:rsidR="00505AD6">
        <w:rPr>
          <w:sz w:val="24"/>
          <w:szCs w:val="24"/>
        </w:rPr>
        <w:t xml:space="preserve"> </w:t>
      </w:r>
      <w:r w:rsidR="00505AD6" w:rsidRPr="0099399B">
        <w:rPr>
          <w:sz w:val="24"/>
          <w:szCs w:val="24"/>
          <w:highlight w:val="cyan"/>
        </w:rPr>
        <w:t>with</w:t>
      </w:r>
      <w:r w:rsidR="00505AD6">
        <w:rPr>
          <w:sz w:val="24"/>
          <w:szCs w:val="24"/>
        </w:rPr>
        <w:t xml:space="preserve"> </w:t>
      </w:r>
      <w:r w:rsidR="00505AD6" w:rsidRPr="0099399B">
        <w:rPr>
          <w:sz w:val="24"/>
          <w:szCs w:val="24"/>
          <w:highlight w:val="cyan"/>
        </w:rPr>
        <w:t>4 TIMs</w:t>
      </w:r>
      <w:r w:rsidRPr="00D443C1">
        <w:rPr>
          <w:sz w:val="24"/>
          <w:szCs w:val="24"/>
        </w:rPr>
        <w:t>(11ah)).</w:t>
      </w:r>
      <w:r>
        <w:rPr>
          <w:sz w:val="24"/>
          <w:szCs w:val="24"/>
        </w:rPr>
        <w:t>”</w:t>
      </w:r>
    </w:p>
    <w:p w:rsidR="00E935B5" w:rsidRDefault="00E935B5" w:rsidP="00E935B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99399B" w:rsidRDefault="0099399B" w:rsidP="00E935B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2088.30,</w:t>
      </w:r>
    </w:p>
    <w:p w:rsidR="0099399B" w:rsidRDefault="0099399B" w:rsidP="00E935B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99399B">
        <w:rPr>
          <w:sz w:val="24"/>
          <w:szCs w:val="24"/>
        </w:rPr>
        <w:t>Figure 10-103—Illustration of Page Slicing with Page Slice element</w:t>
      </w:r>
      <w:r>
        <w:rPr>
          <w:sz w:val="24"/>
          <w:szCs w:val="24"/>
        </w:rPr>
        <w:t>”</w:t>
      </w:r>
    </w:p>
    <w:p w:rsidR="0099399B" w:rsidRDefault="0099399B" w:rsidP="0099399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99399B">
        <w:rPr>
          <w:sz w:val="24"/>
          <w:szCs w:val="24"/>
        </w:rPr>
        <w:t>Figure 10-103—</w:t>
      </w:r>
      <w:r w:rsidRPr="0099399B">
        <w:rPr>
          <w:strike/>
          <w:sz w:val="24"/>
          <w:szCs w:val="24"/>
          <w:highlight w:val="yellow"/>
        </w:rPr>
        <w:t>Illustration of</w:t>
      </w:r>
      <w:r w:rsidRPr="0099399B">
        <w:rPr>
          <w:strike/>
          <w:sz w:val="24"/>
          <w:szCs w:val="24"/>
        </w:rPr>
        <w:t xml:space="preserve"> </w:t>
      </w:r>
      <w:r w:rsidRPr="0099399B">
        <w:rPr>
          <w:sz w:val="24"/>
          <w:szCs w:val="24"/>
        </w:rPr>
        <w:t>Page Slicing with Page Slice element</w:t>
      </w:r>
      <w:r>
        <w:rPr>
          <w:sz w:val="24"/>
          <w:szCs w:val="24"/>
        </w:rPr>
        <w:t xml:space="preserve"> </w:t>
      </w:r>
      <w:r w:rsidRPr="0099399B">
        <w:rPr>
          <w:sz w:val="24"/>
          <w:szCs w:val="24"/>
          <w:highlight w:val="cyan"/>
        </w:rPr>
        <w:t>with 4 TIMs</w:t>
      </w:r>
      <w:r>
        <w:rPr>
          <w:sz w:val="24"/>
          <w:szCs w:val="24"/>
        </w:rPr>
        <w:t>”</w:t>
      </w:r>
    </w:p>
    <w:p w:rsidR="0099399B" w:rsidRDefault="0099399B" w:rsidP="0099399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FB3802" w:rsidRDefault="00FB3802" w:rsidP="00FB38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A60C1D">
        <w:rPr>
          <w:sz w:val="24"/>
          <w:szCs w:val="24"/>
        </w:rPr>
        <w:t>3485</w:t>
      </w:r>
      <w:r>
        <w:rPr>
          <w:sz w:val="24"/>
          <w:szCs w:val="24"/>
        </w:rPr>
        <w:t>.4</w:t>
      </w:r>
      <w:r w:rsidR="00A60C1D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A60C1D" w:rsidRDefault="00A60C1D" w:rsidP="00A60C1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A60C1D">
        <w:rPr>
          <w:sz w:val="24"/>
          <w:szCs w:val="24"/>
        </w:rPr>
        <w:t>The control mode preamble is illustrated in</w:t>
      </w:r>
      <w:r>
        <w:rPr>
          <w:sz w:val="24"/>
          <w:szCs w:val="24"/>
        </w:rPr>
        <w:t xml:space="preserve"> </w:t>
      </w:r>
      <w:r w:rsidRPr="00A60C1D">
        <w:rPr>
          <w:sz w:val="24"/>
          <w:szCs w:val="24"/>
        </w:rPr>
        <w:t>Figure 25-4 (Control mode preamble(11aj)).</w:t>
      </w:r>
      <w:r>
        <w:rPr>
          <w:sz w:val="24"/>
          <w:szCs w:val="24"/>
        </w:rPr>
        <w:t>”</w:t>
      </w:r>
    </w:p>
    <w:p w:rsidR="00A60C1D" w:rsidRDefault="00A60C1D" w:rsidP="00A60C1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A60C1D">
        <w:rPr>
          <w:sz w:val="24"/>
          <w:szCs w:val="24"/>
        </w:rPr>
        <w:t>The control mode preamble is</w:t>
      </w:r>
      <w:r>
        <w:rPr>
          <w:sz w:val="24"/>
          <w:szCs w:val="24"/>
        </w:rPr>
        <w:t xml:space="preserve"> </w:t>
      </w:r>
      <w:r w:rsidR="00252D60" w:rsidRPr="00252D60">
        <w:rPr>
          <w:sz w:val="24"/>
          <w:szCs w:val="24"/>
          <w:highlight w:val="cyan"/>
        </w:rPr>
        <w:t>defined</w:t>
      </w:r>
      <w:r>
        <w:rPr>
          <w:sz w:val="24"/>
          <w:szCs w:val="24"/>
        </w:rPr>
        <w:t xml:space="preserve"> </w:t>
      </w:r>
      <w:r w:rsidRPr="00A60C1D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A60C1D">
        <w:rPr>
          <w:sz w:val="24"/>
          <w:szCs w:val="24"/>
        </w:rPr>
        <w:t>Figure 25-4 (Control mode preamble(11aj)).</w:t>
      </w:r>
      <w:r>
        <w:rPr>
          <w:sz w:val="24"/>
          <w:szCs w:val="24"/>
        </w:rPr>
        <w:t>”</w:t>
      </w:r>
    </w:p>
    <w:p w:rsidR="003B0083" w:rsidRDefault="003B0083" w:rsidP="003B008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B0083" w:rsidRDefault="003B0083" w:rsidP="003B008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A33E1A">
        <w:rPr>
          <w:sz w:val="24"/>
          <w:szCs w:val="24"/>
        </w:rPr>
        <w:t>3486</w:t>
      </w:r>
      <w:r>
        <w:rPr>
          <w:sz w:val="24"/>
          <w:szCs w:val="24"/>
        </w:rPr>
        <w:t>.4</w:t>
      </w:r>
      <w:r w:rsidR="00A33E1A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A60C1D" w:rsidRDefault="00A33E1A" w:rsidP="00A33E1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A33E1A">
        <w:rPr>
          <w:sz w:val="24"/>
          <w:szCs w:val="24"/>
        </w:rPr>
        <w:t>The SC mode preambles are illustrated in Figure 25-5 (CMMG SC mode preamble for CBW540</w:t>
      </w:r>
      <w:r>
        <w:rPr>
          <w:sz w:val="24"/>
          <w:szCs w:val="24"/>
        </w:rPr>
        <w:t xml:space="preserve"> </w:t>
      </w:r>
      <w:r w:rsidRPr="00A33E1A">
        <w:rPr>
          <w:sz w:val="24"/>
          <w:szCs w:val="24"/>
        </w:rPr>
        <w:t>MHz(M101)(11aj)) and Figure 25-6 (CMMG SC mode preamble for CBW1080 MHz(M101)(11aj)).</w:t>
      </w:r>
      <w:r>
        <w:rPr>
          <w:sz w:val="24"/>
          <w:szCs w:val="24"/>
        </w:rPr>
        <w:t>”</w:t>
      </w:r>
    </w:p>
    <w:p w:rsidR="00A33E1A" w:rsidRDefault="00A33E1A" w:rsidP="00A33E1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A33E1A">
        <w:rPr>
          <w:sz w:val="24"/>
          <w:szCs w:val="24"/>
        </w:rPr>
        <w:t xml:space="preserve">The SC mode preambles are </w:t>
      </w:r>
      <w:r w:rsidR="002C4EAC" w:rsidRPr="002C4EAC">
        <w:rPr>
          <w:sz w:val="24"/>
          <w:szCs w:val="24"/>
          <w:highlight w:val="cyan"/>
        </w:rPr>
        <w:t>defined</w:t>
      </w:r>
      <w:r w:rsidR="002C4EAC">
        <w:rPr>
          <w:sz w:val="24"/>
          <w:szCs w:val="24"/>
        </w:rPr>
        <w:t xml:space="preserve"> </w:t>
      </w:r>
      <w:r w:rsidRPr="00A33E1A">
        <w:rPr>
          <w:sz w:val="24"/>
          <w:szCs w:val="24"/>
        </w:rPr>
        <w:t>in Figure 25-5 (CMMG SC mode preamble for CBW540</w:t>
      </w:r>
      <w:r>
        <w:rPr>
          <w:sz w:val="24"/>
          <w:szCs w:val="24"/>
        </w:rPr>
        <w:t xml:space="preserve"> </w:t>
      </w:r>
      <w:r w:rsidRPr="00A33E1A">
        <w:rPr>
          <w:sz w:val="24"/>
          <w:szCs w:val="24"/>
        </w:rPr>
        <w:t>MHz(M101)(11aj)) and Figure 25-6 (CMMG SC mode preamble for CBW1080 MHz(M101)(11aj)).</w:t>
      </w:r>
      <w:r>
        <w:rPr>
          <w:sz w:val="24"/>
          <w:szCs w:val="24"/>
        </w:rPr>
        <w:t>”</w:t>
      </w:r>
    </w:p>
    <w:p w:rsidR="00A33E1A" w:rsidRDefault="00A33E1A" w:rsidP="00A33E1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D6C14" w:rsidRDefault="003D6C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3E1A" w:rsidRDefault="00A33E1A" w:rsidP="00A33E1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 </w:t>
      </w:r>
      <w:r w:rsidR="00A3467C">
        <w:rPr>
          <w:sz w:val="24"/>
          <w:szCs w:val="24"/>
        </w:rPr>
        <w:t>3502</w:t>
      </w:r>
      <w:r>
        <w:rPr>
          <w:sz w:val="24"/>
          <w:szCs w:val="24"/>
        </w:rPr>
        <w:t>.4</w:t>
      </w:r>
      <w:r w:rsidR="00A3467C">
        <w:rPr>
          <w:sz w:val="24"/>
          <w:szCs w:val="24"/>
        </w:rPr>
        <w:t>9</w:t>
      </w:r>
      <w:r>
        <w:rPr>
          <w:sz w:val="24"/>
          <w:szCs w:val="24"/>
        </w:rPr>
        <w:t>,</w:t>
      </w:r>
    </w:p>
    <w:p w:rsidR="00FB3802" w:rsidRDefault="00A3467C" w:rsidP="00A346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A3467C">
        <w:rPr>
          <w:sz w:val="24"/>
          <w:szCs w:val="24"/>
        </w:rPr>
        <w:t>A CMMG SC mode PPDU frame is composed of the CMMG SC mode STF, the CMMG SC mode CEF, the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>CMMG SC mode SIG field, the optional CMMG SC mode SCTF, the SC data block, and the optional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>training fields, which is illustrated in Figure 25-17 (Format of CMMG SC mode PPDU(11aj)) where the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>SCTF fields is transmitted for 1080 MHz channel bandwidth.</w:t>
      </w:r>
      <w:r>
        <w:rPr>
          <w:sz w:val="24"/>
          <w:szCs w:val="24"/>
        </w:rPr>
        <w:t>”</w:t>
      </w:r>
    </w:p>
    <w:p w:rsidR="00A3467C" w:rsidRDefault="00A3467C" w:rsidP="00A346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A3467C">
        <w:rPr>
          <w:sz w:val="24"/>
          <w:szCs w:val="24"/>
        </w:rPr>
        <w:t>A CMMG SC mode PPDU frame is composed of the CMMG SC mode STF, the CMMG SC mode CEF, the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>CMMG SC mode SIG field, the optional CMMG SC mode SCTF, the SC data block, and the optional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 xml:space="preserve">training fields, which is </w:t>
      </w:r>
      <w:r w:rsidR="0024181C" w:rsidRPr="0024181C">
        <w:rPr>
          <w:sz w:val="24"/>
          <w:szCs w:val="24"/>
          <w:highlight w:val="cyan"/>
        </w:rPr>
        <w:t>defined</w:t>
      </w:r>
      <w:r w:rsidRPr="00A3467C">
        <w:rPr>
          <w:sz w:val="24"/>
          <w:szCs w:val="24"/>
        </w:rPr>
        <w:t xml:space="preserve"> in Figure 25-17 (Format of CMMG SC mode PPDU(11aj)) where the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>SCTF fields is transmitted for 1080 MHz channel bandwidth.</w:t>
      </w:r>
      <w:r>
        <w:rPr>
          <w:sz w:val="24"/>
          <w:szCs w:val="24"/>
        </w:rPr>
        <w:t>”</w:t>
      </w:r>
    </w:p>
    <w:p w:rsidR="00A3467C" w:rsidRDefault="00A3467C" w:rsidP="00A346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A3467C" w:rsidRDefault="00A3467C" w:rsidP="00A346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D44B7E">
        <w:rPr>
          <w:sz w:val="24"/>
          <w:szCs w:val="24"/>
        </w:rPr>
        <w:t>405</w:t>
      </w:r>
      <w:r>
        <w:rPr>
          <w:sz w:val="24"/>
          <w:szCs w:val="24"/>
        </w:rPr>
        <w:t>.</w:t>
      </w:r>
      <w:r w:rsidR="00D44B7E">
        <w:rPr>
          <w:sz w:val="24"/>
          <w:szCs w:val="24"/>
        </w:rPr>
        <w:t>33</w:t>
      </w:r>
      <w:r>
        <w:rPr>
          <w:sz w:val="24"/>
          <w:szCs w:val="24"/>
        </w:rPr>
        <w:t>,</w:t>
      </w:r>
    </w:p>
    <w:p w:rsidR="00A3467C" w:rsidRDefault="00D44B7E" w:rsidP="00D44B7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D44B7E">
        <w:rPr>
          <w:sz w:val="24"/>
          <w:szCs w:val="24"/>
        </w:rPr>
        <w:t>The informative diagrams within this subclause further illustrate the protocol layer model adopted.</w:t>
      </w:r>
      <w:r>
        <w:rPr>
          <w:sz w:val="24"/>
          <w:szCs w:val="24"/>
        </w:rPr>
        <w:t xml:space="preserve"> </w:t>
      </w:r>
      <w:r w:rsidRPr="00D44B7E">
        <w:rPr>
          <w:sz w:val="24"/>
          <w:szCs w:val="24"/>
        </w:rPr>
        <w:t>Figure 6-3 (Measurement request—accepted) and Figure 6-4 (Measurement request—rejected) depict the</w:t>
      </w:r>
      <w:r>
        <w:rPr>
          <w:sz w:val="24"/>
          <w:szCs w:val="24"/>
        </w:rPr>
        <w:t xml:space="preserve"> </w:t>
      </w:r>
      <w:r w:rsidRPr="00D44B7E">
        <w:rPr>
          <w:sz w:val="24"/>
          <w:szCs w:val="24"/>
        </w:rPr>
        <w:t>measurement process for a peer STA to accept and reject a measurement request, respectively.</w:t>
      </w:r>
      <w:r>
        <w:rPr>
          <w:sz w:val="24"/>
          <w:szCs w:val="24"/>
        </w:rPr>
        <w:t>”</w:t>
      </w:r>
    </w:p>
    <w:p w:rsidR="00D44B7E" w:rsidRDefault="00D44B7E" w:rsidP="00D44B7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D44B7E">
        <w:rPr>
          <w:sz w:val="24"/>
          <w:szCs w:val="24"/>
        </w:rPr>
        <w:t xml:space="preserve">The </w:t>
      </w:r>
      <w:r w:rsidR="000F0E47" w:rsidRPr="000F0E47">
        <w:rPr>
          <w:strike/>
          <w:sz w:val="24"/>
          <w:szCs w:val="24"/>
          <w:highlight w:val="yellow"/>
        </w:rPr>
        <w:t>informative</w:t>
      </w:r>
      <w:r w:rsidRPr="00D44B7E">
        <w:rPr>
          <w:sz w:val="24"/>
          <w:szCs w:val="24"/>
        </w:rPr>
        <w:t xml:space="preserve"> diagrams within this subclause further illustrate the protocol layer model adopted.</w:t>
      </w:r>
      <w:r>
        <w:rPr>
          <w:sz w:val="24"/>
          <w:szCs w:val="24"/>
        </w:rPr>
        <w:t xml:space="preserve"> </w:t>
      </w:r>
      <w:r w:rsidRPr="00D44B7E">
        <w:rPr>
          <w:sz w:val="24"/>
          <w:szCs w:val="24"/>
        </w:rPr>
        <w:t xml:space="preserve">Figure 6-3 (Measurement request—accepted) and Figure 6-4 (Measurement request—rejected) </w:t>
      </w:r>
      <w:r w:rsidR="003825F8">
        <w:rPr>
          <w:sz w:val="24"/>
          <w:szCs w:val="24"/>
        </w:rPr>
        <w:t>depict</w:t>
      </w:r>
      <w:r w:rsidRPr="00D44B7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D44B7E">
        <w:rPr>
          <w:sz w:val="24"/>
          <w:szCs w:val="24"/>
        </w:rPr>
        <w:t>measurement process for a peer STA to accept and reject a measurement request, respectively.</w:t>
      </w:r>
      <w:r>
        <w:rPr>
          <w:sz w:val="24"/>
          <w:szCs w:val="24"/>
        </w:rPr>
        <w:t>”</w:t>
      </w:r>
    </w:p>
    <w:p w:rsidR="00B137A9" w:rsidRDefault="00B137A9" w:rsidP="00B137A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B137A9" w:rsidRPr="00635FC7" w:rsidRDefault="00B137A9" w:rsidP="00B137A9">
      <w:pPr>
        <w:spacing w:after="240"/>
        <w:jc w:val="both"/>
        <w:rPr>
          <w:color w:val="000000" w:themeColor="text1"/>
          <w:sz w:val="24"/>
          <w:szCs w:val="24"/>
        </w:rPr>
      </w:pPr>
      <w:r w:rsidRPr="00635FC7">
        <w:rPr>
          <w:color w:val="000000" w:themeColor="text1"/>
          <w:sz w:val="24"/>
          <w:szCs w:val="24"/>
        </w:rPr>
        <w:t xml:space="preserve">At </w:t>
      </w:r>
      <w:r w:rsidR="00221970" w:rsidRPr="00635FC7">
        <w:rPr>
          <w:color w:val="000000" w:themeColor="text1"/>
          <w:sz w:val="24"/>
          <w:szCs w:val="24"/>
        </w:rPr>
        <w:t>508</w:t>
      </w:r>
      <w:r w:rsidRPr="00635FC7">
        <w:rPr>
          <w:color w:val="000000" w:themeColor="text1"/>
          <w:sz w:val="24"/>
          <w:szCs w:val="24"/>
        </w:rPr>
        <w:t>.</w:t>
      </w:r>
      <w:r w:rsidR="00221970" w:rsidRPr="00635FC7">
        <w:rPr>
          <w:color w:val="000000" w:themeColor="text1"/>
          <w:sz w:val="24"/>
          <w:szCs w:val="24"/>
        </w:rPr>
        <w:t>27</w:t>
      </w:r>
      <w:r w:rsidRPr="00635FC7">
        <w:rPr>
          <w:color w:val="000000" w:themeColor="text1"/>
          <w:sz w:val="24"/>
          <w:szCs w:val="24"/>
        </w:rPr>
        <w:t>,</w:t>
      </w:r>
    </w:p>
    <w:p w:rsidR="00D44B7E" w:rsidRDefault="00221970" w:rsidP="002219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221970">
        <w:rPr>
          <w:sz w:val="24"/>
          <w:szCs w:val="24"/>
        </w:rPr>
        <w:t>The informative</w:t>
      </w:r>
      <w:r>
        <w:rPr>
          <w:sz w:val="24"/>
          <w:szCs w:val="24"/>
        </w:rPr>
        <w:t xml:space="preserve"> </w:t>
      </w:r>
      <w:r w:rsidRPr="00221970">
        <w:rPr>
          <w:sz w:val="24"/>
          <w:szCs w:val="24"/>
        </w:rPr>
        <w:t>diagram shown in Figure 6-12 (Event protocol exchange) illustrates the Event Request and Event Report</w:t>
      </w:r>
      <w:r>
        <w:rPr>
          <w:sz w:val="24"/>
          <w:szCs w:val="24"/>
        </w:rPr>
        <w:t xml:space="preserve"> </w:t>
      </w:r>
      <w:r w:rsidRPr="00221970">
        <w:rPr>
          <w:sz w:val="24"/>
          <w:szCs w:val="24"/>
        </w:rPr>
        <w:t>process and is not meant to be exhaustive of all possible protocol uses.</w:t>
      </w:r>
      <w:r>
        <w:rPr>
          <w:sz w:val="24"/>
          <w:szCs w:val="24"/>
        </w:rPr>
        <w:t>”</w:t>
      </w:r>
    </w:p>
    <w:p w:rsidR="00221970" w:rsidRDefault="00221970" w:rsidP="002219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221970">
        <w:rPr>
          <w:sz w:val="24"/>
          <w:szCs w:val="24"/>
        </w:rPr>
        <w:t>The</w:t>
      </w:r>
      <w:r w:rsidR="00CE3E3B" w:rsidRPr="00221970">
        <w:rPr>
          <w:sz w:val="24"/>
          <w:szCs w:val="24"/>
        </w:rPr>
        <w:t xml:space="preserve"> </w:t>
      </w:r>
      <w:r w:rsidR="00CE3E3B" w:rsidRPr="00CE3E3B">
        <w:rPr>
          <w:strike/>
          <w:sz w:val="24"/>
          <w:szCs w:val="24"/>
          <w:highlight w:val="yellow"/>
        </w:rPr>
        <w:t>informative</w:t>
      </w:r>
      <w:r>
        <w:rPr>
          <w:sz w:val="24"/>
          <w:szCs w:val="24"/>
        </w:rPr>
        <w:t xml:space="preserve"> </w:t>
      </w:r>
      <w:r w:rsidRPr="00221970">
        <w:rPr>
          <w:sz w:val="24"/>
          <w:szCs w:val="24"/>
        </w:rPr>
        <w:t xml:space="preserve">diagram </w:t>
      </w:r>
      <w:r w:rsidRPr="00BC32A2">
        <w:rPr>
          <w:strike/>
          <w:sz w:val="24"/>
          <w:szCs w:val="24"/>
          <w:highlight w:val="yellow"/>
        </w:rPr>
        <w:t>shown</w:t>
      </w:r>
      <w:r w:rsidRPr="00221970">
        <w:rPr>
          <w:sz w:val="24"/>
          <w:szCs w:val="24"/>
        </w:rPr>
        <w:t xml:space="preserve"> in Figure 6-12 (Event protocol exchange) </w:t>
      </w:r>
      <w:r w:rsidR="00AC7C73" w:rsidRPr="00F46A7B">
        <w:rPr>
          <w:sz w:val="24"/>
          <w:szCs w:val="24"/>
          <w:highlight w:val="cyan"/>
        </w:rPr>
        <w:t>shows</w:t>
      </w:r>
      <w:r w:rsidRPr="00221970">
        <w:rPr>
          <w:sz w:val="24"/>
          <w:szCs w:val="24"/>
        </w:rPr>
        <w:t xml:space="preserve"> the Event Request and Event Report</w:t>
      </w:r>
      <w:r>
        <w:rPr>
          <w:sz w:val="24"/>
          <w:szCs w:val="24"/>
        </w:rPr>
        <w:t xml:space="preserve"> </w:t>
      </w:r>
      <w:r w:rsidRPr="00221970">
        <w:rPr>
          <w:sz w:val="24"/>
          <w:szCs w:val="24"/>
        </w:rPr>
        <w:t xml:space="preserve">process </w:t>
      </w:r>
      <w:r w:rsidRPr="003C37E6">
        <w:rPr>
          <w:strike/>
          <w:sz w:val="24"/>
          <w:szCs w:val="24"/>
          <w:highlight w:val="yellow"/>
        </w:rPr>
        <w:t>and is not meant to be exhaustive of all possible protocol uses</w:t>
      </w:r>
      <w:r w:rsidRPr="00221970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221970" w:rsidRDefault="00221970" w:rsidP="002219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21970" w:rsidRDefault="00221970" w:rsidP="002219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A925E5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A925E5">
        <w:rPr>
          <w:sz w:val="24"/>
          <w:szCs w:val="24"/>
        </w:rPr>
        <w:t>6</w:t>
      </w:r>
      <w:r>
        <w:rPr>
          <w:sz w:val="24"/>
          <w:szCs w:val="24"/>
        </w:rPr>
        <w:t>,</w:t>
      </w:r>
    </w:p>
    <w:p w:rsidR="00221970" w:rsidRDefault="00A925E5" w:rsidP="00A925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A925E5">
        <w:rPr>
          <w:sz w:val="24"/>
          <w:szCs w:val="24"/>
        </w:rPr>
        <w:t>The informative diagram</w:t>
      </w:r>
      <w:r>
        <w:rPr>
          <w:sz w:val="24"/>
          <w:szCs w:val="24"/>
        </w:rPr>
        <w:t xml:space="preserve"> </w:t>
      </w:r>
      <w:r w:rsidRPr="00A925E5">
        <w:rPr>
          <w:sz w:val="24"/>
          <w:szCs w:val="24"/>
        </w:rPr>
        <w:t>shown in Figure 6-13 (Diagnostic protocol exchange) depicts the diagnostic reporting process and is not</w:t>
      </w:r>
      <w:r>
        <w:rPr>
          <w:sz w:val="24"/>
          <w:szCs w:val="24"/>
        </w:rPr>
        <w:t xml:space="preserve"> </w:t>
      </w:r>
      <w:r w:rsidRPr="00A925E5">
        <w:rPr>
          <w:sz w:val="24"/>
          <w:szCs w:val="24"/>
        </w:rPr>
        <w:t>meant to be exhaustive of all possible protocol uses.</w:t>
      </w:r>
      <w:r>
        <w:rPr>
          <w:sz w:val="24"/>
          <w:szCs w:val="24"/>
        </w:rPr>
        <w:t>”</w:t>
      </w:r>
    </w:p>
    <w:p w:rsidR="00A925E5" w:rsidRDefault="00A925E5" w:rsidP="00A925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A925E5">
        <w:rPr>
          <w:sz w:val="24"/>
          <w:szCs w:val="24"/>
        </w:rPr>
        <w:t xml:space="preserve">The </w:t>
      </w:r>
      <w:r w:rsidR="00EB67FF" w:rsidRPr="00CE3E3B">
        <w:rPr>
          <w:strike/>
          <w:sz w:val="24"/>
          <w:szCs w:val="24"/>
          <w:highlight w:val="yellow"/>
        </w:rPr>
        <w:t>informative</w:t>
      </w:r>
      <w:r w:rsidR="00EB67FF">
        <w:rPr>
          <w:sz w:val="24"/>
          <w:szCs w:val="24"/>
        </w:rPr>
        <w:t xml:space="preserve"> </w:t>
      </w:r>
      <w:r w:rsidR="00EB67FF" w:rsidRPr="00221970">
        <w:rPr>
          <w:sz w:val="24"/>
          <w:szCs w:val="24"/>
        </w:rPr>
        <w:t xml:space="preserve">diagram </w:t>
      </w:r>
      <w:r w:rsidR="00EB67FF" w:rsidRPr="00BC32A2">
        <w:rPr>
          <w:strike/>
          <w:sz w:val="24"/>
          <w:szCs w:val="24"/>
          <w:highlight w:val="yellow"/>
        </w:rPr>
        <w:t>shown</w:t>
      </w:r>
      <w:r w:rsidRPr="00A925E5">
        <w:rPr>
          <w:sz w:val="24"/>
          <w:szCs w:val="24"/>
        </w:rPr>
        <w:t xml:space="preserve"> in Figure 6-13 (Diagn</w:t>
      </w:r>
      <w:r w:rsidR="00EB67FF">
        <w:rPr>
          <w:sz w:val="24"/>
          <w:szCs w:val="24"/>
        </w:rPr>
        <w:t xml:space="preserve">ostic protocol exchange) </w:t>
      </w:r>
      <w:r w:rsidR="00EB67FF" w:rsidRPr="00EB67FF">
        <w:rPr>
          <w:sz w:val="24"/>
          <w:szCs w:val="24"/>
          <w:highlight w:val="cyan"/>
        </w:rPr>
        <w:t>shows</w:t>
      </w:r>
      <w:r w:rsidRPr="00A925E5">
        <w:rPr>
          <w:sz w:val="24"/>
          <w:szCs w:val="24"/>
        </w:rPr>
        <w:t xml:space="preserve"> the diagnostic reporting process </w:t>
      </w:r>
      <w:r w:rsidRPr="00EB67FF">
        <w:rPr>
          <w:strike/>
          <w:sz w:val="24"/>
          <w:szCs w:val="24"/>
          <w:highlight w:val="yellow"/>
        </w:rPr>
        <w:t>and is not meant to be exhaustive of all possible protocol uses</w:t>
      </w:r>
      <w:r w:rsidRPr="00A925E5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A925E5" w:rsidRDefault="00A925E5" w:rsidP="00A925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D6C14" w:rsidRDefault="003D6C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925E5" w:rsidRDefault="00A925E5" w:rsidP="00A925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51</w:t>
      </w:r>
      <w:r w:rsidR="008C0471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8C0471">
        <w:rPr>
          <w:sz w:val="24"/>
          <w:szCs w:val="24"/>
        </w:rPr>
        <w:t>58</w:t>
      </w:r>
      <w:r>
        <w:rPr>
          <w:sz w:val="24"/>
          <w:szCs w:val="24"/>
        </w:rPr>
        <w:t>,</w:t>
      </w:r>
    </w:p>
    <w:p w:rsidR="00A925E5" w:rsidRDefault="008C0471" w:rsidP="008C04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8C0471">
        <w:rPr>
          <w:sz w:val="24"/>
          <w:szCs w:val="24"/>
        </w:rPr>
        <w:t>The informative diagram shown in Figure 6-14 (Location configuration request and response</w:t>
      </w:r>
      <w:r>
        <w:rPr>
          <w:sz w:val="24"/>
          <w:szCs w:val="24"/>
        </w:rPr>
        <w:t xml:space="preserve"> </w:t>
      </w:r>
      <w:r w:rsidRPr="008C0471">
        <w:rPr>
          <w:sz w:val="24"/>
          <w:szCs w:val="24"/>
        </w:rPr>
        <w:t>protocol exchange) depicts the location configuration request and response process and is not meant to be</w:t>
      </w:r>
      <w:r>
        <w:rPr>
          <w:sz w:val="24"/>
          <w:szCs w:val="24"/>
        </w:rPr>
        <w:t xml:space="preserve"> </w:t>
      </w:r>
      <w:r w:rsidRPr="008C0471">
        <w:rPr>
          <w:sz w:val="24"/>
          <w:szCs w:val="24"/>
        </w:rPr>
        <w:t>exhaustive of all possible protocol uses.</w:t>
      </w:r>
      <w:r>
        <w:rPr>
          <w:sz w:val="24"/>
          <w:szCs w:val="24"/>
        </w:rPr>
        <w:t>”</w:t>
      </w:r>
    </w:p>
    <w:p w:rsidR="008C0471" w:rsidRDefault="008C0471" w:rsidP="008C04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="00111E08" w:rsidRPr="00A925E5">
        <w:rPr>
          <w:sz w:val="24"/>
          <w:szCs w:val="24"/>
        </w:rPr>
        <w:t xml:space="preserve">The </w:t>
      </w:r>
      <w:r w:rsidR="00111E08" w:rsidRPr="00CE3E3B">
        <w:rPr>
          <w:strike/>
          <w:sz w:val="24"/>
          <w:szCs w:val="24"/>
          <w:highlight w:val="yellow"/>
        </w:rPr>
        <w:t>informative</w:t>
      </w:r>
      <w:r w:rsidR="00111E08">
        <w:rPr>
          <w:sz w:val="24"/>
          <w:szCs w:val="24"/>
        </w:rPr>
        <w:t xml:space="preserve"> </w:t>
      </w:r>
      <w:r w:rsidR="00111E08" w:rsidRPr="00221970">
        <w:rPr>
          <w:sz w:val="24"/>
          <w:szCs w:val="24"/>
        </w:rPr>
        <w:t xml:space="preserve">diagram </w:t>
      </w:r>
      <w:r w:rsidR="00111E08" w:rsidRPr="00BC32A2">
        <w:rPr>
          <w:strike/>
          <w:sz w:val="24"/>
          <w:szCs w:val="24"/>
          <w:highlight w:val="yellow"/>
        </w:rPr>
        <w:t>shown</w:t>
      </w:r>
      <w:r w:rsidRPr="008C0471">
        <w:rPr>
          <w:sz w:val="24"/>
          <w:szCs w:val="24"/>
        </w:rPr>
        <w:t xml:space="preserve"> in Figure 6-14 (Location configuration request and response</w:t>
      </w:r>
      <w:r>
        <w:rPr>
          <w:sz w:val="24"/>
          <w:szCs w:val="24"/>
        </w:rPr>
        <w:t xml:space="preserve"> </w:t>
      </w:r>
      <w:r w:rsidRPr="008C0471">
        <w:rPr>
          <w:sz w:val="24"/>
          <w:szCs w:val="24"/>
        </w:rPr>
        <w:t xml:space="preserve">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8C0471">
        <w:rPr>
          <w:sz w:val="24"/>
          <w:szCs w:val="24"/>
        </w:rPr>
        <w:t xml:space="preserve"> the location configuration request and response process </w:t>
      </w:r>
      <w:r w:rsidR="00111E08" w:rsidRPr="00EB67FF">
        <w:rPr>
          <w:strike/>
          <w:sz w:val="24"/>
          <w:szCs w:val="24"/>
          <w:highlight w:val="yellow"/>
        </w:rPr>
        <w:t>and is not meant to be exhaustive of all possible protocol uses</w:t>
      </w:r>
      <w:r w:rsidRPr="008C0471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8C0471" w:rsidRDefault="008C0471" w:rsidP="008C04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8C0471" w:rsidRDefault="008C0471" w:rsidP="008C04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DE1B1C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DE1B1C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8C0471" w:rsidRDefault="00DE1B1C" w:rsidP="00DE1B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DE1B1C">
        <w:rPr>
          <w:sz w:val="24"/>
          <w:szCs w:val="24"/>
        </w:rPr>
        <w:t>The informative diagram in Figure 6-15 (Location track notification protocol exchange) depicts the location</w:t>
      </w:r>
      <w:r>
        <w:rPr>
          <w:sz w:val="24"/>
          <w:szCs w:val="24"/>
        </w:rPr>
        <w:t xml:space="preserve"> </w:t>
      </w:r>
      <w:r w:rsidRPr="00DE1B1C">
        <w:rPr>
          <w:sz w:val="24"/>
          <w:szCs w:val="24"/>
        </w:rPr>
        <w:t>track notification process, is not meant to be exhaustive of all possible protocol uses.</w:t>
      </w:r>
      <w:r>
        <w:rPr>
          <w:sz w:val="24"/>
          <w:szCs w:val="24"/>
        </w:rPr>
        <w:t>”</w:t>
      </w:r>
    </w:p>
    <w:p w:rsidR="00DE1B1C" w:rsidRDefault="00DE1B1C" w:rsidP="00DE1B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="00111E08" w:rsidRPr="00A925E5">
        <w:rPr>
          <w:sz w:val="24"/>
          <w:szCs w:val="24"/>
        </w:rPr>
        <w:t xml:space="preserve">The </w:t>
      </w:r>
      <w:r w:rsidR="00111E08" w:rsidRPr="00CE3E3B">
        <w:rPr>
          <w:strike/>
          <w:sz w:val="24"/>
          <w:szCs w:val="24"/>
          <w:highlight w:val="yellow"/>
        </w:rPr>
        <w:t>informative</w:t>
      </w:r>
      <w:r w:rsidR="00111E08">
        <w:rPr>
          <w:sz w:val="24"/>
          <w:szCs w:val="24"/>
        </w:rPr>
        <w:t xml:space="preserve"> </w:t>
      </w:r>
      <w:r w:rsidR="00111E08" w:rsidRPr="00221970">
        <w:rPr>
          <w:sz w:val="24"/>
          <w:szCs w:val="24"/>
        </w:rPr>
        <w:t xml:space="preserve">diagram </w:t>
      </w:r>
      <w:r w:rsidR="00111E08" w:rsidRPr="00BC32A2">
        <w:rPr>
          <w:strike/>
          <w:sz w:val="24"/>
          <w:szCs w:val="24"/>
          <w:highlight w:val="yellow"/>
        </w:rPr>
        <w:t>shown</w:t>
      </w:r>
      <w:r w:rsidRPr="00DE1B1C">
        <w:rPr>
          <w:sz w:val="24"/>
          <w:szCs w:val="24"/>
        </w:rPr>
        <w:t xml:space="preserve"> in Figure 6-15 (Location track notification 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DE1B1C">
        <w:rPr>
          <w:sz w:val="24"/>
          <w:szCs w:val="24"/>
        </w:rPr>
        <w:t xml:space="preserve"> the location</w:t>
      </w:r>
      <w:r>
        <w:rPr>
          <w:sz w:val="24"/>
          <w:szCs w:val="24"/>
        </w:rPr>
        <w:t xml:space="preserve"> </w:t>
      </w:r>
      <w:r w:rsidRPr="00DE1B1C">
        <w:rPr>
          <w:sz w:val="24"/>
          <w:szCs w:val="24"/>
        </w:rPr>
        <w:t>track notification process</w:t>
      </w:r>
      <w:r w:rsidRPr="00111E08">
        <w:rPr>
          <w:strike/>
          <w:sz w:val="24"/>
          <w:szCs w:val="24"/>
          <w:highlight w:val="yellow"/>
        </w:rPr>
        <w:t>, is not meant to be exhaustive of all possible protocol uses</w:t>
      </w:r>
      <w:r w:rsidRPr="00DE1B1C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DE1B1C" w:rsidRDefault="00DE1B1C" w:rsidP="00DE1B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DE1B1C" w:rsidRDefault="00DE1B1C" w:rsidP="00DE1B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AB3A35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AB3A35">
        <w:rPr>
          <w:sz w:val="24"/>
          <w:szCs w:val="24"/>
        </w:rPr>
        <w:t>3</w:t>
      </w:r>
      <w:r>
        <w:rPr>
          <w:sz w:val="24"/>
          <w:szCs w:val="24"/>
        </w:rPr>
        <w:t>7,</w:t>
      </w:r>
    </w:p>
    <w:p w:rsidR="00DE1B1C" w:rsidRDefault="00AB3A35" w:rsidP="00AB3A3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AB3A35">
        <w:rPr>
          <w:sz w:val="24"/>
          <w:szCs w:val="24"/>
        </w:rPr>
        <w:t>The informative diagram in Figure 6-16 (Timing measurement primitives and timestamps</w:t>
      </w:r>
      <w:r>
        <w:rPr>
          <w:sz w:val="24"/>
          <w:szCs w:val="24"/>
        </w:rPr>
        <w:t xml:space="preserve"> </w:t>
      </w:r>
      <w:r w:rsidRPr="00AB3A35">
        <w:rPr>
          <w:sz w:val="24"/>
          <w:szCs w:val="24"/>
        </w:rPr>
        <w:t>capture(#1563)) depicts various points in time that are of interest to the timing measurement procedure.</w:t>
      </w:r>
      <w:r>
        <w:rPr>
          <w:sz w:val="24"/>
          <w:szCs w:val="24"/>
        </w:rPr>
        <w:t>”</w:t>
      </w:r>
    </w:p>
    <w:p w:rsidR="00AB3A35" w:rsidRDefault="00AB3A35" w:rsidP="00AB3A3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AB3A35">
        <w:rPr>
          <w:sz w:val="24"/>
          <w:szCs w:val="24"/>
        </w:rPr>
        <w:t xml:space="preserve">The </w:t>
      </w:r>
      <w:r w:rsidR="00C06080" w:rsidRPr="00CE3E3B">
        <w:rPr>
          <w:strike/>
          <w:sz w:val="24"/>
          <w:szCs w:val="24"/>
          <w:highlight w:val="yellow"/>
        </w:rPr>
        <w:t>informative</w:t>
      </w:r>
      <w:r w:rsidR="00C06080">
        <w:rPr>
          <w:sz w:val="24"/>
          <w:szCs w:val="24"/>
        </w:rPr>
        <w:t xml:space="preserve"> </w:t>
      </w:r>
      <w:r w:rsidR="00C06080" w:rsidRPr="00221970">
        <w:rPr>
          <w:sz w:val="24"/>
          <w:szCs w:val="24"/>
        </w:rPr>
        <w:t xml:space="preserve">diagram </w:t>
      </w:r>
      <w:r w:rsidR="00C06080" w:rsidRPr="00BC32A2">
        <w:rPr>
          <w:strike/>
          <w:sz w:val="24"/>
          <w:szCs w:val="24"/>
          <w:highlight w:val="yellow"/>
        </w:rPr>
        <w:t>shown</w:t>
      </w:r>
      <w:r w:rsidRPr="00AB3A35">
        <w:rPr>
          <w:sz w:val="24"/>
          <w:szCs w:val="24"/>
        </w:rPr>
        <w:t xml:space="preserve"> in Figure 6-16 (Timing measurement primitives and timestamps</w:t>
      </w:r>
      <w:r>
        <w:rPr>
          <w:sz w:val="24"/>
          <w:szCs w:val="24"/>
        </w:rPr>
        <w:t xml:space="preserve"> </w:t>
      </w:r>
      <w:r w:rsidRPr="00AB3A35">
        <w:rPr>
          <w:sz w:val="24"/>
          <w:szCs w:val="24"/>
        </w:rPr>
        <w:t xml:space="preserve">capture(#1563)) </w:t>
      </w:r>
      <w:r w:rsidR="00111E08" w:rsidRPr="00EB67FF">
        <w:rPr>
          <w:sz w:val="24"/>
          <w:szCs w:val="24"/>
          <w:highlight w:val="cyan"/>
        </w:rPr>
        <w:t>shows</w:t>
      </w:r>
      <w:r w:rsidRPr="00AB3A35">
        <w:rPr>
          <w:sz w:val="24"/>
          <w:szCs w:val="24"/>
        </w:rPr>
        <w:t xml:space="preserve"> various points in time that are of interest to the timing measurement procedure.</w:t>
      </w:r>
      <w:r>
        <w:rPr>
          <w:sz w:val="24"/>
          <w:szCs w:val="24"/>
        </w:rPr>
        <w:t>”</w:t>
      </w:r>
    </w:p>
    <w:p w:rsidR="00AB3A35" w:rsidRDefault="00AB3A35" w:rsidP="00AB3A3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AB3A35" w:rsidRDefault="00AB3A35" w:rsidP="00AB3A3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9767A0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9767A0">
        <w:rPr>
          <w:sz w:val="24"/>
          <w:szCs w:val="24"/>
        </w:rPr>
        <w:t>6</w:t>
      </w:r>
      <w:r>
        <w:rPr>
          <w:sz w:val="24"/>
          <w:szCs w:val="24"/>
        </w:rPr>
        <w:t>,</w:t>
      </w:r>
    </w:p>
    <w:p w:rsidR="00AB3A35" w:rsidRDefault="009767A0" w:rsidP="009767A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9767A0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9767A0">
        <w:rPr>
          <w:sz w:val="24"/>
          <w:szCs w:val="24"/>
        </w:rPr>
        <w:t>informative diagram in Figure 6-17 (Fine timing measurement primitives and timestamps capture) depicts</w:t>
      </w:r>
      <w:r>
        <w:rPr>
          <w:sz w:val="24"/>
          <w:szCs w:val="24"/>
        </w:rPr>
        <w:t xml:space="preserve"> </w:t>
      </w:r>
      <w:r w:rsidRPr="009767A0">
        <w:rPr>
          <w:sz w:val="24"/>
          <w:szCs w:val="24"/>
        </w:rPr>
        <w:t>various points in time that are of interest to the FTM procedure.</w:t>
      </w:r>
      <w:r>
        <w:rPr>
          <w:sz w:val="24"/>
          <w:szCs w:val="24"/>
        </w:rPr>
        <w:t>”</w:t>
      </w:r>
    </w:p>
    <w:p w:rsidR="009767A0" w:rsidRDefault="009767A0" w:rsidP="009767A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9767A0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C06080" w:rsidRPr="00CE3E3B">
        <w:rPr>
          <w:strike/>
          <w:sz w:val="24"/>
          <w:szCs w:val="24"/>
          <w:highlight w:val="yellow"/>
        </w:rPr>
        <w:t>informative</w:t>
      </w:r>
      <w:r w:rsidR="00C06080">
        <w:rPr>
          <w:sz w:val="24"/>
          <w:szCs w:val="24"/>
        </w:rPr>
        <w:t xml:space="preserve"> </w:t>
      </w:r>
      <w:r w:rsidR="00C06080" w:rsidRPr="00221970">
        <w:rPr>
          <w:sz w:val="24"/>
          <w:szCs w:val="24"/>
        </w:rPr>
        <w:t xml:space="preserve">diagram </w:t>
      </w:r>
      <w:r w:rsidR="00C06080" w:rsidRPr="00BC32A2">
        <w:rPr>
          <w:strike/>
          <w:sz w:val="24"/>
          <w:szCs w:val="24"/>
          <w:highlight w:val="yellow"/>
        </w:rPr>
        <w:t>shown</w:t>
      </w:r>
      <w:r w:rsidRPr="009767A0">
        <w:rPr>
          <w:sz w:val="24"/>
          <w:szCs w:val="24"/>
        </w:rPr>
        <w:t xml:space="preserve"> in Figure 6-17 (Fine timing measurement primitives and timestamps capture) </w:t>
      </w:r>
      <w:r w:rsidR="00111E08" w:rsidRPr="00EB67FF">
        <w:rPr>
          <w:sz w:val="24"/>
          <w:szCs w:val="24"/>
          <w:highlight w:val="cyan"/>
        </w:rPr>
        <w:t>shows</w:t>
      </w:r>
      <w:r>
        <w:rPr>
          <w:sz w:val="24"/>
          <w:szCs w:val="24"/>
        </w:rPr>
        <w:t xml:space="preserve"> </w:t>
      </w:r>
      <w:r w:rsidRPr="009767A0">
        <w:rPr>
          <w:sz w:val="24"/>
          <w:szCs w:val="24"/>
        </w:rPr>
        <w:t>various points in time that are of interest to the FTM procedure.</w:t>
      </w:r>
      <w:r>
        <w:rPr>
          <w:sz w:val="24"/>
          <w:szCs w:val="24"/>
        </w:rPr>
        <w:t>”</w:t>
      </w:r>
    </w:p>
    <w:p w:rsidR="003D0ACB" w:rsidRDefault="003D0ACB" w:rsidP="003D0AC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D0ACB" w:rsidRDefault="003D0ACB" w:rsidP="003D0AC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B5267A">
        <w:rPr>
          <w:sz w:val="24"/>
          <w:szCs w:val="24"/>
        </w:rPr>
        <w:t>34</w:t>
      </w:r>
      <w:r>
        <w:rPr>
          <w:sz w:val="24"/>
          <w:szCs w:val="24"/>
        </w:rPr>
        <w:t>.</w:t>
      </w:r>
      <w:r w:rsidR="00B5267A">
        <w:rPr>
          <w:sz w:val="24"/>
          <w:szCs w:val="24"/>
        </w:rPr>
        <w:t>40</w:t>
      </w:r>
      <w:r>
        <w:rPr>
          <w:sz w:val="24"/>
          <w:szCs w:val="24"/>
        </w:rPr>
        <w:t>,</w:t>
      </w:r>
    </w:p>
    <w:p w:rsidR="009767A0" w:rsidRDefault="00B5267A" w:rsidP="00B526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B5267A">
        <w:rPr>
          <w:sz w:val="24"/>
          <w:szCs w:val="24"/>
        </w:rPr>
        <w:t>The informative diagram shown in Figure 6-18 (BSS transition management request—accepted) depicts the</w:t>
      </w:r>
      <w:r>
        <w:rPr>
          <w:sz w:val="24"/>
          <w:szCs w:val="24"/>
        </w:rPr>
        <w:t xml:space="preserve"> </w:t>
      </w:r>
      <w:r w:rsidRPr="00B5267A">
        <w:rPr>
          <w:sz w:val="24"/>
          <w:szCs w:val="24"/>
        </w:rPr>
        <w:t>BSS transition management procedure and is not meant to be exhaustive of all possible protocol uses.</w:t>
      </w:r>
      <w:r>
        <w:rPr>
          <w:sz w:val="24"/>
          <w:szCs w:val="24"/>
        </w:rPr>
        <w:t>”</w:t>
      </w:r>
    </w:p>
    <w:p w:rsidR="00B5267A" w:rsidRDefault="00B5267A" w:rsidP="00B526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B5267A">
        <w:rPr>
          <w:sz w:val="24"/>
          <w:szCs w:val="24"/>
        </w:rPr>
        <w:t xml:space="preserve">The </w:t>
      </w:r>
      <w:r w:rsidR="00C06080" w:rsidRPr="00CE3E3B">
        <w:rPr>
          <w:strike/>
          <w:sz w:val="24"/>
          <w:szCs w:val="24"/>
          <w:highlight w:val="yellow"/>
        </w:rPr>
        <w:t>informative</w:t>
      </w:r>
      <w:r w:rsidR="00C06080">
        <w:rPr>
          <w:sz w:val="24"/>
          <w:szCs w:val="24"/>
        </w:rPr>
        <w:t xml:space="preserve"> </w:t>
      </w:r>
      <w:r w:rsidR="00C06080" w:rsidRPr="00221970">
        <w:rPr>
          <w:sz w:val="24"/>
          <w:szCs w:val="24"/>
        </w:rPr>
        <w:t xml:space="preserve">diagram </w:t>
      </w:r>
      <w:r w:rsidR="00C06080" w:rsidRPr="00BC32A2">
        <w:rPr>
          <w:strike/>
          <w:sz w:val="24"/>
          <w:szCs w:val="24"/>
          <w:highlight w:val="yellow"/>
        </w:rPr>
        <w:t>shown</w:t>
      </w:r>
      <w:r w:rsidRPr="00B5267A">
        <w:rPr>
          <w:sz w:val="24"/>
          <w:szCs w:val="24"/>
        </w:rPr>
        <w:t xml:space="preserve"> shown in Figure 6-18 (BSS transition management request—accepted) </w:t>
      </w:r>
      <w:r w:rsidR="00111E08" w:rsidRPr="00EB67FF">
        <w:rPr>
          <w:sz w:val="24"/>
          <w:szCs w:val="24"/>
          <w:highlight w:val="cyan"/>
        </w:rPr>
        <w:t>shows</w:t>
      </w:r>
      <w:r w:rsidRPr="00B5267A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B5267A">
        <w:rPr>
          <w:sz w:val="24"/>
          <w:szCs w:val="24"/>
        </w:rPr>
        <w:t xml:space="preserve">BSS transition management procedure </w:t>
      </w:r>
      <w:r w:rsidRPr="00C06080">
        <w:rPr>
          <w:strike/>
          <w:sz w:val="24"/>
          <w:szCs w:val="24"/>
          <w:highlight w:val="yellow"/>
        </w:rPr>
        <w:t>and is not meant to be exhaustive of all possible protocol uses</w:t>
      </w:r>
      <w:r w:rsidRPr="00B5267A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4B200E" w:rsidRDefault="004B200E" w:rsidP="004B200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4B200E" w:rsidRDefault="004B200E" w:rsidP="00B526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 </w:t>
      </w:r>
      <w:r w:rsidR="00176087">
        <w:rPr>
          <w:sz w:val="24"/>
          <w:szCs w:val="24"/>
        </w:rPr>
        <w:t>542.12,</w:t>
      </w:r>
    </w:p>
    <w:p w:rsidR="00176087" w:rsidRDefault="00176087" w:rsidP="001760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176087">
        <w:rPr>
          <w:sz w:val="24"/>
          <w:szCs w:val="24"/>
        </w:rPr>
        <w:t>The informative diagram shown in</w:t>
      </w:r>
      <w:r>
        <w:rPr>
          <w:sz w:val="24"/>
          <w:szCs w:val="24"/>
        </w:rPr>
        <w:t xml:space="preserve"> </w:t>
      </w:r>
      <w:r w:rsidRPr="00176087">
        <w:rPr>
          <w:sz w:val="24"/>
          <w:szCs w:val="24"/>
        </w:rPr>
        <w:t>Figure 6-19 (FMS setup protocol exchange) depicts the FMS setup process and is not meant to be exhaustive</w:t>
      </w:r>
      <w:r>
        <w:rPr>
          <w:sz w:val="24"/>
          <w:szCs w:val="24"/>
        </w:rPr>
        <w:t xml:space="preserve"> </w:t>
      </w:r>
      <w:r w:rsidRPr="00176087">
        <w:rPr>
          <w:sz w:val="24"/>
          <w:szCs w:val="24"/>
        </w:rPr>
        <w:t>of all possible protocol uses.</w:t>
      </w:r>
      <w:r>
        <w:rPr>
          <w:sz w:val="24"/>
          <w:szCs w:val="24"/>
        </w:rPr>
        <w:t>”</w:t>
      </w:r>
    </w:p>
    <w:p w:rsidR="00176087" w:rsidRDefault="00176087" w:rsidP="001760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176087">
        <w:rPr>
          <w:sz w:val="24"/>
          <w:szCs w:val="24"/>
        </w:rPr>
        <w:t xml:space="preserve">The </w:t>
      </w:r>
      <w:r w:rsidR="00C06080" w:rsidRPr="00CE3E3B">
        <w:rPr>
          <w:strike/>
          <w:sz w:val="24"/>
          <w:szCs w:val="24"/>
          <w:highlight w:val="yellow"/>
        </w:rPr>
        <w:t>informative</w:t>
      </w:r>
      <w:r w:rsidR="00C06080">
        <w:rPr>
          <w:sz w:val="24"/>
          <w:szCs w:val="24"/>
        </w:rPr>
        <w:t xml:space="preserve"> </w:t>
      </w:r>
      <w:r w:rsidR="00C06080" w:rsidRPr="00221970">
        <w:rPr>
          <w:sz w:val="24"/>
          <w:szCs w:val="24"/>
        </w:rPr>
        <w:t xml:space="preserve">diagram </w:t>
      </w:r>
      <w:r w:rsidR="00C06080" w:rsidRPr="00BC32A2">
        <w:rPr>
          <w:strike/>
          <w:sz w:val="24"/>
          <w:szCs w:val="24"/>
          <w:highlight w:val="yellow"/>
        </w:rPr>
        <w:t>shown</w:t>
      </w:r>
      <w:r w:rsidRPr="00176087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Pr="00176087">
        <w:rPr>
          <w:sz w:val="24"/>
          <w:szCs w:val="24"/>
        </w:rPr>
        <w:t xml:space="preserve">Figure 6-19 (FMS setup 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176087">
        <w:rPr>
          <w:sz w:val="24"/>
          <w:szCs w:val="24"/>
        </w:rPr>
        <w:t xml:space="preserve"> the FMS setup process </w:t>
      </w:r>
      <w:r w:rsidRPr="00C06080">
        <w:rPr>
          <w:strike/>
          <w:sz w:val="24"/>
          <w:szCs w:val="24"/>
          <w:highlight w:val="yellow"/>
        </w:rPr>
        <w:t>and is not meant to be exhaustive of all possible protocol uses</w:t>
      </w:r>
      <w:r w:rsidRPr="00176087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176087" w:rsidRDefault="00176087" w:rsidP="001760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176087" w:rsidRDefault="00176087" w:rsidP="001760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54</w:t>
      </w:r>
      <w:r w:rsidR="005237A8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5237A8">
        <w:rPr>
          <w:sz w:val="24"/>
          <w:szCs w:val="24"/>
        </w:rPr>
        <w:t>56</w:t>
      </w:r>
      <w:r>
        <w:rPr>
          <w:sz w:val="24"/>
          <w:szCs w:val="24"/>
        </w:rPr>
        <w:t>,</w:t>
      </w:r>
    </w:p>
    <w:p w:rsidR="00176087" w:rsidRDefault="005237A8" w:rsidP="005237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5237A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</w:rPr>
        <w:t>informative diagram shown in Figure 6-20 (Collocated interference protocol exchange) depicts the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</w:rPr>
        <w:t>Collocated Interference request and response process and is not meant to be exhaustive of all possible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</w:rPr>
        <w:t>protocol uses.</w:t>
      </w:r>
      <w:r>
        <w:rPr>
          <w:sz w:val="24"/>
          <w:szCs w:val="24"/>
        </w:rPr>
        <w:t>”</w:t>
      </w:r>
    </w:p>
    <w:p w:rsidR="005237A8" w:rsidRDefault="005237A8" w:rsidP="005237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5237A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C06080" w:rsidRPr="00CE3E3B">
        <w:rPr>
          <w:strike/>
          <w:sz w:val="24"/>
          <w:szCs w:val="24"/>
          <w:highlight w:val="yellow"/>
        </w:rPr>
        <w:t>informative</w:t>
      </w:r>
      <w:r w:rsidR="00C06080">
        <w:rPr>
          <w:sz w:val="24"/>
          <w:szCs w:val="24"/>
        </w:rPr>
        <w:t xml:space="preserve"> </w:t>
      </w:r>
      <w:r w:rsidR="00C06080" w:rsidRPr="00221970">
        <w:rPr>
          <w:sz w:val="24"/>
          <w:szCs w:val="24"/>
        </w:rPr>
        <w:t xml:space="preserve">diagram </w:t>
      </w:r>
      <w:r w:rsidR="00C06080" w:rsidRPr="00BC32A2">
        <w:rPr>
          <w:strike/>
          <w:sz w:val="24"/>
          <w:szCs w:val="24"/>
          <w:highlight w:val="yellow"/>
        </w:rPr>
        <w:t>shown</w:t>
      </w:r>
      <w:r w:rsidRPr="005237A8">
        <w:rPr>
          <w:sz w:val="24"/>
          <w:szCs w:val="24"/>
        </w:rPr>
        <w:t xml:space="preserve"> in Figure 6-20 (Collocated interference 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5237A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</w:rPr>
        <w:t xml:space="preserve">Collocated Interference request and response process </w:t>
      </w:r>
      <w:r w:rsidRPr="00C06080">
        <w:rPr>
          <w:strike/>
          <w:sz w:val="24"/>
          <w:szCs w:val="24"/>
          <w:highlight w:val="yellow"/>
        </w:rPr>
        <w:t>and is not meant to be exhaustive of all possible protocol uses</w:t>
      </w:r>
      <w:r w:rsidRPr="005237A8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5237A8" w:rsidRDefault="005237A8" w:rsidP="005237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5237A8" w:rsidRDefault="005237A8" w:rsidP="005237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2C4F02">
        <w:rPr>
          <w:sz w:val="24"/>
          <w:szCs w:val="24"/>
        </w:rPr>
        <w:t>5</w:t>
      </w:r>
      <w:r>
        <w:rPr>
          <w:sz w:val="24"/>
          <w:szCs w:val="24"/>
        </w:rPr>
        <w:t>5</w:t>
      </w:r>
      <w:r w:rsidR="002C4F02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2C4F02">
        <w:rPr>
          <w:sz w:val="24"/>
          <w:szCs w:val="24"/>
        </w:rPr>
        <w:t>33</w:t>
      </w:r>
      <w:r>
        <w:rPr>
          <w:sz w:val="24"/>
          <w:szCs w:val="24"/>
        </w:rPr>
        <w:t>,</w:t>
      </w:r>
    </w:p>
    <w:p w:rsidR="005237A8" w:rsidRDefault="002C4F02" w:rsidP="002C4F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2C4F02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2C4F02">
        <w:rPr>
          <w:sz w:val="24"/>
          <w:szCs w:val="24"/>
        </w:rPr>
        <w:t>informative diagram shown in Figure 6-21 (TFS request and response exchange) depicts the TFS request</w:t>
      </w:r>
      <w:r>
        <w:rPr>
          <w:sz w:val="24"/>
          <w:szCs w:val="24"/>
        </w:rPr>
        <w:t xml:space="preserve"> </w:t>
      </w:r>
      <w:r w:rsidRPr="002C4F02">
        <w:rPr>
          <w:sz w:val="24"/>
          <w:szCs w:val="24"/>
        </w:rPr>
        <w:t>and response process and is not meant to be exhaustive of all possible protocol uses.</w:t>
      </w:r>
      <w:r>
        <w:rPr>
          <w:sz w:val="24"/>
          <w:szCs w:val="24"/>
        </w:rPr>
        <w:t>”</w:t>
      </w:r>
    </w:p>
    <w:p w:rsidR="002C4F02" w:rsidRDefault="002C4F02" w:rsidP="002C4F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2C4F02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D77888" w:rsidRPr="00CE3E3B">
        <w:rPr>
          <w:strike/>
          <w:sz w:val="24"/>
          <w:szCs w:val="24"/>
          <w:highlight w:val="yellow"/>
        </w:rPr>
        <w:t>informative</w:t>
      </w:r>
      <w:r w:rsidR="00D77888">
        <w:rPr>
          <w:sz w:val="24"/>
          <w:szCs w:val="24"/>
        </w:rPr>
        <w:t xml:space="preserve"> </w:t>
      </w:r>
      <w:r w:rsidR="00D77888" w:rsidRPr="00221970">
        <w:rPr>
          <w:sz w:val="24"/>
          <w:szCs w:val="24"/>
        </w:rPr>
        <w:t xml:space="preserve">diagram </w:t>
      </w:r>
      <w:r w:rsidR="00D77888" w:rsidRPr="00BC32A2">
        <w:rPr>
          <w:strike/>
          <w:sz w:val="24"/>
          <w:szCs w:val="24"/>
          <w:highlight w:val="yellow"/>
        </w:rPr>
        <w:t>shown</w:t>
      </w:r>
      <w:r w:rsidRPr="002C4F02">
        <w:rPr>
          <w:sz w:val="24"/>
          <w:szCs w:val="24"/>
        </w:rPr>
        <w:t xml:space="preserve"> in Figure 6-21 (TFS request and response exchange) </w:t>
      </w:r>
      <w:r w:rsidR="00111E08" w:rsidRPr="00EB67FF">
        <w:rPr>
          <w:sz w:val="24"/>
          <w:szCs w:val="24"/>
          <w:highlight w:val="cyan"/>
        </w:rPr>
        <w:t>shows</w:t>
      </w:r>
      <w:r w:rsidRPr="002C4F02">
        <w:rPr>
          <w:sz w:val="24"/>
          <w:szCs w:val="24"/>
        </w:rPr>
        <w:t xml:space="preserve"> the TFS request</w:t>
      </w:r>
      <w:r>
        <w:rPr>
          <w:sz w:val="24"/>
          <w:szCs w:val="24"/>
        </w:rPr>
        <w:t xml:space="preserve"> </w:t>
      </w:r>
      <w:r w:rsidRPr="002C4F02">
        <w:rPr>
          <w:sz w:val="24"/>
          <w:szCs w:val="24"/>
        </w:rPr>
        <w:t xml:space="preserve">and response process </w:t>
      </w:r>
      <w:r w:rsidRPr="00A90142">
        <w:rPr>
          <w:strike/>
          <w:sz w:val="24"/>
          <w:szCs w:val="24"/>
          <w:highlight w:val="yellow"/>
        </w:rPr>
        <w:t>and is not meant to be exhaustive of all possible protocol uses</w:t>
      </w:r>
      <w:r w:rsidRPr="002C4F02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2C4F02" w:rsidRDefault="002C4F02" w:rsidP="002C4F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C4F02" w:rsidRDefault="002C4F02" w:rsidP="002C4F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55</w:t>
      </w:r>
      <w:r w:rsidR="00ED70F8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ED70F8">
        <w:rPr>
          <w:sz w:val="24"/>
          <w:szCs w:val="24"/>
        </w:rPr>
        <w:t>6</w:t>
      </w:r>
      <w:r>
        <w:rPr>
          <w:sz w:val="24"/>
          <w:szCs w:val="24"/>
        </w:rPr>
        <w:t>,</w:t>
      </w:r>
    </w:p>
    <w:p w:rsidR="005237A8" w:rsidRDefault="00ED70F8" w:rsidP="00ED70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ED70F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ED70F8">
        <w:rPr>
          <w:sz w:val="24"/>
          <w:szCs w:val="24"/>
        </w:rPr>
        <w:t>informative diagram shown in Figure 6-22 (WNM sleep mode request and response exchange) depicts the</w:t>
      </w:r>
      <w:r>
        <w:rPr>
          <w:sz w:val="24"/>
          <w:szCs w:val="24"/>
        </w:rPr>
        <w:t xml:space="preserve"> </w:t>
      </w:r>
      <w:r w:rsidRPr="00ED70F8">
        <w:rPr>
          <w:sz w:val="24"/>
          <w:szCs w:val="24"/>
        </w:rPr>
        <w:t>sleep mode request and response process and is not meant to be exhaustive of all possible protocol uses.</w:t>
      </w:r>
      <w:r>
        <w:rPr>
          <w:sz w:val="24"/>
          <w:szCs w:val="24"/>
        </w:rPr>
        <w:t>”</w:t>
      </w:r>
    </w:p>
    <w:p w:rsidR="00ED70F8" w:rsidRDefault="00ED70F8" w:rsidP="00ED70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ED70F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D77888" w:rsidRPr="00CE3E3B">
        <w:rPr>
          <w:strike/>
          <w:sz w:val="24"/>
          <w:szCs w:val="24"/>
          <w:highlight w:val="yellow"/>
        </w:rPr>
        <w:t>informative</w:t>
      </w:r>
      <w:r w:rsidR="00D77888">
        <w:rPr>
          <w:sz w:val="24"/>
          <w:szCs w:val="24"/>
        </w:rPr>
        <w:t xml:space="preserve"> </w:t>
      </w:r>
      <w:r w:rsidR="00D77888" w:rsidRPr="00221970">
        <w:rPr>
          <w:sz w:val="24"/>
          <w:szCs w:val="24"/>
        </w:rPr>
        <w:t xml:space="preserve">diagram </w:t>
      </w:r>
      <w:r w:rsidR="00D77888" w:rsidRPr="00BC32A2">
        <w:rPr>
          <w:strike/>
          <w:sz w:val="24"/>
          <w:szCs w:val="24"/>
          <w:highlight w:val="yellow"/>
        </w:rPr>
        <w:t>shown</w:t>
      </w:r>
      <w:r w:rsidRPr="00ED70F8">
        <w:rPr>
          <w:sz w:val="24"/>
          <w:szCs w:val="24"/>
        </w:rPr>
        <w:t xml:space="preserve"> in Figure 6-22 (WNM sleep mode request and response exchange) </w:t>
      </w:r>
      <w:r w:rsidR="00111E08" w:rsidRPr="00EB67FF">
        <w:rPr>
          <w:sz w:val="24"/>
          <w:szCs w:val="24"/>
          <w:highlight w:val="cyan"/>
        </w:rPr>
        <w:t>shows</w:t>
      </w:r>
      <w:r w:rsidRPr="00ED70F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ED70F8">
        <w:rPr>
          <w:sz w:val="24"/>
          <w:szCs w:val="24"/>
        </w:rPr>
        <w:t xml:space="preserve">sleep mode request and response process </w:t>
      </w:r>
      <w:r w:rsidRPr="00A90142">
        <w:rPr>
          <w:strike/>
          <w:sz w:val="24"/>
          <w:szCs w:val="24"/>
          <w:highlight w:val="yellow"/>
        </w:rPr>
        <w:t>and is not meant to be exhaustive of all possible protocol uses</w:t>
      </w:r>
      <w:r w:rsidRPr="00ED70F8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ED70F8" w:rsidRDefault="00ED70F8" w:rsidP="00ED70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ED70F8" w:rsidRDefault="00ED70F8" w:rsidP="00ED70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55</w:t>
      </w:r>
      <w:r w:rsidR="006F68DB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6F68DB">
        <w:rPr>
          <w:sz w:val="24"/>
          <w:szCs w:val="24"/>
        </w:rPr>
        <w:t>17</w:t>
      </w:r>
      <w:r>
        <w:rPr>
          <w:sz w:val="24"/>
          <w:szCs w:val="24"/>
        </w:rPr>
        <w:t>,</w:t>
      </w:r>
    </w:p>
    <w:p w:rsidR="00ED70F8" w:rsidRDefault="006F68DB" w:rsidP="006F68D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6F68DB">
        <w:rPr>
          <w:sz w:val="24"/>
          <w:szCs w:val="24"/>
        </w:rPr>
        <w:t>The informative diagram</w:t>
      </w:r>
      <w:r>
        <w:rPr>
          <w:sz w:val="24"/>
          <w:szCs w:val="24"/>
        </w:rPr>
        <w:t xml:space="preserve"> </w:t>
      </w:r>
      <w:r w:rsidRPr="006F68DB">
        <w:rPr>
          <w:sz w:val="24"/>
          <w:szCs w:val="24"/>
        </w:rPr>
        <w:t>shown in Figure 6-23 (TIM broadcast setup protocol exchange) depicts the TIM Broadcast setup process</w:t>
      </w:r>
      <w:r>
        <w:rPr>
          <w:sz w:val="24"/>
          <w:szCs w:val="24"/>
        </w:rPr>
        <w:t xml:space="preserve"> </w:t>
      </w:r>
      <w:r w:rsidRPr="006F68DB">
        <w:rPr>
          <w:sz w:val="24"/>
          <w:szCs w:val="24"/>
        </w:rPr>
        <w:t>and is not meant to be exhaustive of all possible protocol uses.</w:t>
      </w:r>
      <w:r>
        <w:rPr>
          <w:sz w:val="24"/>
          <w:szCs w:val="24"/>
        </w:rPr>
        <w:t>”</w:t>
      </w:r>
    </w:p>
    <w:p w:rsidR="006F68DB" w:rsidRDefault="006F68DB" w:rsidP="006F68D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6F68DB">
        <w:rPr>
          <w:sz w:val="24"/>
          <w:szCs w:val="24"/>
        </w:rPr>
        <w:t xml:space="preserve">The </w:t>
      </w:r>
      <w:r w:rsidR="00A90142" w:rsidRPr="00CE3E3B">
        <w:rPr>
          <w:strike/>
          <w:sz w:val="24"/>
          <w:szCs w:val="24"/>
          <w:highlight w:val="yellow"/>
        </w:rPr>
        <w:t>informative</w:t>
      </w:r>
      <w:r w:rsidR="00A90142">
        <w:rPr>
          <w:sz w:val="24"/>
          <w:szCs w:val="24"/>
        </w:rPr>
        <w:t xml:space="preserve"> </w:t>
      </w:r>
      <w:r w:rsidR="00A90142" w:rsidRPr="00221970">
        <w:rPr>
          <w:sz w:val="24"/>
          <w:szCs w:val="24"/>
        </w:rPr>
        <w:t xml:space="preserve">diagram </w:t>
      </w:r>
      <w:r w:rsidR="00A90142" w:rsidRPr="00BC32A2">
        <w:rPr>
          <w:strike/>
          <w:sz w:val="24"/>
          <w:szCs w:val="24"/>
          <w:highlight w:val="yellow"/>
        </w:rPr>
        <w:t>shown</w:t>
      </w:r>
      <w:r w:rsidRPr="006F68DB">
        <w:rPr>
          <w:sz w:val="24"/>
          <w:szCs w:val="24"/>
        </w:rPr>
        <w:t xml:space="preserve"> in Figure 6-23 (TIM broadcast setup 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6F68DB">
        <w:rPr>
          <w:sz w:val="24"/>
          <w:szCs w:val="24"/>
        </w:rPr>
        <w:t xml:space="preserve"> the TIM Broadcast setup process</w:t>
      </w:r>
      <w:r>
        <w:rPr>
          <w:sz w:val="24"/>
          <w:szCs w:val="24"/>
        </w:rPr>
        <w:t xml:space="preserve"> </w:t>
      </w:r>
      <w:r w:rsidRPr="00A90142">
        <w:rPr>
          <w:strike/>
          <w:sz w:val="24"/>
          <w:szCs w:val="24"/>
          <w:highlight w:val="yellow"/>
        </w:rPr>
        <w:t>and is not meant to be exhaustive of all possible protocol uses</w:t>
      </w:r>
      <w:r w:rsidRPr="006F68DB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6F68DB" w:rsidRDefault="006F68DB" w:rsidP="006F68D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6F68DB" w:rsidRDefault="006F68DB" w:rsidP="006F68D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5</w:t>
      </w:r>
      <w:r w:rsidR="00185E83">
        <w:rPr>
          <w:sz w:val="24"/>
          <w:szCs w:val="24"/>
        </w:rPr>
        <w:t>63</w:t>
      </w:r>
      <w:r>
        <w:rPr>
          <w:sz w:val="24"/>
          <w:szCs w:val="24"/>
        </w:rPr>
        <w:t>.</w:t>
      </w:r>
      <w:r w:rsidR="00185E83">
        <w:rPr>
          <w:sz w:val="24"/>
          <w:szCs w:val="24"/>
        </w:rPr>
        <w:t>43</w:t>
      </w:r>
      <w:r>
        <w:rPr>
          <w:sz w:val="24"/>
          <w:szCs w:val="24"/>
        </w:rPr>
        <w:t>,</w:t>
      </w:r>
    </w:p>
    <w:p w:rsidR="006F68DB" w:rsidRDefault="00185E83" w:rsidP="00185E8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185E83">
        <w:rPr>
          <w:sz w:val="24"/>
          <w:szCs w:val="24"/>
        </w:rPr>
        <w:t>The informative diagram shown in Figure 6-24 (QoS traffic capability update</w:t>
      </w:r>
      <w:r>
        <w:rPr>
          <w:sz w:val="24"/>
          <w:szCs w:val="24"/>
        </w:rPr>
        <w:t xml:space="preserve"> </w:t>
      </w:r>
      <w:r w:rsidRPr="00185E83">
        <w:rPr>
          <w:sz w:val="24"/>
          <w:szCs w:val="24"/>
        </w:rPr>
        <w:t>protocol exchange) depicts the QoS traffic capability update process.</w:t>
      </w:r>
      <w:r>
        <w:rPr>
          <w:sz w:val="24"/>
          <w:szCs w:val="24"/>
        </w:rPr>
        <w:t>”</w:t>
      </w:r>
    </w:p>
    <w:p w:rsidR="00185E83" w:rsidRDefault="00185E83" w:rsidP="00185E8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185E83">
        <w:rPr>
          <w:sz w:val="24"/>
          <w:szCs w:val="24"/>
        </w:rPr>
        <w:t xml:space="preserve">The </w:t>
      </w:r>
      <w:r w:rsidR="00A90142" w:rsidRPr="00CE3E3B">
        <w:rPr>
          <w:strike/>
          <w:sz w:val="24"/>
          <w:szCs w:val="24"/>
          <w:highlight w:val="yellow"/>
        </w:rPr>
        <w:t>informative</w:t>
      </w:r>
      <w:r w:rsidR="00A90142">
        <w:rPr>
          <w:sz w:val="24"/>
          <w:szCs w:val="24"/>
        </w:rPr>
        <w:t xml:space="preserve"> </w:t>
      </w:r>
      <w:r w:rsidR="00A90142" w:rsidRPr="00221970">
        <w:rPr>
          <w:sz w:val="24"/>
          <w:szCs w:val="24"/>
        </w:rPr>
        <w:t xml:space="preserve">diagram </w:t>
      </w:r>
      <w:r w:rsidR="00A90142" w:rsidRPr="00BC32A2">
        <w:rPr>
          <w:strike/>
          <w:sz w:val="24"/>
          <w:szCs w:val="24"/>
          <w:highlight w:val="yellow"/>
        </w:rPr>
        <w:t>shown</w:t>
      </w:r>
      <w:r w:rsidRPr="00185E83">
        <w:rPr>
          <w:sz w:val="24"/>
          <w:szCs w:val="24"/>
        </w:rPr>
        <w:t xml:space="preserve"> in Figure 6-24 (QoS traffic capability update</w:t>
      </w:r>
      <w:r>
        <w:rPr>
          <w:sz w:val="24"/>
          <w:szCs w:val="24"/>
        </w:rPr>
        <w:t xml:space="preserve"> </w:t>
      </w:r>
      <w:r w:rsidRPr="00185E83">
        <w:rPr>
          <w:sz w:val="24"/>
          <w:szCs w:val="24"/>
        </w:rPr>
        <w:t xml:space="preserve">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185E83">
        <w:rPr>
          <w:sz w:val="24"/>
          <w:szCs w:val="24"/>
        </w:rPr>
        <w:t xml:space="preserve"> the QoS traffic capability update process.</w:t>
      </w:r>
      <w:r>
        <w:rPr>
          <w:sz w:val="24"/>
          <w:szCs w:val="24"/>
        </w:rPr>
        <w:t>”</w:t>
      </w:r>
    </w:p>
    <w:p w:rsidR="0092000E" w:rsidRDefault="0092000E" w:rsidP="0092000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92000E" w:rsidRDefault="0092000E" w:rsidP="0092000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995A74">
        <w:rPr>
          <w:sz w:val="24"/>
          <w:szCs w:val="24"/>
        </w:rPr>
        <w:t>70</w:t>
      </w:r>
      <w:r>
        <w:rPr>
          <w:sz w:val="24"/>
          <w:szCs w:val="24"/>
        </w:rPr>
        <w:t>.</w:t>
      </w:r>
      <w:r w:rsidR="00995A74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185E83" w:rsidRDefault="00995A74" w:rsidP="00995A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995A74">
        <w:rPr>
          <w:sz w:val="24"/>
          <w:szCs w:val="24"/>
        </w:rPr>
        <w:t>The informative diagram shown in Figure 6-26 (DMS or GCR setup protocol exchange(#1375)) depicts the</w:t>
      </w:r>
      <w:r>
        <w:rPr>
          <w:sz w:val="24"/>
          <w:szCs w:val="24"/>
        </w:rPr>
        <w:t xml:space="preserve"> </w:t>
      </w:r>
      <w:r w:rsidRPr="00995A74">
        <w:rPr>
          <w:sz w:val="24"/>
          <w:szCs w:val="24"/>
        </w:rPr>
        <w:t>DMS or GCR request and response process and is not meant to be exhaustive of all possible protocol uses.</w:t>
      </w:r>
      <w:r>
        <w:rPr>
          <w:sz w:val="24"/>
          <w:szCs w:val="24"/>
        </w:rPr>
        <w:t>”</w:t>
      </w:r>
    </w:p>
    <w:p w:rsidR="00995A74" w:rsidRDefault="00995A74" w:rsidP="00995A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995A74">
        <w:rPr>
          <w:sz w:val="24"/>
          <w:szCs w:val="24"/>
        </w:rPr>
        <w:t xml:space="preserve">The </w:t>
      </w:r>
      <w:r w:rsidR="00A90142" w:rsidRPr="00CE3E3B">
        <w:rPr>
          <w:strike/>
          <w:sz w:val="24"/>
          <w:szCs w:val="24"/>
          <w:highlight w:val="yellow"/>
        </w:rPr>
        <w:t>informative</w:t>
      </w:r>
      <w:r w:rsidR="00A90142">
        <w:rPr>
          <w:sz w:val="24"/>
          <w:szCs w:val="24"/>
        </w:rPr>
        <w:t xml:space="preserve"> </w:t>
      </w:r>
      <w:r w:rsidR="00A90142" w:rsidRPr="00221970">
        <w:rPr>
          <w:sz w:val="24"/>
          <w:szCs w:val="24"/>
        </w:rPr>
        <w:t xml:space="preserve">diagram </w:t>
      </w:r>
      <w:r w:rsidR="00A90142" w:rsidRPr="00BC32A2">
        <w:rPr>
          <w:strike/>
          <w:sz w:val="24"/>
          <w:szCs w:val="24"/>
          <w:highlight w:val="yellow"/>
        </w:rPr>
        <w:t>shown</w:t>
      </w:r>
      <w:r w:rsidRPr="00995A74">
        <w:rPr>
          <w:sz w:val="24"/>
          <w:szCs w:val="24"/>
        </w:rPr>
        <w:t xml:space="preserve"> in Figure 6-26 (DMS or GCR setup protocol exchange(#1375)) </w:t>
      </w:r>
      <w:r w:rsidR="00111E08" w:rsidRPr="00EB67FF">
        <w:rPr>
          <w:sz w:val="24"/>
          <w:szCs w:val="24"/>
          <w:highlight w:val="cyan"/>
        </w:rPr>
        <w:t>shows</w:t>
      </w:r>
      <w:r w:rsidRPr="00995A74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995A74">
        <w:rPr>
          <w:sz w:val="24"/>
          <w:szCs w:val="24"/>
        </w:rPr>
        <w:t xml:space="preserve">DMS or GCR request and response process </w:t>
      </w:r>
      <w:r w:rsidRPr="00A90142">
        <w:rPr>
          <w:strike/>
          <w:sz w:val="24"/>
          <w:szCs w:val="24"/>
          <w:highlight w:val="yellow"/>
        </w:rPr>
        <w:t>and is not meant to be exhaustive of all possible protocol uses</w:t>
      </w:r>
      <w:r w:rsidRPr="00995A74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995A74" w:rsidRDefault="00995A74" w:rsidP="00995A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995A74" w:rsidRDefault="00995A74" w:rsidP="00995A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685626">
        <w:rPr>
          <w:sz w:val="24"/>
          <w:szCs w:val="24"/>
        </w:rPr>
        <w:t>629</w:t>
      </w:r>
      <w:r>
        <w:rPr>
          <w:sz w:val="24"/>
          <w:szCs w:val="24"/>
        </w:rPr>
        <w:t>.</w:t>
      </w:r>
      <w:r w:rsidR="00685626">
        <w:rPr>
          <w:sz w:val="24"/>
          <w:szCs w:val="24"/>
        </w:rPr>
        <w:t>2</w:t>
      </w:r>
      <w:r>
        <w:rPr>
          <w:sz w:val="24"/>
          <w:szCs w:val="24"/>
        </w:rPr>
        <w:t>7,</w:t>
      </w:r>
    </w:p>
    <w:p w:rsidR="00995A74" w:rsidRDefault="00685626" w:rsidP="0068562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685626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685626">
        <w:rPr>
          <w:sz w:val="24"/>
          <w:szCs w:val="24"/>
        </w:rPr>
        <w:t>informative diagram shown in Figure 6-27 (Example SCS setup and termination protocol exchange) depicts</w:t>
      </w:r>
      <w:r>
        <w:rPr>
          <w:sz w:val="24"/>
          <w:szCs w:val="24"/>
        </w:rPr>
        <w:t xml:space="preserve"> </w:t>
      </w:r>
      <w:r w:rsidRPr="00685626">
        <w:rPr>
          <w:sz w:val="24"/>
          <w:szCs w:val="24"/>
        </w:rPr>
        <w:t>the SCS request and response process and is not meant to be exhaustive of all possible protocol uses.</w:t>
      </w:r>
      <w:r>
        <w:rPr>
          <w:sz w:val="24"/>
          <w:szCs w:val="24"/>
        </w:rPr>
        <w:t>”</w:t>
      </w:r>
    </w:p>
    <w:p w:rsidR="00685626" w:rsidRDefault="00685626" w:rsidP="0068562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685626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A90142" w:rsidRPr="00CE3E3B">
        <w:rPr>
          <w:strike/>
          <w:sz w:val="24"/>
          <w:szCs w:val="24"/>
          <w:highlight w:val="yellow"/>
        </w:rPr>
        <w:t>informative</w:t>
      </w:r>
      <w:r w:rsidR="00A90142">
        <w:rPr>
          <w:sz w:val="24"/>
          <w:szCs w:val="24"/>
        </w:rPr>
        <w:t xml:space="preserve"> </w:t>
      </w:r>
      <w:r w:rsidR="00A90142" w:rsidRPr="00221970">
        <w:rPr>
          <w:sz w:val="24"/>
          <w:szCs w:val="24"/>
        </w:rPr>
        <w:t xml:space="preserve">diagram </w:t>
      </w:r>
      <w:r w:rsidR="00A90142" w:rsidRPr="00BC32A2">
        <w:rPr>
          <w:strike/>
          <w:sz w:val="24"/>
          <w:szCs w:val="24"/>
          <w:highlight w:val="yellow"/>
        </w:rPr>
        <w:t>shown</w:t>
      </w:r>
      <w:r w:rsidRPr="00685626">
        <w:rPr>
          <w:sz w:val="24"/>
          <w:szCs w:val="24"/>
        </w:rPr>
        <w:t xml:space="preserve"> in Figure 6-27 (Example SCS setup and termination protocol exchange) </w:t>
      </w:r>
      <w:r w:rsidR="00111E08" w:rsidRPr="00EB67FF">
        <w:rPr>
          <w:sz w:val="24"/>
          <w:szCs w:val="24"/>
          <w:highlight w:val="cyan"/>
        </w:rPr>
        <w:t>shows</w:t>
      </w:r>
      <w:r>
        <w:rPr>
          <w:sz w:val="24"/>
          <w:szCs w:val="24"/>
        </w:rPr>
        <w:t xml:space="preserve"> </w:t>
      </w:r>
      <w:r w:rsidRPr="00685626">
        <w:rPr>
          <w:sz w:val="24"/>
          <w:szCs w:val="24"/>
        </w:rPr>
        <w:t xml:space="preserve">the SCS request and response process </w:t>
      </w:r>
      <w:r w:rsidRPr="00A90142">
        <w:rPr>
          <w:strike/>
          <w:sz w:val="24"/>
          <w:szCs w:val="24"/>
          <w:highlight w:val="yellow"/>
        </w:rPr>
        <w:t>and is not meant to be exhaustive of all possible protocol uses</w:t>
      </w:r>
      <w:r w:rsidRPr="00685626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685626" w:rsidRDefault="00685626" w:rsidP="0068562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685626" w:rsidRDefault="00685626" w:rsidP="0068562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6E15DA">
        <w:rPr>
          <w:sz w:val="24"/>
          <w:szCs w:val="24"/>
        </w:rPr>
        <w:t>816</w:t>
      </w:r>
      <w:r>
        <w:rPr>
          <w:sz w:val="24"/>
          <w:szCs w:val="24"/>
        </w:rPr>
        <w:t>.</w:t>
      </w:r>
      <w:r w:rsidR="006E15DA">
        <w:rPr>
          <w:sz w:val="24"/>
          <w:szCs w:val="24"/>
        </w:rPr>
        <w:t>44</w:t>
      </w:r>
      <w:r>
        <w:rPr>
          <w:sz w:val="24"/>
          <w:szCs w:val="24"/>
        </w:rPr>
        <w:t>,</w:t>
      </w:r>
    </w:p>
    <w:p w:rsidR="00685626" w:rsidRDefault="009D1335" w:rsidP="006E15DA">
      <w:pPr>
        <w:spacing w:after="240"/>
        <w:jc w:val="both"/>
        <w:rPr>
          <w:sz w:val="24"/>
          <w:szCs w:val="24"/>
        </w:rPr>
      </w:pPr>
      <w:r w:rsidRPr="009D1335">
        <w:rPr>
          <w:sz w:val="24"/>
          <w:szCs w:val="24"/>
          <w:highlight w:val="yellow"/>
        </w:rPr>
        <w:t>Delete</w:t>
      </w:r>
      <w:r w:rsidR="006E15DA" w:rsidRPr="009D1335">
        <w:rPr>
          <w:sz w:val="24"/>
          <w:szCs w:val="24"/>
          <w:highlight w:val="yellow"/>
        </w:rPr>
        <w:t xml:space="preserve"> “NOTE 7—The values for maximum PSDU size and maximum PPDU duration are informative only. References to the normative requirements are provided.”</w:t>
      </w:r>
    </w:p>
    <w:p w:rsidR="009D1335" w:rsidRDefault="009D1335" w:rsidP="006E15D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815.42,</w:t>
      </w:r>
    </w:p>
    <w:p w:rsidR="009D1335" w:rsidRDefault="009D1335" w:rsidP="006E15DA">
      <w:pPr>
        <w:spacing w:after="240"/>
        <w:jc w:val="both"/>
        <w:rPr>
          <w:sz w:val="24"/>
          <w:szCs w:val="24"/>
        </w:rPr>
      </w:pPr>
      <w:r w:rsidRPr="009D1335">
        <w:rPr>
          <w:sz w:val="24"/>
          <w:szCs w:val="24"/>
          <w:highlight w:val="yellow"/>
        </w:rPr>
        <w:t>Delete “(see NOTE 7)”.</w:t>
      </w:r>
    </w:p>
    <w:p w:rsidR="009D1335" w:rsidRDefault="009D1335" w:rsidP="006E15D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816.14,</w:t>
      </w:r>
    </w:p>
    <w:p w:rsidR="009D1335" w:rsidRDefault="009D1335" w:rsidP="006E15DA">
      <w:pPr>
        <w:spacing w:after="240"/>
        <w:jc w:val="both"/>
        <w:rPr>
          <w:sz w:val="24"/>
          <w:szCs w:val="24"/>
        </w:rPr>
      </w:pPr>
      <w:r w:rsidRPr="009D1335">
        <w:rPr>
          <w:sz w:val="24"/>
          <w:szCs w:val="24"/>
          <w:highlight w:val="yellow"/>
        </w:rPr>
        <w:t>Delete “(see NOTE 7)”.</w:t>
      </w:r>
    </w:p>
    <w:p w:rsidR="006E15DA" w:rsidRDefault="006E15DA" w:rsidP="006E15D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D6C14" w:rsidRDefault="003D6C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15DA" w:rsidRDefault="006E15DA" w:rsidP="006E15D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 </w:t>
      </w:r>
      <w:r w:rsidR="00F34D56">
        <w:rPr>
          <w:sz w:val="24"/>
          <w:szCs w:val="24"/>
        </w:rPr>
        <w:t>124</w:t>
      </w:r>
      <w:r>
        <w:rPr>
          <w:sz w:val="24"/>
          <w:szCs w:val="24"/>
        </w:rPr>
        <w:t>9.2</w:t>
      </w:r>
      <w:r w:rsidR="001E24E6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6E15DA" w:rsidRDefault="00F34D56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F34D56">
        <w:rPr>
          <w:sz w:val="24"/>
          <w:szCs w:val="24"/>
        </w:rPr>
        <w:t>See R.2</w:t>
      </w:r>
      <w:r>
        <w:rPr>
          <w:sz w:val="24"/>
          <w:szCs w:val="24"/>
        </w:rPr>
        <w:t xml:space="preserve"> </w:t>
      </w:r>
      <w:r w:rsidRPr="00F34D56">
        <w:rPr>
          <w:sz w:val="24"/>
          <w:szCs w:val="24"/>
        </w:rPr>
        <w:t>(Network discovery and selection) for informative text on usage of fields contained within the Interworking</w:t>
      </w:r>
      <w:r>
        <w:rPr>
          <w:sz w:val="24"/>
          <w:szCs w:val="24"/>
        </w:rPr>
        <w:t xml:space="preserve"> </w:t>
      </w:r>
      <w:r w:rsidRPr="00F34D56">
        <w:rPr>
          <w:sz w:val="24"/>
          <w:szCs w:val="24"/>
        </w:rPr>
        <w:t>element.</w:t>
      </w:r>
      <w:r>
        <w:rPr>
          <w:sz w:val="24"/>
          <w:szCs w:val="24"/>
        </w:rPr>
        <w:t>”</w:t>
      </w:r>
    </w:p>
    <w:p w:rsidR="00F34D56" w:rsidRDefault="00F34D56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F34D56">
        <w:rPr>
          <w:sz w:val="24"/>
          <w:szCs w:val="24"/>
        </w:rPr>
        <w:t>See R.2</w:t>
      </w:r>
      <w:r>
        <w:rPr>
          <w:sz w:val="24"/>
          <w:szCs w:val="24"/>
        </w:rPr>
        <w:t xml:space="preserve"> </w:t>
      </w:r>
      <w:r w:rsidRPr="00F34D56">
        <w:rPr>
          <w:sz w:val="24"/>
          <w:szCs w:val="24"/>
        </w:rPr>
        <w:t xml:space="preserve">(Network discovery and selection) for </w:t>
      </w:r>
      <w:r w:rsidR="006360B1" w:rsidRPr="006360B1">
        <w:rPr>
          <w:strike/>
          <w:sz w:val="24"/>
          <w:szCs w:val="24"/>
          <w:highlight w:val="yellow"/>
        </w:rPr>
        <w:t>informative text</w:t>
      </w:r>
      <w:r w:rsidRPr="006360B1">
        <w:rPr>
          <w:strike/>
          <w:sz w:val="24"/>
          <w:szCs w:val="24"/>
          <w:highlight w:val="yellow"/>
        </w:rPr>
        <w:t xml:space="preserve"> on</w:t>
      </w:r>
      <w:r w:rsidR="006360B1" w:rsidRPr="006360B1">
        <w:rPr>
          <w:strike/>
          <w:sz w:val="24"/>
          <w:szCs w:val="24"/>
        </w:rPr>
        <w:t xml:space="preserve"> </w:t>
      </w:r>
      <w:r w:rsidR="006360B1" w:rsidRPr="006360B1">
        <w:rPr>
          <w:sz w:val="24"/>
          <w:szCs w:val="24"/>
          <w:highlight w:val="cyan"/>
        </w:rPr>
        <w:t>the</w:t>
      </w:r>
      <w:r w:rsidRPr="00F34D56">
        <w:rPr>
          <w:sz w:val="24"/>
          <w:szCs w:val="24"/>
        </w:rPr>
        <w:t xml:space="preserve"> usage of fields contained within the Interworking</w:t>
      </w:r>
      <w:r>
        <w:rPr>
          <w:sz w:val="24"/>
          <w:szCs w:val="24"/>
        </w:rPr>
        <w:t xml:space="preserve"> </w:t>
      </w:r>
      <w:r w:rsidRPr="00F34D56">
        <w:rPr>
          <w:sz w:val="24"/>
          <w:szCs w:val="24"/>
        </w:rPr>
        <w:t>element.</w:t>
      </w:r>
      <w:r>
        <w:rPr>
          <w:sz w:val="24"/>
          <w:szCs w:val="24"/>
        </w:rPr>
        <w:t>”</w:t>
      </w:r>
    </w:p>
    <w:p w:rsidR="00F34D56" w:rsidRDefault="00F34D56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EE31CF" w:rsidRDefault="00EE31CF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1462.9,</w:t>
      </w:r>
    </w:p>
    <w:p w:rsidR="00EE31CF" w:rsidRDefault="00EE31CF" w:rsidP="00EE31C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EE31CF">
        <w:rPr>
          <w:sz w:val="24"/>
          <w:szCs w:val="24"/>
        </w:rPr>
        <w:t>See R.2 (Network discovery and selection) for informative text on</w:t>
      </w:r>
      <w:r>
        <w:rPr>
          <w:sz w:val="24"/>
          <w:szCs w:val="24"/>
        </w:rPr>
        <w:t xml:space="preserve"> </w:t>
      </w:r>
      <w:r w:rsidRPr="00EE31CF">
        <w:rPr>
          <w:sz w:val="24"/>
          <w:szCs w:val="24"/>
        </w:rPr>
        <w:t>ANQP usage.</w:t>
      </w:r>
      <w:r>
        <w:rPr>
          <w:sz w:val="24"/>
          <w:szCs w:val="24"/>
        </w:rPr>
        <w:t>”</w:t>
      </w:r>
    </w:p>
    <w:p w:rsidR="00EE31CF" w:rsidRDefault="00EE31CF" w:rsidP="00EE31C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EE31CF">
        <w:rPr>
          <w:sz w:val="24"/>
          <w:szCs w:val="24"/>
        </w:rPr>
        <w:t xml:space="preserve">See R.2 (Network discovery and selection) for </w:t>
      </w:r>
      <w:r w:rsidR="006360B1" w:rsidRPr="006360B1">
        <w:rPr>
          <w:strike/>
          <w:sz w:val="24"/>
          <w:szCs w:val="24"/>
          <w:highlight w:val="yellow"/>
        </w:rPr>
        <w:t>informative text on</w:t>
      </w:r>
      <w:r w:rsidR="006360B1" w:rsidRPr="006360B1">
        <w:rPr>
          <w:strike/>
          <w:sz w:val="24"/>
          <w:szCs w:val="24"/>
        </w:rPr>
        <w:t xml:space="preserve"> </w:t>
      </w:r>
      <w:r w:rsidR="006360B1" w:rsidRPr="006360B1">
        <w:rPr>
          <w:sz w:val="24"/>
          <w:szCs w:val="24"/>
          <w:highlight w:val="cyan"/>
        </w:rPr>
        <w:t>the</w:t>
      </w:r>
      <w:r w:rsidR="0068632E">
        <w:rPr>
          <w:sz w:val="24"/>
          <w:szCs w:val="24"/>
        </w:rPr>
        <w:t xml:space="preserve"> </w:t>
      </w:r>
      <w:r w:rsidRPr="00EE31CF">
        <w:rPr>
          <w:sz w:val="24"/>
          <w:szCs w:val="24"/>
        </w:rPr>
        <w:t>ANQP usage.</w:t>
      </w:r>
      <w:r>
        <w:rPr>
          <w:sz w:val="24"/>
          <w:szCs w:val="24"/>
        </w:rPr>
        <w:t>”</w:t>
      </w:r>
    </w:p>
    <w:p w:rsidR="00EE31CF" w:rsidRDefault="00EE31CF" w:rsidP="00EE31C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014C37" w:rsidRPr="00014C37" w:rsidRDefault="00504934" w:rsidP="00EE31CF">
      <w:pPr>
        <w:spacing w:after="240"/>
        <w:jc w:val="both"/>
        <w:rPr>
          <w:sz w:val="24"/>
          <w:szCs w:val="24"/>
        </w:rPr>
      </w:pPr>
      <w:r w:rsidRPr="00014C37">
        <w:rPr>
          <w:sz w:val="24"/>
          <w:szCs w:val="24"/>
        </w:rPr>
        <w:t xml:space="preserve">At </w:t>
      </w:r>
      <w:r w:rsidR="001B10E0" w:rsidRPr="00014C37">
        <w:rPr>
          <w:sz w:val="24"/>
          <w:szCs w:val="24"/>
        </w:rPr>
        <w:t>1706.1,</w:t>
      </w:r>
      <w:r w:rsidR="000A0331" w:rsidRPr="00014C37">
        <w:rPr>
          <w:sz w:val="24"/>
          <w:szCs w:val="24"/>
        </w:rPr>
        <w:t xml:space="preserve"> </w:t>
      </w:r>
    </w:p>
    <w:p w:rsidR="00EE31CF" w:rsidRDefault="000A0331" w:rsidP="00EE31CF">
      <w:pPr>
        <w:spacing w:after="240"/>
        <w:jc w:val="both"/>
        <w:rPr>
          <w:sz w:val="24"/>
          <w:szCs w:val="24"/>
        </w:rPr>
      </w:pPr>
      <w:r w:rsidRPr="000A0331">
        <w:rPr>
          <w:sz w:val="24"/>
          <w:szCs w:val="24"/>
          <w:highlight w:val="yellow"/>
        </w:rPr>
        <w:t>delete “(informative)</w:t>
      </w:r>
      <w:r w:rsidR="006C607E" w:rsidRPr="000A0331">
        <w:rPr>
          <w:sz w:val="24"/>
          <w:szCs w:val="24"/>
          <w:highlight w:val="yellow"/>
        </w:rPr>
        <w:t>”</w:t>
      </w:r>
      <w:r w:rsidR="006C607E">
        <w:rPr>
          <w:sz w:val="24"/>
          <w:szCs w:val="24"/>
        </w:rPr>
        <w:t>.</w:t>
      </w:r>
    </w:p>
    <w:p w:rsidR="00984F9A" w:rsidRDefault="00984F9A" w:rsidP="00984F9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92DA3" w:rsidRDefault="004A5E36" w:rsidP="00392DA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2356</w:t>
      </w:r>
      <w:r w:rsidR="00392DA3">
        <w:rPr>
          <w:sz w:val="24"/>
          <w:szCs w:val="24"/>
        </w:rPr>
        <w:t>.</w:t>
      </w:r>
      <w:r>
        <w:rPr>
          <w:sz w:val="24"/>
          <w:szCs w:val="24"/>
        </w:rPr>
        <w:t>60</w:t>
      </w:r>
      <w:r w:rsidR="00392DA3">
        <w:rPr>
          <w:sz w:val="24"/>
          <w:szCs w:val="24"/>
        </w:rPr>
        <w:t>,</w:t>
      </w:r>
    </w:p>
    <w:p w:rsidR="00F34D56" w:rsidRDefault="004A5E36" w:rsidP="004A5E3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4A5E36">
        <w:rPr>
          <w:sz w:val="24"/>
          <w:szCs w:val="24"/>
        </w:rPr>
        <w:t>When location track notification is supported, a STA configured by another STA as described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>in the previous subclause shall transmit Location Track Notification frames as shown in the informative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>diagram in Figure 11-31 (STA transmission on three channels, three frames per channel with Normal Report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>Interval).</w:t>
      </w:r>
      <w:r>
        <w:rPr>
          <w:sz w:val="24"/>
          <w:szCs w:val="24"/>
        </w:rPr>
        <w:t>”</w:t>
      </w:r>
    </w:p>
    <w:p w:rsidR="004A5E36" w:rsidRDefault="004A5E36" w:rsidP="004A5E3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4A5E36">
        <w:rPr>
          <w:sz w:val="24"/>
          <w:szCs w:val="24"/>
        </w:rPr>
        <w:t>When location track notification is supported, a STA configured by another STA as described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 xml:space="preserve">in the previous subclause shall transmit Location Track Notification frames as shown </w:t>
      </w:r>
      <w:r w:rsidR="000A0431" w:rsidRPr="004A5E36">
        <w:rPr>
          <w:sz w:val="24"/>
          <w:szCs w:val="24"/>
        </w:rPr>
        <w:t xml:space="preserve">in </w:t>
      </w:r>
      <w:r w:rsidR="000A0431" w:rsidRPr="008C66B2">
        <w:rPr>
          <w:strike/>
          <w:sz w:val="24"/>
          <w:szCs w:val="24"/>
          <w:highlight w:val="yellow"/>
        </w:rPr>
        <w:t>the informative diagram</w:t>
      </w:r>
      <w:r w:rsidRPr="008C66B2">
        <w:rPr>
          <w:strike/>
          <w:sz w:val="24"/>
          <w:szCs w:val="24"/>
          <w:highlight w:val="yellow"/>
        </w:rPr>
        <w:t xml:space="preserve"> in</w:t>
      </w:r>
      <w:r w:rsidRPr="004A5E36">
        <w:rPr>
          <w:sz w:val="24"/>
          <w:szCs w:val="24"/>
        </w:rPr>
        <w:t xml:space="preserve"> Figure 11-31 (STA transmission on three channels, three frames per channel with Normal Report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>Interval).</w:t>
      </w:r>
      <w:r>
        <w:rPr>
          <w:sz w:val="24"/>
          <w:szCs w:val="24"/>
        </w:rPr>
        <w:t>”</w:t>
      </w:r>
    </w:p>
    <w:p w:rsidR="004A5E36" w:rsidRDefault="004A5E36" w:rsidP="004A5E3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4A5E36" w:rsidRDefault="003A4189" w:rsidP="004A5E3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2515</w:t>
      </w:r>
      <w:r w:rsidR="004A5E36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4A5E36">
        <w:rPr>
          <w:sz w:val="24"/>
          <w:szCs w:val="24"/>
        </w:rPr>
        <w:t>,</w:t>
      </w:r>
    </w:p>
    <w:p w:rsidR="00271E81" w:rsidRDefault="003A4189" w:rsidP="003A418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3A4189">
        <w:rPr>
          <w:sz w:val="24"/>
          <w:szCs w:val="24"/>
        </w:rPr>
        <w:t>A WSM with a Map version value of 127 indicates that the WSM is informative and it does</w:t>
      </w:r>
      <w:r>
        <w:rPr>
          <w:sz w:val="24"/>
          <w:szCs w:val="24"/>
        </w:rPr>
        <w:t xml:space="preserve"> </w:t>
      </w:r>
      <w:r w:rsidRPr="003A4189">
        <w:rPr>
          <w:sz w:val="24"/>
          <w:szCs w:val="24"/>
        </w:rPr>
        <w:t>not affect the GDD enablement states of a GDD dependent STA.</w:t>
      </w:r>
      <w:r>
        <w:rPr>
          <w:sz w:val="24"/>
          <w:szCs w:val="24"/>
        </w:rPr>
        <w:t>”</w:t>
      </w:r>
    </w:p>
    <w:p w:rsidR="003A4189" w:rsidRDefault="003A4189" w:rsidP="003A418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3A4189">
        <w:rPr>
          <w:sz w:val="24"/>
          <w:szCs w:val="24"/>
        </w:rPr>
        <w:t>A WSM with a Map version value of</w:t>
      </w:r>
      <w:r w:rsidR="00DE2E1A">
        <w:rPr>
          <w:sz w:val="24"/>
          <w:szCs w:val="24"/>
        </w:rPr>
        <w:t xml:space="preserve"> 127 indicates that the WSM is </w:t>
      </w:r>
      <w:r w:rsidR="003E7D29" w:rsidRPr="003E7D29">
        <w:rPr>
          <w:strike/>
          <w:sz w:val="24"/>
          <w:szCs w:val="24"/>
          <w:highlight w:val="yellow"/>
        </w:rPr>
        <w:t>informative</w:t>
      </w:r>
      <w:r w:rsidR="00DE2E1A" w:rsidRPr="003E7D29">
        <w:rPr>
          <w:sz w:val="24"/>
          <w:szCs w:val="24"/>
          <w:highlight w:val="cyan"/>
        </w:rPr>
        <w:t>for reference only</w:t>
      </w:r>
      <w:r w:rsidRPr="003A4189">
        <w:rPr>
          <w:sz w:val="24"/>
          <w:szCs w:val="24"/>
        </w:rPr>
        <w:t xml:space="preserve"> and it does</w:t>
      </w:r>
      <w:r>
        <w:rPr>
          <w:sz w:val="24"/>
          <w:szCs w:val="24"/>
        </w:rPr>
        <w:t xml:space="preserve"> </w:t>
      </w:r>
      <w:r w:rsidRPr="003A4189">
        <w:rPr>
          <w:sz w:val="24"/>
          <w:szCs w:val="24"/>
        </w:rPr>
        <w:t>not affect the GDD enablement states of a GDD dependent STA.</w:t>
      </w:r>
      <w:r>
        <w:rPr>
          <w:sz w:val="24"/>
          <w:szCs w:val="24"/>
        </w:rPr>
        <w:t>”</w:t>
      </w:r>
    </w:p>
    <w:p w:rsidR="00271E81" w:rsidRDefault="00655864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D6C14" w:rsidRDefault="003D6C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5864" w:rsidRDefault="00655864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2575.10</w:t>
      </w:r>
    </w:p>
    <w:p w:rsidR="00655864" w:rsidRDefault="00655864" w:rsidP="006558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655864">
        <w:rPr>
          <w:sz w:val="24"/>
          <w:szCs w:val="24"/>
        </w:rPr>
        <w:t>Informative Figure 12-8 (TKIP MIC relation to IEEE 802.11 processing (informative)) depicts different</w:t>
      </w:r>
      <w:r>
        <w:rPr>
          <w:sz w:val="24"/>
          <w:szCs w:val="24"/>
        </w:rPr>
        <w:t xml:space="preserve"> </w:t>
      </w:r>
      <w:r w:rsidRPr="00655864">
        <w:rPr>
          <w:sz w:val="24"/>
          <w:szCs w:val="24"/>
        </w:rPr>
        <w:t>peer layers communicating.</w:t>
      </w:r>
      <w:r>
        <w:rPr>
          <w:sz w:val="24"/>
          <w:szCs w:val="24"/>
        </w:rPr>
        <w:t>”</w:t>
      </w:r>
    </w:p>
    <w:p w:rsidR="00655864" w:rsidRDefault="00655864" w:rsidP="006558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="00522F3B" w:rsidRPr="00522F3B">
        <w:rPr>
          <w:strike/>
          <w:sz w:val="24"/>
          <w:szCs w:val="24"/>
          <w:highlight w:val="yellow"/>
        </w:rPr>
        <w:t>Informative</w:t>
      </w:r>
      <w:r w:rsidR="00522F3B" w:rsidRPr="004E1FEA">
        <w:rPr>
          <w:strike/>
          <w:sz w:val="24"/>
          <w:szCs w:val="24"/>
        </w:rPr>
        <w:t xml:space="preserve"> </w:t>
      </w:r>
      <w:r w:rsidRPr="00655864">
        <w:rPr>
          <w:sz w:val="24"/>
          <w:szCs w:val="24"/>
        </w:rPr>
        <w:t>Figure 12-8 (TKIP MIC relation to IEEE 802.11 processing</w:t>
      </w:r>
      <w:r w:rsidR="0008327E" w:rsidRPr="0008327E">
        <w:rPr>
          <w:strike/>
          <w:sz w:val="24"/>
          <w:szCs w:val="24"/>
        </w:rPr>
        <w:t xml:space="preserve"> </w:t>
      </w:r>
      <w:r w:rsidR="0008327E" w:rsidRPr="0008327E">
        <w:rPr>
          <w:strike/>
          <w:sz w:val="24"/>
          <w:szCs w:val="24"/>
          <w:highlight w:val="yellow"/>
        </w:rPr>
        <w:t>(informative)</w:t>
      </w:r>
      <w:r w:rsidRPr="00655864">
        <w:rPr>
          <w:sz w:val="24"/>
          <w:szCs w:val="24"/>
        </w:rPr>
        <w:t>) depicts different</w:t>
      </w:r>
      <w:r>
        <w:rPr>
          <w:sz w:val="24"/>
          <w:szCs w:val="24"/>
        </w:rPr>
        <w:t xml:space="preserve"> </w:t>
      </w:r>
      <w:r w:rsidRPr="00655864">
        <w:rPr>
          <w:sz w:val="24"/>
          <w:szCs w:val="24"/>
        </w:rPr>
        <w:t>peer layers communicating.</w:t>
      </w:r>
      <w:r>
        <w:rPr>
          <w:sz w:val="24"/>
          <w:szCs w:val="24"/>
        </w:rPr>
        <w:t>”</w:t>
      </w:r>
    </w:p>
    <w:p w:rsidR="00655864" w:rsidRDefault="00655864" w:rsidP="006558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655864" w:rsidRDefault="00655864" w:rsidP="006558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2575.</w:t>
      </w:r>
      <w:r w:rsidR="00522F3B">
        <w:rPr>
          <w:sz w:val="24"/>
          <w:szCs w:val="24"/>
        </w:rPr>
        <w:t>26</w:t>
      </w:r>
      <w:r w:rsidR="003B676D">
        <w:rPr>
          <w:sz w:val="24"/>
          <w:szCs w:val="24"/>
        </w:rPr>
        <w:t>,</w:t>
      </w:r>
    </w:p>
    <w:p w:rsidR="00655864" w:rsidRDefault="007D4934" w:rsidP="006558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7D4934">
        <w:rPr>
          <w:sz w:val="24"/>
          <w:szCs w:val="24"/>
        </w:rPr>
        <w:t>Figure 12-8—TKIP MIC relation to IEEE 802.11 processing (informative)</w:t>
      </w:r>
      <w:r>
        <w:rPr>
          <w:sz w:val="24"/>
          <w:szCs w:val="24"/>
        </w:rPr>
        <w:t>”</w:t>
      </w:r>
    </w:p>
    <w:p w:rsidR="0008327E" w:rsidRDefault="0008327E" w:rsidP="0008327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7D4934">
        <w:rPr>
          <w:sz w:val="24"/>
          <w:szCs w:val="24"/>
        </w:rPr>
        <w:t>Figure 12-8—TKIP MIC relation to IEEE 802.11 processing</w:t>
      </w:r>
      <w:r w:rsidRPr="000649D9">
        <w:rPr>
          <w:strike/>
          <w:sz w:val="24"/>
          <w:szCs w:val="24"/>
        </w:rPr>
        <w:t xml:space="preserve"> </w:t>
      </w:r>
      <w:r w:rsidRPr="000649D9">
        <w:rPr>
          <w:strike/>
          <w:sz w:val="24"/>
          <w:szCs w:val="24"/>
          <w:highlight w:val="yellow"/>
        </w:rPr>
        <w:t>(informative)</w:t>
      </w:r>
      <w:r>
        <w:rPr>
          <w:sz w:val="24"/>
          <w:szCs w:val="24"/>
        </w:rPr>
        <w:t>”</w:t>
      </w:r>
    </w:p>
    <w:p w:rsidR="007D4934" w:rsidRDefault="007D4934" w:rsidP="007D49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7D4934" w:rsidRDefault="00957641" w:rsidP="007D49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2636</w:t>
      </w:r>
      <w:r w:rsidR="007D4934">
        <w:rPr>
          <w:sz w:val="24"/>
          <w:szCs w:val="24"/>
        </w:rPr>
        <w:t>.</w:t>
      </w:r>
      <w:r>
        <w:rPr>
          <w:sz w:val="24"/>
          <w:szCs w:val="24"/>
        </w:rPr>
        <w:t>48</w:t>
      </w:r>
      <w:r w:rsidR="003B676D">
        <w:rPr>
          <w:sz w:val="24"/>
          <w:szCs w:val="24"/>
        </w:rPr>
        <w:t>,</w:t>
      </w:r>
    </w:p>
    <w:p w:rsidR="00271E81" w:rsidRDefault="00957641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957641">
        <w:rPr>
          <w:sz w:val="24"/>
          <w:szCs w:val="24"/>
        </w:rPr>
        <w:t>Figure 12-31—Group key hierarchy (informative)</w:t>
      </w:r>
      <w:r>
        <w:rPr>
          <w:sz w:val="24"/>
          <w:szCs w:val="24"/>
        </w:rPr>
        <w:t>”</w:t>
      </w:r>
    </w:p>
    <w:p w:rsidR="004C6CA5" w:rsidRDefault="004C6CA5" w:rsidP="004C6CA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957641">
        <w:rPr>
          <w:sz w:val="24"/>
          <w:szCs w:val="24"/>
        </w:rPr>
        <w:t>Figure 12-31—Group key hierarchy</w:t>
      </w:r>
      <w:r w:rsidRPr="004C6CA5">
        <w:rPr>
          <w:strike/>
          <w:sz w:val="24"/>
          <w:szCs w:val="24"/>
        </w:rPr>
        <w:t xml:space="preserve"> </w:t>
      </w:r>
      <w:r w:rsidRPr="004C6CA5">
        <w:rPr>
          <w:strike/>
          <w:sz w:val="24"/>
          <w:szCs w:val="24"/>
          <w:highlight w:val="yellow"/>
        </w:rPr>
        <w:t>(informative)</w:t>
      </w:r>
      <w:r>
        <w:rPr>
          <w:sz w:val="24"/>
          <w:szCs w:val="24"/>
        </w:rPr>
        <w:t>”</w:t>
      </w:r>
    </w:p>
    <w:p w:rsidR="0028422A" w:rsidRDefault="0028422A" w:rsidP="0028422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8422A" w:rsidRDefault="0028422A" w:rsidP="0028422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2636.</w:t>
      </w:r>
      <w:r w:rsidR="00B550FA">
        <w:rPr>
          <w:sz w:val="24"/>
          <w:szCs w:val="24"/>
        </w:rPr>
        <w:t>17</w:t>
      </w:r>
      <w:r w:rsidR="003B676D">
        <w:rPr>
          <w:sz w:val="24"/>
          <w:szCs w:val="24"/>
        </w:rPr>
        <w:t>,</w:t>
      </w:r>
    </w:p>
    <w:p w:rsidR="00B550FA" w:rsidRDefault="00B550FA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B550FA">
        <w:rPr>
          <w:sz w:val="24"/>
          <w:szCs w:val="24"/>
        </w:rPr>
        <w:t>Figure 12-31 (Group key hierarchy (informative)) depicts an example of a relationship among the keys of</w:t>
      </w:r>
      <w:r>
        <w:rPr>
          <w:sz w:val="24"/>
          <w:szCs w:val="24"/>
        </w:rPr>
        <w:t xml:space="preserve"> </w:t>
      </w:r>
      <w:r w:rsidRPr="00B550FA">
        <w:rPr>
          <w:sz w:val="24"/>
          <w:szCs w:val="24"/>
        </w:rPr>
        <w:t>the group key hierarchy</w:t>
      </w:r>
      <w:r>
        <w:rPr>
          <w:sz w:val="24"/>
          <w:szCs w:val="24"/>
        </w:rPr>
        <w:t>”</w:t>
      </w:r>
    </w:p>
    <w:p w:rsidR="00B550FA" w:rsidRDefault="00B550FA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="00596EDF" w:rsidRPr="00B550FA">
        <w:rPr>
          <w:sz w:val="24"/>
          <w:szCs w:val="24"/>
        </w:rPr>
        <w:t>Figure 12-31 (Group key hierarchy</w:t>
      </w:r>
      <w:r w:rsidR="00596EDF" w:rsidRPr="008F179C">
        <w:rPr>
          <w:strike/>
          <w:sz w:val="24"/>
          <w:szCs w:val="24"/>
        </w:rPr>
        <w:t xml:space="preserve"> </w:t>
      </w:r>
      <w:r w:rsidR="00596EDF" w:rsidRPr="008F179C">
        <w:rPr>
          <w:strike/>
          <w:sz w:val="24"/>
          <w:szCs w:val="24"/>
          <w:highlight w:val="yellow"/>
        </w:rPr>
        <w:t>(informative)</w:t>
      </w:r>
      <w:r w:rsidR="00596EDF" w:rsidRPr="00B550FA">
        <w:rPr>
          <w:sz w:val="24"/>
          <w:szCs w:val="24"/>
        </w:rPr>
        <w:t>)</w:t>
      </w:r>
      <w:r w:rsidRPr="00B550FA">
        <w:rPr>
          <w:sz w:val="24"/>
          <w:szCs w:val="24"/>
        </w:rPr>
        <w:t xml:space="preserve"> depicts an example of a relationship among the keys of</w:t>
      </w:r>
      <w:r>
        <w:rPr>
          <w:sz w:val="24"/>
          <w:szCs w:val="24"/>
        </w:rPr>
        <w:t xml:space="preserve"> </w:t>
      </w:r>
      <w:r w:rsidRPr="00B550FA">
        <w:rPr>
          <w:sz w:val="24"/>
          <w:szCs w:val="24"/>
        </w:rPr>
        <w:t>the group key hierarchy</w:t>
      </w:r>
      <w:r>
        <w:rPr>
          <w:sz w:val="24"/>
          <w:szCs w:val="24"/>
        </w:rPr>
        <w:t>”.</w:t>
      </w:r>
    </w:p>
    <w:p w:rsidR="00B550FA" w:rsidRDefault="003B676D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B676D" w:rsidRDefault="003B676D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2655.48,</w:t>
      </w:r>
    </w:p>
    <w:p w:rsidR="003B676D" w:rsidRDefault="003B676D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3B676D">
        <w:rPr>
          <w:sz w:val="24"/>
          <w:szCs w:val="24"/>
        </w:rPr>
        <w:t>The following is an informative description of nonce(#1406) generation</w:t>
      </w:r>
      <w:r>
        <w:rPr>
          <w:sz w:val="24"/>
          <w:szCs w:val="24"/>
        </w:rPr>
        <w:t>”</w:t>
      </w:r>
    </w:p>
    <w:p w:rsidR="003B676D" w:rsidRDefault="003B676D" w:rsidP="003B67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3B676D">
        <w:rPr>
          <w:sz w:val="24"/>
          <w:szCs w:val="24"/>
        </w:rPr>
        <w:t xml:space="preserve">The following is </w:t>
      </w:r>
      <w:r w:rsidR="00F63AB5" w:rsidRPr="003B676D">
        <w:rPr>
          <w:sz w:val="24"/>
          <w:szCs w:val="24"/>
        </w:rPr>
        <w:t>a</w:t>
      </w:r>
      <w:r w:rsidR="00F63AB5" w:rsidRPr="00F63AB5">
        <w:rPr>
          <w:strike/>
          <w:sz w:val="24"/>
          <w:szCs w:val="24"/>
          <w:highlight w:val="yellow"/>
        </w:rPr>
        <w:t>n informative</w:t>
      </w:r>
      <w:r w:rsidRPr="003B676D">
        <w:rPr>
          <w:sz w:val="24"/>
          <w:szCs w:val="24"/>
        </w:rPr>
        <w:t xml:space="preserve"> description of nonce(#1406) generation</w:t>
      </w:r>
      <w:r>
        <w:rPr>
          <w:sz w:val="24"/>
          <w:szCs w:val="24"/>
        </w:rPr>
        <w:t>”</w:t>
      </w:r>
    </w:p>
    <w:p w:rsidR="00760C17" w:rsidRDefault="00760C17" w:rsidP="00760C1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B676D" w:rsidRDefault="003343F9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2663.41,</w:t>
      </w:r>
    </w:p>
    <w:p w:rsidR="003343F9" w:rsidRDefault="003343F9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3343F9">
        <w:rPr>
          <w:sz w:val="24"/>
          <w:szCs w:val="24"/>
        </w:rPr>
        <w:t>The following is an informative sample of a 4-way handshake for illustration.</w:t>
      </w:r>
      <w:r>
        <w:rPr>
          <w:sz w:val="24"/>
          <w:szCs w:val="24"/>
        </w:rPr>
        <w:t>”</w:t>
      </w:r>
    </w:p>
    <w:p w:rsidR="001324BF" w:rsidRDefault="001324BF" w:rsidP="001324B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3343F9">
        <w:rPr>
          <w:sz w:val="24"/>
          <w:szCs w:val="24"/>
        </w:rPr>
        <w:t xml:space="preserve">The following is </w:t>
      </w:r>
      <w:r w:rsidR="00CD1794" w:rsidRPr="003343F9">
        <w:rPr>
          <w:sz w:val="24"/>
          <w:szCs w:val="24"/>
        </w:rPr>
        <w:t>a</w:t>
      </w:r>
      <w:r w:rsidR="00CD1794" w:rsidRPr="00CD1794">
        <w:rPr>
          <w:strike/>
          <w:sz w:val="24"/>
          <w:szCs w:val="24"/>
          <w:highlight w:val="yellow"/>
        </w:rPr>
        <w:t>n informative</w:t>
      </w:r>
      <w:r w:rsidRPr="003343F9">
        <w:rPr>
          <w:sz w:val="24"/>
          <w:szCs w:val="24"/>
        </w:rPr>
        <w:t xml:space="preserve"> sample of a 4-way handshake for illustration.</w:t>
      </w:r>
      <w:r>
        <w:rPr>
          <w:sz w:val="24"/>
          <w:szCs w:val="24"/>
        </w:rPr>
        <w:t>”</w:t>
      </w:r>
    </w:p>
    <w:p w:rsidR="00B550FA" w:rsidRDefault="00432F61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D6C14" w:rsidRDefault="003D6C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32F61" w:rsidRDefault="00432F61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2664.35,</w:t>
      </w:r>
    </w:p>
    <w:p w:rsidR="00432F61" w:rsidRDefault="002D0568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432F61">
        <w:rPr>
          <w:sz w:val="24"/>
          <w:szCs w:val="24"/>
        </w:rPr>
        <w:t>eplace “</w:t>
      </w:r>
      <w:r w:rsidR="00432F61" w:rsidRPr="00432F61">
        <w:rPr>
          <w:sz w:val="24"/>
          <w:szCs w:val="24"/>
        </w:rPr>
        <w:t>The following is an informative analysis of the 4-way handshake.</w:t>
      </w:r>
      <w:r w:rsidR="00432F61">
        <w:rPr>
          <w:sz w:val="24"/>
          <w:szCs w:val="24"/>
        </w:rPr>
        <w:t>”</w:t>
      </w:r>
    </w:p>
    <w:p w:rsidR="00061DF0" w:rsidRDefault="00061DF0" w:rsidP="00061DF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432F61">
        <w:rPr>
          <w:sz w:val="24"/>
          <w:szCs w:val="24"/>
        </w:rPr>
        <w:t>The following is a</w:t>
      </w:r>
      <w:r w:rsidR="00E31557" w:rsidRPr="00CD1794">
        <w:rPr>
          <w:strike/>
          <w:sz w:val="24"/>
          <w:szCs w:val="24"/>
          <w:highlight w:val="yellow"/>
        </w:rPr>
        <w:t>n informative</w:t>
      </w:r>
      <w:r w:rsidRPr="00432F61">
        <w:rPr>
          <w:sz w:val="24"/>
          <w:szCs w:val="24"/>
        </w:rPr>
        <w:t xml:space="preserve"> analysis of the 4-way handshake.</w:t>
      </w:r>
      <w:r>
        <w:rPr>
          <w:sz w:val="24"/>
          <w:szCs w:val="24"/>
        </w:rPr>
        <w:t>”</w:t>
      </w:r>
    </w:p>
    <w:p w:rsidR="00061DF0" w:rsidRDefault="00061DF0" w:rsidP="00061DF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061DF0" w:rsidRDefault="00061DF0" w:rsidP="00061DF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266</w:t>
      </w:r>
      <w:r w:rsidR="002D0568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2D0568">
        <w:rPr>
          <w:sz w:val="24"/>
          <w:szCs w:val="24"/>
        </w:rPr>
        <w:t>24</w:t>
      </w:r>
      <w:r>
        <w:rPr>
          <w:sz w:val="24"/>
          <w:szCs w:val="24"/>
        </w:rPr>
        <w:t>,</w:t>
      </w:r>
    </w:p>
    <w:p w:rsidR="00957641" w:rsidRDefault="002D0568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2D0568">
        <w:rPr>
          <w:sz w:val="24"/>
          <w:szCs w:val="24"/>
        </w:rPr>
        <w:t>The following is an informative sample of a group key handshake for illustration.</w:t>
      </w:r>
      <w:r>
        <w:rPr>
          <w:sz w:val="24"/>
          <w:szCs w:val="24"/>
        </w:rPr>
        <w:t>”</w:t>
      </w:r>
    </w:p>
    <w:p w:rsidR="00F55DA7" w:rsidRDefault="00F55DA7" w:rsidP="00F55DA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2D0568">
        <w:rPr>
          <w:sz w:val="24"/>
          <w:szCs w:val="24"/>
        </w:rPr>
        <w:t>The following is a</w:t>
      </w:r>
      <w:r w:rsidR="00E31557" w:rsidRPr="00CD1794">
        <w:rPr>
          <w:strike/>
          <w:sz w:val="24"/>
          <w:szCs w:val="24"/>
          <w:highlight w:val="yellow"/>
        </w:rPr>
        <w:t>n informative</w:t>
      </w:r>
      <w:r w:rsidRPr="002D0568">
        <w:rPr>
          <w:sz w:val="24"/>
          <w:szCs w:val="24"/>
        </w:rPr>
        <w:t xml:space="preserve"> sample of a group key handshake for illustration.</w:t>
      </w:r>
      <w:r>
        <w:rPr>
          <w:sz w:val="24"/>
          <w:szCs w:val="24"/>
        </w:rPr>
        <w:t>”</w:t>
      </w:r>
    </w:p>
    <w:p w:rsidR="00F55DA7" w:rsidRDefault="003A1DCE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A1DCE" w:rsidRDefault="003A1DCE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2922.2,</w:t>
      </w:r>
    </w:p>
    <w:p w:rsidR="003A1DCE" w:rsidRDefault="003A1DCE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3A1DCE">
        <w:rPr>
          <w:sz w:val="24"/>
          <w:szCs w:val="24"/>
        </w:rPr>
        <w:t>Time domain windowing, as described here, is just one way to achieve t</w:t>
      </w:r>
      <w:r>
        <w:rPr>
          <w:sz w:val="24"/>
          <w:szCs w:val="24"/>
        </w:rPr>
        <w:t xml:space="preserve">hose objectives. </w:t>
      </w:r>
      <w:r w:rsidR="00C47178">
        <w:rPr>
          <w:sz w:val="24"/>
          <w:szCs w:val="24"/>
        </w:rPr>
        <w:t xml:space="preserve">The </w:t>
      </w:r>
      <w:r w:rsidRPr="003A1DCE">
        <w:rPr>
          <w:sz w:val="24"/>
          <w:szCs w:val="24"/>
        </w:rPr>
        <w:t>implementer may use other methods to achieve the same goal, such as frequency domain filtering.</w:t>
      </w:r>
      <w:r>
        <w:rPr>
          <w:sz w:val="24"/>
          <w:szCs w:val="24"/>
        </w:rPr>
        <w:t xml:space="preserve"> </w:t>
      </w:r>
      <w:r w:rsidRPr="003A1DCE">
        <w:rPr>
          <w:sz w:val="24"/>
          <w:szCs w:val="24"/>
        </w:rPr>
        <w:t>Therefore, the transition shape and duration of the transition are informative parameters.</w:t>
      </w:r>
      <w:r>
        <w:rPr>
          <w:sz w:val="24"/>
          <w:szCs w:val="24"/>
        </w:rPr>
        <w:t>”</w:t>
      </w:r>
    </w:p>
    <w:p w:rsidR="003A1DCE" w:rsidRDefault="003A1DCE" w:rsidP="003A1DC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3A1DCE">
        <w:rPr>
          <w:sz w:val="24"/>
          <w:szCs w:val="24"/>
        </w:rPr>
        <w:t>Time domain windowing, as described here, is just one way to achieve t</w:t>
      </w:r>
      <w:r>
        <w:rPr>
          <w:sz w:val="24"/>
          <w:szCs w:val="24"/>
        </w:rPr>
        <w:t xml:space="preserve">hose objectives. </w:t>
      </w:r>
      <w:r w:rsidR="00C47178">
        <w:rPr>
          <w:sz w:val="24"/>
          <w:szCs w:val="24"/>
        </w:rPr>
        <w:t xml:space="preserve">The </w:t>
      </w:r>
      <w:r w:rsidRPr="003A1DCE">
        <w:rPr>
          <w:sz w:val="24"/>
          <w:szCs w:val="24"/>
        </w:rPr>
        <w:t>implementer may use other methods to achieve the same goal, such as frequency domain filtering.</w:t>
      </w:r>
      <w:r>
        <w:rPr>
          <w:sz w:val="24"/>
          <w:szCs w:val="24"/>
        </w:rPr>
        <w:t xml:space="preserve"> </w:t>
      </w:r>
      <w:r w:rsidR="00E31557" w:rsidRPr="00E31557">
        <w:rPr>
          <w:strike/>
          <w:sz w:val="24"/>
          <w:szCs w:val="24"/>
          <w:highlight w:val="yellow"/>
        </w:rPr>
        <w:t>Therefore, the transition shape and duration of the transition are informative parameters</w:t>
      </w:r>
      <w:r w:rsidRPr="00E31557">
        <w:rPr>
          <w:strike/>
          <w:sz w:val="24"/>
          <w:szCs w:val="24"/>
          <w:highlight w:val="yellow"/>
        </w:rPr>
        <w:t>.</w:t>
      </w:r>
      <w:r>
        <w:rPr>
          <w:sz w:val="24"/>
          <w:szCs w:val="24"/>
        </w:rPr>
        <w:t>”</w:t>
      </w:r>
    </w:p>
    <w:p w:rsidR="003A1DCE" w:rsidRDefault="00EB4E04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EB4E04" w:rsidRDefault="005443E5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3122.15,</w:t>
      </w:r>
    </w:p>
    <w:p w:rsidR="005443E5" w:rsidRDefault="009121CF" w:rsidP="005443E5">
      <w:pPr>
        <w:spacing w:after="240"/>
        <w:jc w:val="both"/>
        <w:rPr>
          <w:sz w:val="24"/>
          <w:szCs w:val="24"/>
        </w:rPr>
      </w:pPr>
      <w:r w:rsidRPr="009121CF">
        <w:rPr>
          <w:sz w:val="24"/>
          <w:szCs w:val="24"/>
          <w:highlight w:val="yellow"/>
        </w:rPr>
        <w:t>Delete</w:t>
      </w:r>
      <w:r w:rsidR="005443E5" w:rsidRPr="009121CF">
        <w:rPr>
          <w:sz w:val="24"/>
          <w:szCs w:val="24"/>
          <w:highlight w:val="yellow"/>
        </w:rPr>
        <w:t xml:space="preserve"> “The sequences in the tables are normative, the description above is informative.”</w:t>
      </w:r>
    </w:p>
    <w:p w:rsidR="005443E5" w:rsidRDefault="0008443A" w:rsidP="005443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08443A" w:rsidRDefault="00267601" w:rsidP="005443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3537.35,</w:t>
      </w:r>
    </w:p>
    <w:p w:rsidR="00267601" w:rsidRDefault="009121CF" w:rsidP="005443E5">
      <w:pPr>
        <w:spacing w:after="240"/>
        <w:jc w:val="both"/>
        <w:rPr>
          <w:sz w:val="24"/>
          <w:szCs w:val="24"/>
        </w:rPr>
      </w:pPr>
      <w:r w:rsidRPr="009121CF">
        <w:rPr>
          <w:sz w:val="24"/>
          <w:szCs w:val="24"/>
          <w:highlight w:val="yellow"/>
        </w:rPr>
        <w:t>Delete</w:t>
      </w:r>
      <w:r w:rsidR="00267601" w:rsidRPr="009121CF">
        <w:rPr>
          <w:sz w:val="24"/>
          <w:szCs w:val="24"/>
          <w:highlight w:val="yellow"/>
        </w:rPr>
        <w:t xml:space="preserve"> “Note that the sequence sets in the tables below are normative, and the description above is informative.”</w:t>
      </w:r>
    </w:p>
    <w:p w:rsidR="009121CF" w:rsidRDefault="009121CF" w:rsidP="009121C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CA523A" w:rsidRDefault="00CA523A" w:rsidP="005443E5">
      <w:pPr>
        <w:spacing w:after="240"/>
        <w:jc w:val="both"/>
        <w:rPr>
          <w:sz w:val="24"/>
          <w:szCs w:val="24"/>
        </w:rPr>
      </w:pPr>
    </w:p>
    <w:sectPr w:rsidR="00CA523A" w:rsidSect="00620EB6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9C" w:rsidRDefault="00C9289C">
      <w:r>
        <w:separator/>
      </w:r>
    </w:p>
  </w:endnote>
  <w:endnote w:type="continuationSeparator" w:id="0">
    <w:p w:rsidR="00C9289C" w:rsidRDefault="00C9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C9289C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9700E0">
      <w:rPr>
        <w:noProof/>
      </w:rPr>
      <w:t>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9C" w:rsidRDefault="00C9289C">
      <w:r>
        <w:separator/>
      </w:r>
    </w:p>
  </w:footnote>
  <w:footnote w:type="continuationSeparator" w:id="0">
    <w:p w:rsidR="00C9289C" w:rsidRDefault="00C9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3F27B2" w:rsidP="00A525F0">
    <w:pPr>
      <w:pStyle w:val="Header"/>
      <w:tabs>
        <w:tab w:val="clear" w:pos="6480"/>
        <w:tab w:val="center" w:pos="4680"/>
        <w:tab w:val="right" w:pos="9781"/>
      </w:tabs>
    </w:pPr>
    <w:r>
      <w:t>September</w:t>
    </w:r>
    <w:r w:rsidR="00B45D6F">
      <w:t xml:space="preserve"> 2019</w:t>
    </w:r>
    <w:r w:rsidR="00B45D6F">
      <w:tab/>
    </w:r>
    <w:r w:rsidR="00B45D6F">
      <w:tab/>
      <w:t xml:space="preserve">  </w:t>
    </w:r>
    <w:r w:rsidR="00C9289C">
      <w:fldChar w:fldCharType="begin"/>
    </w:r>
    <w:r w:rsidR="00C9289C">
      <w:instrText xml:space="preserve"> TITLE  \* MERGEFORMAT </w:instrText>
    </w:r>
    <w:r w:rsidR="00C9289C">
      <w:fldChar w:fldCharType="separate"/>
    </w:r>
    <w:r w:rsidR="00406423">
      <w:t>doc.: IEEE 802.11-19/144</w:t>
    </w:r>
    <w:r w:rsidR="00B14B6A">
      <w:t>4</w:t>
    </w:r>
    <w:r w:rsidR="00B45D6F">
      <w:t>r</w:t>
    </w:r>
    <w:r>
      <w:t>2</w:t>
    </w:r>
    <w:r w:rsidR="00C9289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957E9"/>
    <w:multiLevelType w:val="hybridMultilevel"/>
    <w:tmpl w:val="8E5C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3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19"/>
  </w:num>
  <w:num w:numId="7">
    <w:abstractNumId w:val="15"/>
  </w:num>
  <w:num w:numId="8">
    <w:abstractNumId w:val="41"/>
  </w:num>
  <w:num w:numId="9">
    <w:abstractNumId w:val="21"/>
  </w:num>
  <w:num w:numId="10">
    <w:abstractNumId w:val="1"/>
  </w:num>
  <w:num w:numId="11">
    <w:abstractNumId w:val="7"/>
  </w:num>
  <w:num w:numId="12">
    <w:abstractNumId w:val="18"/>
  </w:num>
  <w:num w:numId="13">
    <w:abstractNumId w:val="2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3"/>
  </w:num>
  <w:num w:numId="19">
    <w:abstractNumId w:val="42"/>
  </w:num>
  <w:num w:numId="20">
    <w:abstractNumId w:val="26"/>
  </w:num>
  <w:num w:numId="21">
    <w:abstractNumId w:val="28"/>
  </w:num>
  <w:num w:numId="22">
    <w:abstractNumId w:val="39"/>
  </w:num>
  <w:num w:numId="23">
    <w:abstractNumId w:val="40"/>
  </w:num>
  <w:num w:numId="24">
    <w:abstractNumId w:val="22"/>
  </w:num>
  <w:num w:numId="25">
    <w:abstractNumId w:val="2"/>
  </w:num>
  <w:num w:numId="26">
    <w:abstractNumId w:val="38"/>
  </w:num>
  <w:num w:numId="27">
    <w:abstractNumId w:val="32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4"/>
  </w:num>
  <w:num w:numId="33">
    <w:abstractNumId w:val="36"/>
  </w:num>
  <w:num w:numId="34">
    <w:abstractNumId w:val="10"/>
  </w:num>
  <w:num w:numId="35">
    <w:abstractNumId w:val="35"/>
  </w:num>
  <w:num w:numId="36">
    <w:abstractNumId w:val="34"/>
  </w:num>
  <w:num w:numId="37">
    <w:abstractNumId w:val="23"/>
  </w:num>
  <w:num w:numId="38">
    <w:abstractNumId w:val="6"/>
  </w:num>
  <w:num w:numId="39">
    <w:abstractNumId w:val="29"/>
  </w:num>
  <w:num w:numId="40">
    <w:abstractNumId w:val="17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7"/>
  </w:num>
  <w:num w:numId="43">
    <w:abstractNumId w:val="31"/>
  </w:num>
  <w:num w:numId="44">
    <w:abstractNumId w:val="9"/>
  </w:num>
  <w:num w:numId="45">
    <w:abstractNumId w:val="25"/>
  </w:num>
  <w:num w:numId="46">
    <w:abstractNumId w:val="12"/>
  </w:num>
  <w:num w:numId="47">
    <w:abstractNumId w:val="11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4C37"/>
    <w:rsid w:val="000163C8"/>
    <w:rsid w:val="00017296"/>
    <w:rsid w:val="0002013F"/>
    <w:rsid w:val="0002058F"/>
    <w:rsid w:val="0002065E"/>
    <w:rsid w:val="000210F4"/>
    <w:rsid w:val="00022443"/>
    <w:rsid w:val="00022F1C"/>
    <w:rsid w:val="00024373"/>
    <w:rsid w:val="0002481F"/>
    <w:rsid w:val="00025D06"/>
    <w:rsid w:val="00030289"/>
    <w:rsid w:val="0003096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1DF0"/>
    <w:rsid w:val="0006334C"/>
    <w:rsid w:val="00063EA0"/>
    <w:rsid w:val="000649D9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2AD5"/>
    <w:rsid w:val="0008304A"/>
    <w:rsid w:val="0008327E"/>
    <w:rsid w:val="00083E23"/>
    <w:rsid w:val="00084093"/>
    <w:rsid w:val="0008443A"/>
    <w:rsid w:val="0008560E"/>
    <w:rsid w:val="00085BFB"/>
    <w:rsid w:val="00087175"/>
    <w:rsid w:val="000932A4"/>
    <w:rsid w:val="00095109"/>
    <w:rsid w:val="00095671"/>
    <w:rsid w:val="000A0331"/>
    <w:rsid w:val="000A043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9C9"/>
    <w:rsid w:val="000D2E5C"/>
    <w:rsid w:val="000D382F"/>
    <w:rsid w:val="000D6387"/>
    <w:rsid w:val="000D7634"/>
    <w:rsid w:val="000E0737"/>
    <w:rsid w:val="000E38ED"/>
    <w:rsid w:val="000E5C0B"/>
    <w:rsid w:val="000F08FC"/>
    <w:rsid w:val="000F0E47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1E08"/>
    <w:rsid w:val="00112711"/>
    <w:rsid w:val="00113C94"/>
    <w:rsid w:val="00113D11"/>
    <w:rsid w:val="0011562A"/>
    <w:rsid w:val="00116B5C"/>
    <w:rsid w:val="00121F19"/>
    <w:rsid w:val="001234AC"/>
    <w:rsid w:val="001247AD"/>
    <w:rsid w:val="00130D22"/>
    <w:rsid w:val="00131186"/>
    <w:rsid w:val="001321CA"/>
    <w:rsid w:val="001324BF"/>
    <w:rsid w:val="00132C0C"/>
    <w:rsid w:val="00132E5B"/>
    <w:rsid w:val="0013370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4E4E"/>
    <w:rsid w:val="001755EC"/>
    <w:rsid w:val="00176087"/>
    <w:rsid w:val="00176198"/>
    <w:rsid w:val="001777CB"/>
    <w:rsid w:val="00180157"/>
    <w:rsid w:val="00180412"/>
    <w:rsid w:val="00182D1E"/>
    <w:rsid w:val="00182D46"/>
    <w:rsid w:val="001832AB"/>
    <w:rsid w:val="00185B4F"/>
    <w:rsid w:val="00185E83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4ADD"/>
    <w:rsid w:val="001A55A6"/>
    <w:rsid w:val="001A5E36"/>
    <w:rsid w:val="001A5FF9"/>
    <w:rsid w:val="001A7F3A"/>
    <w:rsid w:val="001B0129"/>
    <w:rsid w:val="001B10E0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24E6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63"/>
    <w:rsid w:val="002127B2"/>
    <w:rsid w:val="002152A4"/>
    <w:rsid w:val="002164B6"/>
    <w:rsid w:val="0021716C"/>
    <w:rsid w:val="00220F43"/>
    <w:rsid w:val="00221970"/>
    <w:rsid w:val="0022209D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614A"/>
    <w:rsid w:val="002369F2"/>
    <w:rsid w:val="00236C2C"/>
    <w:rsid w:val="00237836"/>
    <w:rsid w:val="00237AAA"/>
    <w:rsid w:val="0024150A"/>
    <w:rsid w:val="0024181C"/>
    <w:rsid w:val="00241946"/>
    <w:rsid w:val="00241CE3"/>
    <w:rsid w:val="00242041"/>
    <w:rsid w:val="00243BB5"/>
    <w:rsid w:val="00243C80"/>
    <w:rsid w:val="00245067"/>
    <w:rsid w:val="002474BE"/>
    <w:rsid w:val="00250DFF"/>
    <w:rsid w:val="00252D60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67601"/>
    <w:rsid w:val="002709F7"/>
    <w:rsid w:val="00271282"/>
    <w:rsid w:val="00271805"/>
    <w:rsid w:val="00271E81"/>
    <w:rsid w:val="002737FC"/>
    <w:rsid w:val="00275FF6"/>
    <w:rsid w:val="00276618"/>
    <w:rsid w:val="00276AF3"/>
    <w:rsid w:val="00277CEB"/>
    <w:rsid w:val="002802AF"/>
    <w:rsid w:val="00280377"/>
    <w:rsid w:val="0028153D"/>
    <w:rsid w:val="00282BF9"/>
    <w:rsid w:val="002839E5"/>
    <w:rsid w:val="00283B20"/>
    <w:rsid w:val="0028422A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0654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09DA"/>
    <w:rsid w:val="002C3699"/>
    <w:rsid w:val="002C3BA6"/>
    <w:rsid w:val="002C4B1B"/>
    <w:rsid w:val="002C4EAC"/>
    <w:rsid w:val="002C4F02"/>
    <w:rsid w:val="002C53E9"/>
    <w:rsid w:val="002C5FE4"/>
    <w:rsid w:val="002C67F7"/>
    <w:rsid w:val="002C760D"/>
    <w:rsid w:val="002C7CC7"/>
    <w:rsid w:val="002C7F32"/>
    <w:rsid w:val="002D0395"/>
    <w:rsid w:val="002D0568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3F9"/>
    <w:rsid w:val="00334719"/>
    <w:rsid w:val="003348DC"/>
    <w:rsid w:val="00335055"/>
    <w:rsid w:val="0033517A"/>
    <w:rsid w:val="00335CD6"/>
    <w:rsid w:val="00335D99"/>
    <w:rsid w:val="00335F4E"/>
    <w:rsid w:val="00336609"/>
    <w:rsid w:val="00337DCB"/>
    <w:rsid w:val="0034084C"/>
    <w:rsid w:val="00340A50"/>
    <w:rsid w:val="00342E60"/>
    <w:rsid w:val="00343101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5F8"/>
    <w:rsid w:val="00382F59"/>
    <w:rsid w:val="00383B81"/>
    <w:rsid w:val="0038532E"/>
    <w:rsid w:val="0038571B"/>
    <w:rsid w:val="00392DA3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1DCE"/>
    <w:rsid w:val="003A3587"/>
    <w:rsid w:val="003A4189"/>
    <w:rsid w:val="003A4468"/>
    <w:rsid w:val="003A48DD"/>
    <w:rsid w:val="003A49E3"/>
    <w:rsid w:val="003A61D6"/>
    <w:rsid w:val="003A6437"/>
    <w:rsid w:val="003A666B"/>
    <w:rsid w:val="003A6F0D"/>
    <w:rsid w:val="003A6F16"/>
    <w:rsid w:val="003A7495"/>
    <w:rsid w:val="003A7AA1"/>
    <w:rsid w:val="003B0083"/>
    <w:rsid w:val="003B0280"/>
    <w:rsid w:val="003B1FFE"/>
    <w:rsid w:val="003B3544"/>
    <w:rsid w:val="003B3CAF"/>
    <w:rsid w:val="003B4A77"/>
    <w:rsid w:val="003B676D"/>
    <w:rsid w:val="003B694E"/>
    <w:rsid w:val="003B6B93"/>
    <w:rsid w:val="003B6CAB"/>
    <w:rsid w:val="003B73CE"/>
    <w:rsid w:val="003C009E"/>
    <w:rsid w:val="003C1907"/>
    <w:rsid w:val="003C37E6"/>
    <w:rsid w:val="003D0ACB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D6C14"/>
    <w:rsid w:val="003E0107"/>
    <w:rsid w:val="003E0526"/>
    <w:rsid w:val="003E0B87"/>
    <w:rsid w:val="003E1AB9"/>
    <w:rsid w:val="003E2302"/>
    <w:rsid w:val="003E740A"/>
    <w:rsid w:val="003E7D29"/>
    <w:rsid w:val="003F0337"/>
    <w:rsid w:val="003F0413"/>
    <w:rsid w:val="003F1F7B"/>
    <w:rsid w:val="003F27B2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51FB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2F61"/>
    <w:rsid w:val="00435999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0E50"/>
    <w:rsid w:val="00481C04"/>
    <w:rsid w:val="00481E87"/>
    <w:rsid w:val="00482024"/>
    <w:rsid w:val="004846E6"/>
    <w:rsid w:val="00487798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E36"/>
    <w:rsid w:val="004A5F28"/>
    <w:rsid w:val="004A70B5"/>
    <w:rsid w:val="004A7B14"/>
    <w:rsid w:val="004B1BA3"/>
    <w:rsid w:val="004B200E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6CA5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1FEA"/>
    <w:rsid w:val="004E3552"/>
    <w:rsid w:val="004E4C1E"/>
    <w:rsid w:val="004E5648"/>
    <w:rsid w:val="004E6CA8"/>
    <w:rsid w:val="004E7049"/>
    <w:rsid w:val="004F2C3A"/>
    <w:rsid w:val="004F4A51"/>
    <w:rsid w:val="004F6BD1"/>
    <w:rsid w:val="004F7E7E"/>
    <w:rsid w:val="0050126B"/>
    <w:rsid w:val="00501A48"/>
    <w:rsid w:val="00504934"/>
    <w:rsid w:val="00504BCE"/>
    <w:rsid w:val="00504CCF"/>
    <w:rsid w:val="00504CDC"/>
    <w:rsid w:val="00505AD6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2F3B"/>
    <w:rsid w:val="005237A8"/>
    <w:rsid w:val="00523ACB"/>
    <w:rsid w:val="005256DF"/>
    <w:rsid w:val="0052587E"/>
    <w:rsid w:val="00526E18"/>
    <w:rsid w:val="00527FE3"/>
    <w:rsid w:val="0053325B"/>
    <w:rsid w:val="00534998"/>
    <w:rsid w:val="005349C3"/>
    <w:rsid w:val="0054124B"/>
    <w:rsid w:val="0054424E"/>
    <w:rsid w:val="005443E5"/>
    <w:rsid w:val="005446E1"/>
    <w:rsid w:val="00544D55"/>
    <w:rsid w:val="005464DE"/>
    <w:rsid w:val="00546A83"/>
    <w:rsid w:val="00546C62"/>
    <w:rsid w:val="00546E94"/>
    <w:rsid w:val="00547CEA"/>
    <w:rsid w:val="00547E86"/>
    <w:rsid w:val="00551C53"/>
    <w:rsid w:val="005525BF"/>
    <w:rsid w:val="00557163"/>
    <w:rsid w:val="00557380"/>
    <w:rsid w:val="00557BB0"/>
    <w:rsid w:val="005628F2"/>
    <w:rsid w:val="0056309E"/>
    <w:rsid w:val="00563483"/>
    <w:rsid w:val="0056397C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850D1"/>
    <w:rsid w:val="00590EB9"/>
    <w:rsid w:val="00590F3E"/>
    <w:rsid w:val="00592846"/>
    <w:rsid w:val="0059346B"/>
    <w:rsid w:val="0059406D"/>
    <w:rsid w:val="0059505C"/>
    <w:rsid w:val="00595407"/>
    <w:rsid w:val="00596EDF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5FC7"/>
    <w:rsid w:val="006360B1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864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97F"/>
    <w:rsid w:val="00666C84"/>
    <w:rsid w:val="00666F62"/>
    <w:rsid w:val="00667D91"/>
    <w:rsid w:val="00670483"/>
    <w:rsid w:val="00670762"/>
    <w:rsid w:val="00671AA6"/>
    <w:rsid w:val="00671C44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626"/>
    <w:rsid w:val="00685C35"/>
    <w:rsid w:val="006861B7"/>
    <w:rsid w:val="0068632E"/>
    <w:rsid w:val="00687EB4"/>
    <w:rsid w:val="006919D4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607E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15DA"/>
    <w:rsid w:val="006E33C3"/>
    <w:rsid w:val="006E41B4"/>
    <w:rsid w:val="006E59B9"/>
    <w:rsid w:val="006F10EB"/>
    <w:rsid w:val="006F210C"/>
    <w:rsid w:val="006F34F8"/>
    <w:rsid w:val="006F5853"/>
    <w:rsid w:val="006F6551"/>
    <w:rsid w:val="006F68DB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06D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4CA5"/>
    <w:rsid w:val="00755663"/>
    <w:rsid w:val="00760BD6"/>
    <w:rsid w:val="00760C17"/>
    <w:rsid w:val="00760FFF"/>
    <w:rsid w:val="007610DA"/>
    <w:rsid w:val="00761C04"/>
    <w:rsid w:val="00761C49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6DA7"/>
    <w:rsid w:val="00787F34"/>
    <w:rsid w:val="00790F1F"/>
    <w:rsid w:val="007918BA"/>
    <w:rsid w:val="0079345F"/>
    <w:rsid w:val="00794A74"/>
    <w:rsid w:val="00795974"/>
    <w:rsid w:val="00796E27"/>
    <w:rsid w:val="0079757B"/>
    <w:rsid w:val="007A04E6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D4934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363"/>
    <w:rsid w:val="00841972"/>
    <w:rsid w:val="00842772"/>
    <w:rsid w:val="008445F8"/>
    <w:rsid w:val="00844665"/>
    <w:rsid w:val="00844E60"/>
    <w:rsid w:val="00846321"/>
    <w:rsid w:val="0084696B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C17"/>
    <w:rsid w:val="00867DB0"/>
    <w:rsid w:val="00867E7C"/>
    <w:rsid w:val="00871296"/>
    <w:rsid w:val="00872496"/>
    <w:rsid w:val="008726B7"/>
    <w:rsid w:val="0087341B"/>
    <w:rsid w:val="00873B92"/>
    <w:rsid w:val="008753C9"/>
    <w:rsid w:val="00875C3C"/>
    <w:rsid w:val="00875DCB"/>
    <w:rsid w:val="00875F51"/>
    <w:rsid w:val="00880B13"/>
    <w:rsid w:val="0088150F"/>
    <w:rsid w:val="00881A6E"/>
    <w:rsid w:val="00882650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0471"/>
    <w:rsid w:val="008C1DA9"/>
    <w:rsid w:val="008C2143"/>
    <w:rsid w:val="008C219A"/>
    <w:rsid w:val="008C242C"/>
    <w:rsid w:val="008C266E"/>
    <w:rsid w:val="008C44E2"/>
    <w:rsid w:val="008C4FA4"/>
    <w:rsid w:val="008C606E"/>
    <w:rsid w:val="008C66B2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0996"/>
    <w:rsid w:val="008F179C"/>
    <w:rsid w:val="008F1EF3"/>
    <w:rsid w:val="008F4E9D"/>
    <w:rsid w:val="008F5214"/>
    <w:rsid w:val="008F571C"/>
    <w:rsid w:val="008F5F6B"/>
    <w:rsid w:val="008F67F8"/>
    <w:rsid w:val="00901AC7"/>
    <w:rsid w:val="00901C2D"/>
    <w:rsid w:val="00903D64"/>
    <w:rsid w:val="00904ED7"/>
    <w:rsid w:val="009051BC"/>
    <w:rsid w:val="0090557F"/>
    <w:rsid w:val="0090754F"/>
    <w:rsid w:val="009121CF"/>
    <w:rsid w:val="009140BB"/>
    <w:rsid w:val="009140C2"/>
    <w:rsid w:val="00914A47"/>
    <w:rsid w:val="009151A6"/>
    <w:rsid w:val="00916003"/>
    <w:rsid w:val="00917122"/>
    <w:rsid w:val="00917167"/>
    <w:rsid w:val="0092000E"/>
    <w:rsid w:val="009204CD"/>
    <w:rsid w:val="009209AF"/>
    <w:rsid w:val="0092217D"/>
    <w:rsid w:val="0092221B"/>
    <w:rsid w:val="00922376"/>
    <w:rsid w:val="00922AF5"/>
    <w:rsid w:val="00922D71"/>
    <w:rsid w:val="00924A6E"/>
    <w:rsid w:val="009275E1"/>
    <w:rsid w:val="009312CA"/>
    <w:rsid w:val="009345C8"/>
    <w:rsid w:val="00934BE0"/>
    <w:rsid w:val="00934E60"/>
    <w:rsid w:val="0093629C"/>
    <w:rsid w:val="00936E7B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7641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0E0"/>
    <w:rsid w:val="00970DCE"/>
    <w:rsid w:val="009714FC"/>
    <w:rsid w:val="009715D6"/>
    <w:rsid w:val="00972C6A"/>
    <w:rsid w:val="00973736"/>
    <w:rsid w:val="009737C3"/>
    <w:rsid w:val="009737EF"/>
    <w:rsid w:val="00974028"/>
    <w:rsid w:val="00974AAF"/>
    <w:rsid w:val="00975094"/>
    <w:rsid w:val="009767A0"/>
    <w:rsid w:val="00977061"/>
    <w:rsid w:val="009807B4"/>
    <w:rsid w:val="00980955"/>
    <w:rsid w:val="00981A5E"/>
    <w:rsid w:val="00981F82"/>
    <w:rsid w:val="00984F9A"/>
    <w:rsid w:val="00985650"/>
    <w:rsid w:val="0098574E"/>
    <w:rsid w:val="00986F62"/>
    <w:rsid w:val="009918FC"/>
    <w:rsid w:val="00991C9F"/>
    <w:rsid w:val="009931D0"/>
    <w:rsid w:val="00993550"/>
    <w:rsid w:val="0099399B"/>
    <w:rsid w:val="00993C91"/>
    <w:rsid w:val="00994CC1"/>
    <w:rsid w:val="00995A74"/>
    <w:rsid w:val="00996FA9"/>
    <w:rsid w:val="009976A7"/>
    <w:rsid w:val="009A1288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335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07254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3E1A"/>
    <w:rsid w:val="00A3467C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0C1D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142"/>
    <w:rsid w:val="00A90353"/>
    <w:rsid w:val="00A92584"/>
    <w:rsid w:val="00A925E5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A35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C7C73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7A9"/>
    <w:rsid w:val="00B13BEB"/>
    <w:rsid w:val="00B14255"/>
    <w:rsid w:val="00B14B6A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267A"/>
    <w:rsid w:val="00B53C1C"/>
    <w:rsid w:val="00B550FA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0D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14A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32A2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13E"/>
    <w:rsid w:val="00BE5AC9"/>
    <w:rsid w:val="00BE68C2"/>
    <w:rsid w:val="00BE6976"/>
    <w:rsid w:val="00BE6A8D"/>
    <w:rsid w:val="00BF027F"/>
    <w:rsid w:val="00BF435C"/>
    <w:rsid w:val="00C0045D"/>
    <w:rsid w:val="00C007EA"/>
    <w:rsid w:val="00C00CF0"/>
    <w:rsid w:val="00C02EAD"/>
    <w:rsid w:val="00C032ED"/>
    <w:rsid w:val="00C041CE"/>
    <w:rsid w:val="00C04CE8"/>
    <w:rsid w:val="00C06080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54F"/>
    <w:rsid w:val="00C25F85"/>
    <w:rsid w:val="00C26428"/>
    <w:rsid w:val="00C27DA6"/>
    <w:rsid w:val="00C31385"/>
    <w:rsid w:val="00C3151D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2B0D"/>
    <w:rsid w:val="00C42D0B"/>
    <w:rsid w:val="00C451C0"/>
    <w:rsid w:val="00C46C80"/>
    <w:rsid w:val="00C46D4E"/>
    <w:rsid w:val="00C46DC4"/>
    <w:rsid w:val="00C47178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289C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523A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0832"/>
    <w:rsid w:val="00CC12B0"/>
    <w:rsid w:val="00CC78C6"/>
    <w:rsid w:val="00CC7E69"/>
    <w:rsid w:val="00CD1794"/>
    <w:rsid w:val="00CD2080"/>
    <w:rsid w:val="00CD2C43"/>
    <w:rsid w:val="00CD5C7D"/>
    <w:rsid w:val="00CD7251"/>
    <w:rsid w:val="00CD792C"/>
    <w:rsid w:val="00CE0427"/>
    <w:rsid w:val="00CE098F"/>
    <w:rsid w:val="00CE1BE9"/>
    <w:rsid w:val="00CE1D03"/>
    <w:rsid w:val="00CE3706"/>
    <w:rsid w:val="00CE3729"/>
    <w:rsid w:val="00CE3E3B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D71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6B9E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3C1"/>
    <w:rsid w:val="00D44B7E"/>
    <w:rsid w:val="00D44F30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77888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0C9D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414B"/>
    <w:rsid w:val="00DD5436"/>
    <w:rsid w:val="00DD7696"/>
    <w:rsid w:val="00DE0766"/>
    <w:rsid w:val="00DE19EE"/>
    <w:rsid w:val="00DE1B1C"/>
    <w:rsid w:val="00DE1E86"/>
    <w:rsid w:val="00DE2E1A"/>
    <w:rsid w:val="00DE3242"/>
    <w:rsid w:val="00DE32AD"/>
    <w:rsid w:val="00DE4062"/>
    <w:rsid w:val="00DE4745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1557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AA4"/>
    <w:rsid w:val="00E71C30"/>
    <w:rsid w:val="00E727C3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0340"/>
    <w:rsid w:val="00E917DE"/>
    <w:rsid w:val="00E935B5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479B"/>
    <w:rsid w:val="00EB4E04"/>
    <w:rsid w:val="00EB67EB"/>
    <w:rsid w:val="00EB67FF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0F8"/>
    <w:rsid w:val="00ED75BB"/>
    <w:rsid w:val="00ED7650"/>
    <w:rsid w:val="00EE065C"/>
    <w:rsid w:val="00EE137F"/>
    <w:rsid w:val="00EE284D"/>
    <w:rsid w:val="00EE2BA2"/>
    <w:rsid w:val="00EE31CF"/>
    <w:rsid w:val="00EE5BAE"/>
    <w:rsid w:val="00EF16E7"/>
    <w:rsid w:val="00EF1D57"/>
    <w:rsid w:val="00EF2B52"/>
    <w:rsid w:val="00EF49DF"/>
    <w:rsid w:val="00EF5760"/>
    <w:rsid w:val="00EF77A2"/>
    <w:rsid w:val="00F00FF5"/>
    <w:rsid w:val="00F014BE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34D56"/>
    <w:rsid w:val="00F400EC"/>
    <w:rsid w:val="00F43304"/>
    <w:rsid w:val="00F43467"/>
    <w:rsid w:val="00F4553F"/>
    <w:rsid w:val="00F45555"/>
    <w:rsid w:val="00F46A7B"/>
    <w:rsid w:val="00F47789"/>
    <w:rsid w:val="00F47AD9"/>
    <w:rsid w:val="00F47E06"/>
    <w:rsid w:val="00F50E62"/>
    <w:rsid w:val="00F5249D"/>
    <w:rsid w:val="00F524D0"/>
    <w:rsid w:val="00F55DA7"/>
    <w:rsid w:val="00F573DA"/>
    <w:rsid w:val="00F57D47"/>
    <w:rsid w:val="00F57D8E"/>
    <w:rsid w:val="00F6069F"/>
    <w:rsid w:val="00F62EC6"/>
    <w:rsid w:val="00F630EE"/>
    <w:rsid w:val="00F63AB5"/>
    <w:rsid w:val="00F63F72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5DAD"/>
    <w:rsid w:val="00F76570"/>
    <w:rsid w:val="00F77FD0"/>
    <w:rsid w:val="00F83458"/>
    <w:rsid w:val="00F84BF6"/>
    <w:rsid w:val="00F85B18"/>
    <w:rsid w:val="00F85C46"/>
    <w:rsid w:val="00F868F3"/>
    <w:rsid w:val="00F91E53"/>
    <w:rsid w:val="00F92AAE"/>
    <w:rsid w:val="00F95E52"/>
    <w:rsid w:val="00F96A4A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802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5FA8-066B-4652-BBA1-0880D024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19/1444r1</vt:lpstr>
    </vt:vector>
  </TitlesOfParts>
  <Company>Huawei Technologies</Company>
  <LinksUpToDate>false</LinksUpToDate>
  <CharactersWithSpaces>19625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19/1444r2</dc:title>
  <dc:subject>Comment Resolution for CID1014</dc:subject>
  <dc:creator>Edward Au</dc:creator>
  <cp:keywords>Submission</cp:keywords>
  <dc:description>Proposed changes re IEEE-SA MEC comment related to Draft 2.1 of IEEE P802.11REVmd</dc:description>
  <cp:lastModifiedBy>Edward Au</cp:lastModifiedBy>
  <cp:revision>441</cp:revision>
  <cp:lastPrinted>2011-03-31T18:31:00Z</cp:lastPrinted>
  <dcterms:created xsi:type="dcterms:W3CDTF">2017-12-15T16:00:00Z</dcterms:created>
  <dcterms:modified xsi:type="dcterms:W3CDTF">2019-09-02T20:43:00Z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