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3DB1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50204ED7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3F2902D5" w14:textId="1B5E1129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235E7A6D" w14:textId="49435B68" w:rsidR="00707D9A" w:rsidRDefault="001015D0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March </w:t>
            </w:r>
            <w:r w:rsidR="00CC2C93">
              <w:rPr>
                <w:rFonts w:ascii="Verdana" w:hAnsi="Verdana"/>
                <w:color w:val="000000"/>
                <w:szCs w:val="17"/>
              </w:rPr>
              <w:t>27</w:t>
            </w:r>
            <w:r w:rsidR="001E0831">
              <w:rPr>
                <w:rFonts w:ascii="Verdana" w:hAnsi="Verdana"/>
                <w:color w:val="000000"/>
                <w:szCs w:val="17"/>
              </w:rPr>
              <w:t>th</w:t>
            </w:r>
            <w:r w:rsidR="008C0099">
              <w:rPr>
                <w:rFonts w:ascii="Verdana" w:hAnsi="Verdana"/>
                <w:color w:val="000000"/>
                <w:szCs w:val="17"/>
              </w:rPr>
              <w:t>, 201</w:t>
            </w:r>
            <w:r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7A8B614A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2076BBAC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7D6ACC" w14:textId="432E92D8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201</w:t>
            </w:r>
            <w:r w:rsidR="00670844">
              <w:rPr>
                <w:b w:val="0"/>
                <w:sz w:val="20"/>
              </w:rPr>
              <w:t>9</w:t>
            </w:r>
            <w:r w:rsidR="001E0831">
              <w:rPr>
                <w:b w:val="0"/>
                <w:sz w:val="20"/>
              </w:rPr>
              <w:t>-</w:t>
            </w:r>
            <w:r w:rsidR="00670844">
              <w:rPr>
                <w:b w:val="0"/>
                <w:sz w:val="20"/>
              </w:rPr>
              <w:t>03</w:t>
            </w:r>
            <w:r w:rsidR="0038380C">
              <w:rPr>
                <w:b w:val="0"/>
                <w:sz w:val="20"/>
              </w:rPr>
              <w:t>-</w:t>
            </w:r>
            <w:r w:rsidR="00CC2C93">
              <w:rPr>
                <w:b w:val="0"/>
                <w:sz w:val="20"/>
              </w:rPr>
              <w:t>27</w:t>
            </w:r>
          </w:p>
        </w:tc>
      </w:tr>
      <w:tr w:rsidR="00CA09B2" w14:paraId="5D9F5209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0A8B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67A8F54" w14:textId="77777777" w:rsidTr="008B36C8">
        <w:trPr>
          <w:jc w:val="center"/>
        </w:trPr>
        <w:tc>
          <w:tcPr>
            <w:tcW w:w="1255" w:type="dxa"/>
            <w:vAlign w:val="center"/>
          </w:tcPr>
          <w:p w14:paraId="441AF9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59E5D2E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60D98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138353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302BAC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46F5EB0" w14:textId="77777777" w:rsidTr="008B36C8">
        <w:trPr>
          <w:jc w:val="center"/>
        </w:trPr>
        <w:tc>
          <w:tcPr>
            <w:tcW w:w="1255" w:type="dxa"/>
            <w:vAlign w:val="center"/>
          </w:tcPr>
          <w:p w14:paraId="76D938B8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0661D552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7241629C" w14:textId="77777777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170E0E0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726FC1EC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7F906BC3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BBCA81" wp14:editId="645495B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1F985" w14:textId="77777777" w:rsidR="009755D8" w:rsidRPr="00B32A80" w:rsidRDefault="009755D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7E7E27CC" w14:textId="4825FF16" w:rsidR="009755D8" w:rsidRPr="00B32A80" w:rsidRDefault="009755D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="008E42F9">
                              <w:rPr>
                                <w:color w:val="000000"/>
                              </w:rPr>
                              <w:t>TG</w:t>
                            </w:r>
                            <w:r w:rsidR="008C0099">
                              <w:rPr>
                                <w:color w:val="000000"/>
                              </w:rPr>
                              <w:t xml:space="preserve">az Teleconference: </w:t>
                            </w:r>
                            <w:r w:rsidR="001015D0">
                              <w:rPr>
                                <w:color w:val="000000"/>
                              </w:rPr>
                              <w:t xml:space="preserve">March </w:t>
                            </w:r>
                            <w:r w:rsidR="00CC2C93">
                              <w:rPr>
                                <w:color w:val="000000"/>
                              </w:rPr>
                              <w:t>27</w:t>
                            </w:r>
                            <w:r w:rsidR="001015D0" w:rsidRPr="001015D0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1015D0">
                              <w:rPr>
                                <w:color w:val="000000"/>
                              </w:rPr>
                              <w:t>,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BCA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1B71F985" w14:textId="77777777" w:rsidR="009755D8" w:rsidRPr="00B32A80" w:rsidRDefault="009755D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7E7E27CC" w14:textId="4825FF16" w:rsidR="009755D8" w:rsidRPr="00B32A80" w:rsidRDefault="009755D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="008E42F9">
                        <w:rPr>
                          <w:color w:val="000000"/>
                        </w:rPr>
                        <w:t>TG</w:t>
                      </w:r>
                      <w:r w:rsidR="008C0099">
                        <w:rPr>
                          <w:color w:val="000000"/>
                        </w:rPr>
                        <w:t xml:space="preserve">az Teleconference: </w:t>
                      </w:r>
                      <w:r w:rsidR="001015D0">
                        <w:rPr>
                          <w:color w:val="000000"/>
                        </w:rPr>
                        <w:t xml:space="preserve">March </w:t>
                      </w:r>
                      <w:r w:rsidR="00CC2C93">
                        <w:rPr>
                          <w:color w:val="000000"/>
                        </w:rPr>
                        <w:t>27</w:t>
                      </w:r>
                      <w:r w:rsidR="001015D0" w:rsidRPr="001015D0">
                        <w:rPr>
                          <w:color w:val="000000"/>
                          <w:vertAlign w:val="superscript"/>
                        </w:rPr>
                        <w:t>th</w:t>
                      </w:r>
                      <w:r w:rsidR="001015D0">
                        <w:rPr>
                          <w:color w:val="000000"/>
                        </w:rPr>
                        <w:t>,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2831245" w14:textId="77777777" w:rsidR="00CA09B2" w:rsidRDefault="00CA09B2" w:rsidP="00E63B8F">
      <w:r>
        <w:br w:type="page"/>
      </w:r>
    </w:p>
    <w:p w14:paraId="5960D9C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738F72AB" w14:textId="111DACBA" w:rsidR="00531651" w:rsidRPr="00A36A5F" w:rsidRDefault="001015D0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 xml:space="preserve">March </w:t>
      </w:r>
      <w:r w:rsidR="00CC2C93">
        <w:rPr>
          <w:rFonts w:eastAsia="PMingLiU"/>
          <w:b/>
          <w:sz w:val="28"/>
          <w:lang w:eastAsia="zh-TW"/>
        </w:rPr>
        <w:t>27</w:t>
      </w:r>
      <w:r w:rsidR="001E0831">
        <w:rPr>
          <w:rFonts w:eastAsia="PMingLiU"/>
          <w:b/>
          <w:sz w:val="28"/>
          <w:lang w:eastAsia="zh-TW"/>
        </w:rPr>
        <w:t>th</w:t>
      </w:r>
      <w:r w:rsidR="00A56670">
        <w:rPr>
          <w:b/>
          <w:sz w:val="28"/>
          <w:lang w:eastAsia="ja-JP"/>
        </w:rPr>
        <w:t>, 201</w:t>
      </w:r>
      <w:r>
        <w:rPr>
          <w:b/>
          <w:sz w:val="28"/>
          <w:lang w:eastAsia="ja-JP"/>
        </w:rPr>
        <w:t>9</w:t>
      </w:r>
    </w:p>
    <w:p w14:paraId="2965F5A9" w14:textId="77777777" w:rsidR="0065478D" w:rsidRDefault="0065478D" w:rsidP="0065478D"/>
    <w:p w14:paraId="631F35BF" w14:textId="7034A8D1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CC2C93" w:rsidRPr="004F2658">
        <w:rPr>
          <w:b/>
          <w:sz w:val="22"/>
          <w:szCs w:val="22"/>
        </w:rPr>
        <w:t>27</w:t>
      </w:r>
      <w:r w:rsidR="001E0831" w:rsidRPr="004F2658">
        <w:rPr>
          <w:b/>
          <w:sz w:val="22"/>
          <w:szCs w:val="22"/>
          <w:vertAlign w:val="superscript"/>
        </w:rPr>
        <w:t>th</w:t>
      </w:r>
      <w:r w:rsidR="001E0831" w:rsidRPr="004F2658">
        <w:rPr>
          <w:b/>
          <w:sz w:val="22"/>
          <w:szCs w:val="22"/>
        </w:rPr>
        <w:t xml:space="preserve"> </w:t>
      </w:r>
      <w:r w:rsidR="001015D0" w:rsidRPr="004F2658">
        <w:rPr>
          <w:b/>
          <w:sz w:val="22"/>
          <w:szCs w:val="22"/>
        </w:rPr>
        <w:t>March</w:t>
      </w:r>
      <w:r w:rsidR="00EA1940" w:rsidRPr="004F2658">
        <w:rPr>
          <w:b/>
          <w:sz w:val="22"/>
          <w:szCs w:val="22"/>
        </w:rPr>
        <w:t>,</w:t>
      </w:r>
      <w:r w:rsidR="00A56670" w:rsidRPr="004F2658">
        <w:rPr>
          <w:b/>
          <w:sz w:val="22"/>
          <w:szCs w:val="22"/>
        </w:rPr>
        <w:t xml:space="preserve"> 201</w:t>
      </w:r>
      <w:r w:rsidR="001015D0" w:rsidRPr="004F2658">
        <w:rPr>
          <w:b/>
          <w:sz w:val="22"/>
          <w:szCs w:val="22"/>
        </w:rPr>
        <w:t>9</w:t>
      </w:r>
      <w:r w:rsidR="00BC0DFF" w:rsidRPr="004F2658">
        <w:rPr>
          <w:b/>
          <w:sz w:val="22"/>
          <w:szCs w:val="22"/>
        </w:rPr>
        <w:t xml:space="preserve"> </w:t>
      </w:r>
    </w:p>
    <w:p w14:paraId="3F5DBA00" w14:textId="46C8D70B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>TGaz C</w:t>
      </w:r>
      <w:r w:rsidR="00531651" w:rsidRPr="004F2658">
        <w:rPr>
          <w:sz w:val="22"/>
          <w:szCs w:val="22"/>
        </w:rPr>
        <w:t xml:space="preserve">hair, </w:t>
      </w:r>
      <w:r w:rsidR="00C4135A" w:rsidRPr="004F2658">
        <w:rPr>
          <w:sz w:val="22"/>
          <w:szCs w:val="22"/>
        </w:rPr>
        <w:t>Jonathan Segev</w:t>
      </w:r>
      <w:r w:rsidRPr="004F2658">
        <w:rPr>
          <w:sz w:val="22"/>
          <w:szCs w:val="22"/>
        </w:rPr>
        <w:t xml:space="preserve"> (</w:t>
      </w:r>
      <w:r w:rsidR="00372ABE" w:rsidRPr="004F2658">
        <w:rPr>
          <w:sz w:val="22"/>
          <w:szCs w:val="22"/>
        </w:rPr>
        <w:t>Intel Corporation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 xml:space="preserve">and Vice Chair, Assaf Kasher (Qualcomm), Roy Want (Google) Secretary, at </w:t>
      </w:r>
      <w:r w:rsidR="00CC2C93" w:rsidRPr="004F2658">
        <w:rPr>
          <w:b/>
          <w:sz w:val="22"/>
          <w:szCs w:val="22"/>
        </w:rPr>
        <w:t>10</w:t>
      </w:r>
      <w:r w:rsidR="006F4CB4" w:rsidRPr="004F2658">
        <w:rPr>
          <w:b/>
          <w:sz w:val="22"/>
          <w:szCs w:val="22"/>
        </w:rPr>
        <w:t>am PT,</w:t>
      </w:r>
    </w:p>
    <w:p w14:paraId="09B57522" w14:textId="38F029DD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Pr="004F2658">
        <w:rPr>
          <w:rFonts w:hint="eastAsia"/>
          <w:b/>
          <w:sz w:val="22"/>
          <w:szCs w:val="22"/>
          <w:lang w:eastAsia="ja-JP"/>
        </w:rPr>
        <w:t>/</w:t>
      </w:r>
      <w:r w:rsidR="006C112E" w:rsidRPr="004F2658">
        <w:rPr>
          <w:b/>
          <w:sz w:val="22"/>
          <w:szCs w:val="22"/>
          <w:lang w:eastAsia="ja-JP"/>
        </w:rPr>
        <w:t>216</w:t>
      </w:r>
      <w:r w:rsidR="001015D0" w:rsidRPr="004F2658">
        <w:rPr>
          <w:b/>
          <w:sz w:val="22"/>
          <w:szCs w:val="22"/>
          <w:lang w:eastAsia="ja-JP"/>
        </w:rPr>
        <w:t>r0</w:t>
      </w:r>
      <w:r w:rsidR="00DF584B" w:rsidRPr="004F2658">
        <w:rPr>
          <w:b/>
          <w:sz w:val="22"/>
          <w:szCs w:val="22"/>
          <w:lang w:eastAsia="ja-JP"/>
        </w:rPr>
        <w:t xml:space="preserve"> (slide 14)</w:t>
      </w:r>
    </w:p>
    <w:p w14:paraId="115B58BE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34E28ECB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728CD9B6" w14:textId="7392DCD4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2088FE66" w14:textId="348D863A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0A2D1773" w14:textId="42945C75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7EE95364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6F03BBE7" w14:textId="3E4E18BE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58312182" w14:textId="03ADC89B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2F538C" w:rsidRPr="004F2658">
        <w:rPr>
          <w:sz w:val="22"/>
          <w:szCs w:val="22"/>
          <w:lang w:eastAsia="ja-JP"/>
        </w:rPr>
        <w:t>~</w:t>
      </w:r>
      <w:r w:rsidR="009437DE" w:rsidRPr="004F2658">
        <w:rPr>
          <w:sz w:val="22"/>
          <w:szCs w:val="22"/>
          <w:lang w:eastAsia="ja-JP"/>
        </w:rPr>
        <w:t>2</w:t>
      </w:r>
      <w:r w:rsidR="0023274D" w:rsidRPr="004F2658">
        <w:rPr>
          <w:sz w:val="22"/>
          <w:szCs w:val="22"/>
          <w:lang w:eastAsia="ja-JP"/>
        </w:rPr>
        <w:t>3</w:t>
      </w:r>
      <w:r w:rsidR="0010417A" w:rsidRPr="004F2658">
        <w:rPr>
          <w:sz w:val="22"/>
          <w:szCs w:val="22"/>
          <w:lang w:eastAsia="ja-JP"/>
        </w:rPr>
        <w:t xml:space="preserve">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64AFAF9B" w14:textId="70596216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Agenda</w:t>
      </w:r>
    </w:p>
    <w:p w14:paraId="42F0B7EF" w14:textId="7DD082E0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agenda </w:t>
      </w:r>
    </w:p>
    <w:p w14:paraId="4339B865" w14:textId="41D57245" w:rsidR="00D27101" w:rsidRPr="004F2658" w:rsidRDefault="00D2710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Time </w:t>
      </w:r>
      <w:r w:rsidR="000063B4" w:rsidRPr="004F2658">
        <w:rPr>
          <w:sz w:val="22"/>
          <w:szCs w:val="22"/>
        </w:rPr>
        <w:t>setting</w:t>
      </w:r>
      <w:r w:rsidRPr="004F2658">
        <w:rPr>
          <w:sz w:val="22"/>
          <w:szCs w:val="22"/>
        </w:rPr>
        <w:t xml:space="preserve">: </w:t>
      </w:r>
      <w:r w:rsidRPr="004F2658">
        <w:rPr>
          <w:b/>
          <w:sz w:val="22"/>
          <w:szCs w:val="22"/>
        </w:rPr>
        <w:t>11-19/470</w:t>
      </w:r>
      <w:r w:rsidRPr="004F2658">
        <w:rPr>
          <w:sz w:val="22"/>
          <w:szCs w:val="22"/>
        </w:rPr>
        <w:t xml:space="preserve"> (30mins)</w:t>
      </w:r>
      <w:r w:rsidR="002F538C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</w:t>
      </w:r>
      <w:r w:rsidR="00C81B2E" w:rsidRPr="004F2658">
        <w:rPr>
          <w:sz w:val="22"/>
          <w:szCs w:val="22"/>
        </w:rPr>
        <w:t xml:space="preserve">and </w:t>
      </w:r>
      <w:r w:rsidR="002F538C" w:rsidRPr="004F2658">
        <w:rPr>
          <w:b/>
          <w:sz w:val="22"/>
          <w:szCs w:val="22"/>
        </w:rPr>
        <w:t>11-19/</w:t>
      </w:r>
      <w:r w:rsidRPr="004F2658">
        <w:rPr>
          <w:b/>
          <w:sz w:val="22"/>
          <w:szCs w:val="22"/>
        </w:rPr>
        <w:t>558</w:t>
      </w:r>
      <w:r w:rsidRPr="004F2658">
        <w:rPr>
          <w:sz w:val="22"/>
          <w:szCs w:val="22"/>
        </w:rPr>
        <w:t xml:space="preserve"> (35mins)</w:t>
      </w:r>
    </w:p>
    <w:p w14:paraId="143888BA" w14:textId="48DD0AB9" w:rsidR="009755D8" w:rsidRPr="004F2658" w:rsidRDefault="00531651" w:rsidP="00EA1940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Chair called for any additional feedback and changes to agenda</w:t>
      </w:r>
      <w:r w:rsidR="00386590" w:rsidRPr="004F2658">
        <w:rPr>
          <w:sz w:val="22"/>
          <w:szCs w:val="22"/>
        </w:rPr>
        <w:t>.</w:t>
      </w:r>
      <w:r w:rsidR="009755D8" w:rsidRPr="004F2658">
        <w:rPr>
          <w:sz w:val="22"/>
          <w:szCs w:val="22"/>
        </w:rPr>
        <w:t xml:space="preserve"> - none</w:t>
      </w:r>
      <w:r w:rsidR="00F523A5" w:rsidRPr="004F2658">
        <w:rPr>
          <w:sz w:val="22"/>
          <w:szCs w:val="22"/>
        </w:rPr>
        <w:br/>
      </w:r>
    </w:p>
    <w:p w14:paraId="172245A3" w14:textId="6CCD3236" w:rsidR="00C02C90" w:rsidRPr="004F2658" w:rsidRDefault="00F523A5" w:rsidP="002F538C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 </w:t>
      </w:r>
      <w:proofErr w:type="spellStart"/>
      <w:r w:rsidR="002F538C" w:rsidRPr="004F2658">
        <w:rPr>
          <w:sz w:val="22"/>
          <w:szCs w:val="22"/>
        </w:rPr>
        <w:t>Liwen</w:t>
      </w:r>
      <w:proofErr w:type="spellEnd"/>
      <w:r w:rsidR="002F538C" w:rsidRPr="004F2658">
        <w:rPr>
          <w:sz w:val="22"/>
          <w:szCs w:val="22"/>
        </w:rPr>
        <w:t xml:space="preserve"> Chu (Marvell) </w:t>
      </w:r>
      <w:r w:rsidR="006D0E43" w:rsidRPr="004F2658">
        <w:rPr>
          <w:sz w:val="22"/>
          <w:szCs w:val="22"/>
        </w:rPr>
        <w:t>presented document</w:t>
      </w:r>
      <w:r w:rsidR="00C02C90" w:rsidRPr="004F2658">
        <w:rPr>
          <w:sz w:val="22"/>
          <w:szCs w:val="22"/>
        </w:rPr>
        <w:t xml:space="preserve"> </w:t>
      </w:r>
      <w:r w:rsidR="00053E46" w:rsidRPr="004F2658">
        <w:rPr>
          <w:b/>
          <w:sz w:val="22"/>
          <w:szCs w:val="22"/>
        </w:rPr>
        <w:t>11-1</w:t>
      </w:r>
      <w:r w:rsidR="000302DC" w:rsidRPr="004F2658">
        <w:rPr>
          <w:b/>
          <w:sz w:val="22"/>
          <w:szCs w:val="22"/>
        </w:rPr>
        <w:t>9</w:t>
      </w:r>
      <w:r w:rsidR="00A56670" w:rsidRPr="004F2658">
        <w:rPr>
          <w:b/>
          <w:sz w:val="22"/>
          <w:szCs w:val="22"/>
        </w:rPr>
        <w:t>/</w:t>
      </w:r>
      <w:r w:rsidR="002F538C" w:rsidRPr="004F2658">
        <w:rPr>
          <w:b/>
          <w:sz w:val="22"/>
          <w:szCs w:val="22"/>
        </w:rPr>
        <w:t>470</w:t>
      </w:r>
      <w:r w:rsidR="003E7004" w:rsidRPr="004F2658">
        <w:rPr>
          <w:b/>
          <w:sz w:val="22"/>
          <w:szCs w:val="22"/>
        </w:rPr>
        <w:t>r0</w:t>
      </w:r>
    </w:p>
    <w:p w14:paraId="18D646E6" w14:textId="271A579F" w:rsidR="00C02C90" w:rsidRPr="004F2658" w:rsidRDefault="00C02C90" w:rsidP="003E7004">
      <w:pPr>
        <w:numPr>
          <w:ilvl w:val="2"/>
          <w:numId w:val="23"/>
        </w:numPr>
        <w:rPr>
          <w:sz w:val="22"/>
          <w:szCs w:val="22"/>
          <w:lang w:val="en-GB"/>
        </w:rPr>
      </w:pPr>
      <w:r w:rsidRPr="004F2658">
        <w:rPr>
          <w:b/>
          <w:sz w:val="22"/>
          <w:szCs w:val="22"/>
        </w:rPr>
        <w:t>Title</w:t>
      </w:r>
      <w:r w:rsidRPr="004F2658">
        <w:rPr>
          <w:sz w:val="22"/>
          <w:szCs w:val="22"/>
        </w:rPr>
        <w:t xml:space="preserve">: </w:t>
      </w:r>
      <w:r w:rsidR="002F538C" w:rsidRPr="004F2658">
        <w:rPr>
          <w:sz w:val="22"/>
          <w:szCs w:val="22"/>
          <w:lang w:val="en-GB"/>
        </w:rPr>
        <w:t>TB NDP Ranging Synchronization.</w:t>
      </w:r>
    </w:p>
    <w:p w14:paraId="284CA3DB" w14:textId="24285B92" w:rsidR="003E7004" w:rsidRPr="004F2658" w:rsidRDefault="00C02C90" w:rsidP="009437DE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b/>
          <w:sz w:val="22"/>
          <w:szCs w:val="22"/>
        </w:rPr>
        <w:t>Summary</w:t>
      </w:r>
      <w:r w:rsidR="003E7004" w:rsidRPr="004F2658">
        <w:rPr>
          <w:b/>
          <w:sz w:val="22"/>
          <w:szCs w:val="22"/>
        </w:rPr>
        <w:t>:</w:t>
      </w:r>
      <w:r w:rsidR="002F538C" w:rsidRPr="004F2658">
        <w:rPr>
          <w:b/>
          <w:sz w:val="22"/>
          <w:szCs w:val="22"/>
        </w:rPr>
        <w:t xml:space="preserve"> </w:t>
      </w:r>
      <w:r w:rsidR="002F538C" w:rsidRPr="004F2658">
        <w:rPr>
          <w:sz w:val="22"/>
          <w:szCs w:val="22"/>
          <w:lang w:eastAsia="ko-KR"/>
        </w:rPr>
        <w:t xml:space="preserve">[Resolution for CID: 1888] </w:t>
      </w:r>
      <w:r w:rsidR="002F538C" w:rsidRPr="004F2658">
        <w:rPr>
          <w:rFonts w:hint="eastAsia"/>
          <w:sz w:val="22"/>
          <w:szCs w:val="22"/>
          <w:lang w:eastAsia="ko-KR"/>
        </w:rPr>
        <w:t>This submission propos</w:t>
      </w:r>
      <w:r w:rsidR="002F538C" w:rsidRPr="004F2658">
        <w:rPr>
          <w:sz w:val="22"/>
          <w:szCs w:val="22"/>
          <w:lang w:eastAsia="ko-KR"/>
        </w:rPr>
        <w:t>es</w:t>
      </w:r>
      <w:r w:rsidR="002F538C" w:rsidRPr="004F2658">
        <w:rPr>
          <w:rFonts w:hint="eastAsia"/>
          <w:sz w:val="22"/>
          <w:szCs w:val="22"/>
          <w:lang w:eastAsia="ko-KR"/>
        </w:rPr>
        <w:t xml:space="preserve"> </w:t>
      </w:r>
      <w:r w:rsidR="002F538C" w:rsidRPr="004F2658">
        <w:rPr>
          <w:sz w:val="22"/>
          <w:szCs w:val="22"/>
          <w:lang w:eastAsia="ko-KR"/>
        </w:rPr>
        <w:t>the text for TB NDP ranging synchronization.</w:t>
      </w:r>
    </w:p>
    <w:p w14:paraId="6A62271B" w14:textId="6556D197" w:rsidR="00196BE8" w:rsidRPr="004F2658" w:rsidRDefault="002F538C" w:rsidP="00C81B2E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b/>
          <w:sz w:val="22"/>
          <w:szCs w:val="22"/>
        </w:rPr>
        <w:t>Discussion</w:t>
      </w:r>
      <w:r w:rsidR="006C112E" w:rsidRPr="004F2658">
        <w:rPr>
          <w:b/>
          <w:sz w:val="22"/>
          <w:szCs w:val="22"/>
        </w:rPr>
        <w:t xml:space="preserve"> of presen</w:t>
      </w:r>
      <w:r w:rsidR="00C559B6">
        <w:rPr>
          <w:b/>
          <w:sz w:val="22"/>
          <w:szCs w:val="22"/>
        </w:rPr>
        <w:t>t</w:t>
      </w:r>
      <w:r w:rsidR="006C112E" w:rsidRPr="004F2658">
        <w:rPr>
          <w:b/>
          <w:sz w:val="22"/>
          <w:szCs w:val="22"/>
        </w:rPr>
        <w:t>ation</w:t>
      </w:r>
      <w:r w:rsidRPr="004F2658">
        <w:rPr>
          <w:sz w:val="22"/>
          <w:szCs w:val="22"/>
        </w:rPr>
        <w:t xml:space="preserve">: </w:t>
      </w:r>
    </w:p>
    <w:p w14:paraId="39995338" w14:textId="159A2F93" w:rsidR="00196BE8" w:rsidRPr="004F2658" w:rsidRDefault="00196BE8" w:rsidP="00670844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C. If we want to keep 16 bits (vs. 32bits) </w:t>
      </w:r>
      <w:r w:rsidR="00234EC3">
        <w:rPr>
          <w:sz w:val="22"/>
          <w:szCs w:val="22"/>
        </w:rPr>
        <w:t xml:space="preserve">for the TSF, </w:t>
      </w:r>
      <w:bookmarkStart w:id="0" w:name="_GoBack"/>
      <w:bookmarkEnd w:id="0"/>
      <w:r w:rsidRPr="004F2658">
        <w:rPr>
          <w:sz w:val="22"/>
          <w:szCs w:val="22"/>
        </w:rPr>
        <w:t xml:space="preserve">we need to </w:t>
      </w:r>
      <w:r w:rsidR="000063B4" w:rsidRPr="004F2658">
        <w:rPr>
          <w:sz w:val="22"/>
          <w:szCs w:val="22"/>
        </w:rPr>
        <w:t xml:space="preserve">decide </w:t>
      </w:r>
      <w:r w:rsidRPr="004F2658">
        <w:rPr>
          <w:sz w:val="22"/>
          <w:szCs w:val="22"/>
        </w:rPr>
        <w:t>the resolution we need.</w:t>
      </w:r>
    </w:p>
    <w:p w14:paraId="3F394C6A" w14:textId="3B9FE734" w:rsidR="00196BE8" w:rsidRPr="004F2658" w:rsidRDefault="00196BE8" w:rsidP="00670844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R. This is </w:t>
      </w:r>
      <w:r w:rsidR="00C81B2E" w:rsidRPr="004F2658">
        <w:rPr>
          <w:sz w:val="22"/>
          <w:szCs w:val="22"/>
        </w:rPr>
        <w:t>the way it</w:t>
      </w:r>
      <w:r w:rsidR="000063B4" w:rsidRPr="004F2658">
        <w:rPr>
          <w:sz w:val="22"/>
          <w:szCs w:val="22"/>
        </w:rPr>
        <w:t>’</w:t>
      </w:r>
      <w:r w:rsidR="00C81B2E" w:rsidRPr="004F2658">
        <w:rPr>
          <w:sz w:val="22"/>
          <w:szCs w:val="22"/>
        </w:rPr>
        <w:t xml:space="preserve">s </w:t>
      </w:r>
      <w:r w:rsidRPr="004F2658">
        <w:rPr>
          <w:sz w:val="22"/>
          <w:szCs w:val="22"/>
        </w:rPr>
        <w:t>used in FTM</w:t>
      </w:r>
      <w:r w:rsidR="00C81B2E" w:rsidRPr="004F2658">
        <w:rPr>
          <w:sz w:val="22"/>
          <w:szCs w:val="22"/>
        </w:rPr>
        <w:t xml:space="preserve"> </w:t>
      </w:r>
      <w:r w:rsidR="000063B4" w:rsidRPr="004F2658">
        <w:rPr>
          <w:sz w:val="22"/>
          <w:szCs w:val="22"/>
        </w:rPr>
        <w:t xml:space="preserve">with </w:t>
      </w:r>
      <w:r w:rsidR="00C81B2E" w:rsidRPr="004F2658">
        <w:rPr>
          <w:sz w:val="22"/>
          <w:szCs w:val="22"/>
        </w:rPr>
        <w:t>1 microsecond</w:t>
      </w:r>
      <w:r w:rsidR="000063B4" w:rsidRPr="004F2658">
        <w:rPr>
          <w:sz w:val="22"/>
          <w:szCs w:val="22"/>
        </w:rPr>
        <w:t xml:space="preserve"> resolution</w:t>
      </w:r>
      <w:r w:rsidRPr="004F2658">
        <w:rPr>
          <w:sz w:val="22"/>
          <w:szCs w:val="22"/>
        </w:rPr>
        <w:t>.</w:t>
      </w:r>
    </w:p>
    <w:p w14:paraId="30F749A4" w14:textId="4EB38DD5" w:rsidR="00C81B2E" w:rsidRPr="004F2658" w:rsidRDefault="00196BE8" w:rsidP="00C81B2E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t>C. We are specifying behavior for TB ranging</w:t>
      </w:r>
      <w:r w:rsidR="000063B4" w:rsidRPr="004F2658">
        <w:rPr>
          <w:sz w:val="22"/>
          <w:szCs w:val="22"/>
        </w:rPr>
        <w:t xml:space="preserve"> here</w:t>
      </w:r>
      <w:r w:rsidRPr="004F2658">
        <w:rPr>
          <w:sz w:val="22"/>
          <w:szCs w:val="22"/>
        </w:rPr>
        <w:t xml:space="preserve">. I have put in </w:t>
      </w:r>
      <w:r w:rsidR="000063B4" w:rsidRPr="004F2658">
        <w:rPr>
          <w:sz w:val="22"/>
          <w:szCs w:val="22"/>
        </w:rPr>
        <w:t xml:space="preserve">a CID that this </w:t>
      </w:r>
      <w:r w:rsidRPr="004F2658">
        <w:rPr>
          <w:sz w:val="22"/>
          <w:szCs w:val="22"/>
        </w:rPr>
        <w:t xml:space="preserve">also applies to passive ranging.  But shouldn’t put it everywhere (just once), </w:t>
      </w:r>
      <w:r w:rsidR="000063B4" w:rsidRPr="004F2658">
        <w:rPr>
          <w:sz w:val="22"/>
          <w:szCs w:val="22"/>
        </w:rPr>
        <w:t xml:space="preserve">probably </w:t>
      </w:r>
      <w:r w:rsidRPr="004F2658">
        <w:rPr>
          <w:sz w:val="22"/>
          <w:szCs w:val="22"/>
        </w:rPr>
        <w:t xml:space="preserve">we </w:t>
      </w:r>
      <w:r w:rsidR="000063B4" w:rsidRPr="004F2658">
        <w:rPr>
          <w:sz w:val="22"/>
          <w:szCs w:val="22"/>
        </w:rPr>
        <w:t>should state</w:t>
      </w:r>
      <w:r w:rsidRPr="004F2658">
        <w:rPr>
          <w:sz w:val="22"/>
          <w:szCs w:val="22"/>
        </w:rPr>
        <w:t xml:space="preserve"> when it doesn’t appl</w:t>
      </w:r>
      <w:r w:rsidR="000063B4" w:rsidRPr="004F2658">
        <w:rPr>
          <w:sz w:val="22"/>
          <w:szCs w:val="22"/>
        </w:rPr>
        <w:t>y, for example</w:t>
      </w:r>
      <w:r w:rsidRPr="004F2658">
        <w:rPr>
          <w:sz w:val="22"/>
          <w:szCs w:val="22"/>
        </w:rPr>
        <w:t xml:space="preserve"> secure ranging</w:t>
      </w:r>
      <w:r w:rsidR="000063B4" w:rsidRPr="004F2658">
        <w:rPr>
          <w:sz w:val="22"/>
          <w:szCs w:val="22"/>
        </w:rPr>
        <w:t xml:space="preserve">, to </w:t>
      </w:r>
      <w:r w:rsidR="00C81B2E" w:rsidRPr="004F2658">
        <w:rPr>
          <w:sz w:val="22"/>
          <w:szCs w:val="22"/>
        </w:rPr>
        <w:t>minimize the text we put in the standard.</w:t>
      </w:r>
    </w:p>
    <w:p w14:paraId="40992705" w14:textId="55534C78" w:rsidR="00C81B2E" w:rsidRPr="004F2658" w:rsidRDefault="00C81B2E" w:rsidP="00C81B2E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R. Clean way to say this is in Section 9. </w:t>
      </w:r>
    </w:p>
    <w:p w14:paraId="77A988F5" w14:textId="6C19D1B2" w:rsidR="00C81B2E" w:rsidRPr="004F2658" w:rsidRDefault="00C81B2E" w:rsidP="00C81B2E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C. The most significant </w:t>
      </w:r>
      <w:r w:rsidR="000063B4" w:rsidRPr="004F2658">
        <w:rPr>
          <w:sz w:val="22"/>
          <w:szCs w:val="22"/>
        </w:rPr>
        <w:t>o</w:t>
      </w:r>
      <w:r w:rsidRPr="004F2658">
        <w:rPr>
          <w:sz w:val="22"/>
          <w:szCs w:val="22"/>
        </w:rPr>
        <w:t>ctet represents 1</w:t>
      </w:r>
      <w:r w:rsidR="000063B4" w:rsidRPr="004F2658">
        <w:rPr>
          <w:sz w:val="22"/>
          <w:szCs w:val="22"/>
        </w:rPr>
        <w:t xml:space="preserve"> microsecond</w:t>
      </w:r>
      <w:r w:rsidRPr="004F2658">
        <w:rPr>
          <w:sz w:val="22"/>
          <w:szCs w:val="22"/>
        </w:rPr>
        <w:t>, seems too fine. Change to milliseconds?</w:t>
      </w:r>
    </w:p>
    <w:p w14:paraId="6249B503" w14:textId="0C18B97D" w:rsidR="00C81B2E" w:rsidRPr="004F2658" w:rsidRDefault="00C81B2E" w:rsidP="00C81B2E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R. Management frame (more restrictive) for FTM, now with </w:t>
      </w:r>
      <w:r w:rsidR="000063B4" w:rsidRPr="004F2658">
        <w:rPr>
          <w:sz w:val="22"/>
          <w:szCs w:val="22"/>
        </w:rPr>
        <w:t xml:space="preserve">a </w:t>
      </w:r>
      <w:r w:rsidRPr="004F2658">
        <w:rPr>
          <w:sz w:val="22"/>
          <w:szCs w:val="22"/>
        </w:rPr>
        <w:t>control frame it</w:t>
      </w:r>
      <w:r w:rsidR="000063B4" w:rsidRPr="004F2658">
        <w:rPr>
          <w:sz w:val="22"/>
          <w:szCs w:val="22"/>
        </w:rPr>
        <w:t>’</w:t>
      </w:r>
      <w:r w:rsidRPr="004F2658">
        <w:rPr>
          <w:sz w:val="22"/>
          <w:szCs w:val="22"/>
        </w:rPr>
        <w:t>s harder.</w:t>
      </w:r>
    </w:p>
    <w:p w14:paraId="578DFEFE" w14:textId="29C2C055" w:rsidR="00C81B2E" w:rsidRPr="004F2658" w:rsidRDefault="00C81B2E" w:rsidP="00C81B2E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C. Doesn’t matter which one, the overhead is the same. </w:t>
      </w:r>
    </w:p>
    <w:p w14:paraId="2F5944E3" w14:textId="5486AC65" w:rsidR="00C81B2E" w:rsidRPr="004F2658" w:rsidRDefault="00C81B2E" w:rsidP="00C81B2E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C. Proposal is to have </w:t>
      </w:r>
      <w:r w:rsidR="00DF584B" w:rsidRPr="004F2658">
        <w:rPr>
          <w:sz w:val="22"/>
          <w:szCs w:val="22"/>
        </w:rPr>
        <w:t>two</w:t>
      </w:r>
      <w:r w:rsidRPr="004F2658">
        <w:rPr>
          <w:sz w:val="22"/>
          <w:szCs w:val="22"/>
        </w:rPr>
        <w:t xml:space="preserve"> TSF info fields.</w:t>
      </w:r>
    </w:p>
    <w:p w14:paraId="095AD9D3" w14:textId="12066E39" w:rsidR="00C81B2E" w:rsidRPr="004F2658" w:rsidRDefault="00C81B2E" w:rsidP="00C81B2E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R. Proposal </w:t>
      </w:r>
      <w:r w:rsidR="006C112E" w:rsidRPr="004F2658">
        <w:rPr>
          <w:sz w:val="22"/>
          <w:szCs w:val="22"/>
        </w:rPr>
        <w:t xml:space="preserve">is </w:t>
      </w:r>
      <w:r w:rsidRPr="004F2658">
        <w:rPr>
          <w:sz w:val="22"/>
          <w:szCs w:val="22"/>
        </w:rPr>
        <w:t>to stick with 1 TSF, and change resolution to 64 microseconds.</w:t>
      </w:r>
    </w:p>
    <w:p w14:paraId="73B98DD6" w14:textId="5F3455B5" w:rsidR="00C81B2E" w:rsidRPr="004F2658" w:rsidRDefault="00C81B2E" w:rsidP="00C81B2E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t>C. If the time</w:t>
      </w:r>
      <w:r w:rsidR="00D02DF6" w:rsidRPr="004F2658">
        <w:rPr>
          <w:sz w:val="22"/>
          <w:szCs w:val="22"/>
        </w:rPr>
        <w:t xml:space="preserve"> resolution</w:t>
      </w:r>
      <w:r w:rsidRPr="004F2658">
        <w:rPr>
          <w:sz w:val="22"/>
          <w:szCs w:val="22"/>
        </w:rPr>
        <w:t xml:space="preserve"> is too coarse </w:t>
      </w:r>
      <w:r w:rsidR="00D02DF6" w:rsidRPr="004F2658">
        <w:rPr>
          <w:sz w:val="22"/>
          <w:szCs w:val="22"/>
        </w:rPr>
        <w:t xml:space="preserve">in </w:t>
      </w:r>
      <w:r w:rsidRPr="004F2658">
        <w:rPr>
          <w:sz w:val="22"/>
          <w:szCs w:val="22"/>
        </w:rPr>
        <w:t xml:space="preserve">reporting the TSF, will </w:t>
      </w:r>
      <w:r w:rsidR="000063B4" w:rsidRPr="004F2658">
        <w:rPr>
          <w:sz w:val="22"/>
          <w:szCs w:val="22"/>
        </w:rPr>
        <w:t xml:space="preserve">the station </w:t>
      </w:r>
      <w:r w:rsidRPr="004F2658">
        <w:rPr>
          <w:sz w:val="22"/>
          <w:szCs w:val="22"/>
        </w:rPr>
        <w:t xml:space="preserve">clocks be able to </w:t>
      </w:r>
      <w:r w:rsidR="000063B4" w:rsidRPr="004F2658">
        <w:rPr>
          <w:sz w:val="22"/>
          <w:szCs w:val="22"/>
        </w:rPr>
        <w:t xml:space="preserve">be </w:t>
      </w:r>
      <w:r w:rsidRPr="004F2658">
        <w:rPr>
          <w:sz w:val="22"/>
          <w:szCs w:val="22"/>
        </w:rPr>
        <w:t>sync</w:t>
      </w:r>
      <w:r w:rsidR="000063B4" w:rsidRPr="004F2658">
        <w:rPr>
          <w:sz w:val="22"/>
          <w:szCs w:val="22"/>
        </w:rPr>
        <w:t>hronized?</w:t>
      </w:r>
    </w:p>
    <w:p w14:paraId="38892E62" w14:textId="36487683" w:rsidR="00C81B2E" w:rsidRPr="004F2658" w:rsidRDefault="000063B4" w:rsidP="00C81B2E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t>C</w:t>
      </w:r>
      <w:r w:rsidR="00D02DF6" w:rsidRPr="004F2658">
        <w:rPr>
          <w:sz w:val="22"/>
          <w:szCs w:val="22"/>
        </w:rPr>
        <w:t xml:space="preserve">. </w:t>
      </w:r>
      <w:r w:rsidRPr="004F2658">
        <w:rPr>
          <w:sz w:val="22"/>
          <w:szCs w:val="22"/>
        </w:rPr>
        <w:t>Editorial: Its ‘</w:t>
      </w:r>
      <w:r w:rsidR="00D02DF6" w:rsidRPr="004F2658">
        <w:rPr>
          <w:sz w:val="22"/>
          <w:szCs w:val="22"/>
        </w:rPr>
        <w:t>TB Ranging</w:t>
      </w:r>
      <w:r w:rsidRPr="004F2658">
        <w:rPr>
          <w:sz w:val="22"/>
          <w:szCs w:val="22"/>
        </w:rPr>
        <w:t>’,</w:t>
      </w:r>
      <w:r w:rsidR="00D02DF6" w:rsidRPr="004F2658">
        <w:rPr>
          <w:sz w:val="22"/>
          <w:szCs w:val="22"/>
        </w:rPr>
        <w:t xml:space="preserve"> not </w:t>
      </w:r>
      <w:r w:rsidRPr="004F2658">
        <w:rPr>
          <w:sz w:val="22"/>
          <w:szCs w:val="22"/>
        </w:rPr>
        <w:t>‘</w:t>
      </w:r>
      <w:r w:rsidR="00D02DF6" w:rsidRPr="004F2658">
        <w:rPr>
          <w:sz w:val="22"/>
          <w:szCs w:val="22"/>
        </w:rPr>
        <w:t>TB NDP Ranging</w:t>
      </w:r>
      <w:r w:rsidRPr="004F2658">
        <w:rPr>
          <w:sz w:val="22"/>
          <w:szCs w:val="22"/>
        </w:rPr>
        <w:t>’</w:t>
      </w:r>
      <w:r w:rsidR="00D02DF6" w:rsidRPr="004F2658">
        <w:rPr>
          <w:sz w:val="22"/>
          <w:szCs w:val="22"/>
        </w:rPr>
        <w:t>.</w:t>
      </w:r>
    </w:p>
    <w:p w14:paraId="7CE308D9" w14:textId="19DD5BC8" w:rsidR="00D02DF6" w:rsidRPr="004F2658" w:rsidRDefault="000063B4" w:rsidP="00C81B2E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b/>
          <w:sz w:val="22"/>
          <w:szCs w:val="22"/>
        </w:rPr>
        <w:t>Chair</w:t>
      </w:r>
      <w:r w:rsidRPr="004F2658">
        <w:rPr>
          <w:sz w:val="22"/>
          <w:szCs w:val="22"/>
        </w:rPr>
        <w:t xml:space="preserve">: </w:t>
      </w:r>
      <w:r w:rsidR="00D02DF6" w:rsidRPr="004F2658">
        <w:rPr>
          <w:sz w:val="22"/>
          <w:szCs w:val="22"/>
        </w:rPr>
        <w:t>Mov</w:t>
      </w:r>
      <w:r w:rsidRPr="004F2658">
        <w:rPr>
          <w:sz w:val="22"/>
          <w:szCs w:val="22"/>
        </w:rPr>
        <w:t>ing</w:t>
      </w:r>
      <w:r w:rsidR="00D02DF6" w:rsidRPr="004F2658">
        <w:rPr>
          <w:sz w:val="22"/>
          <w:szCs w:val="22"/>
        </w:rPr>
        <w:t xml:space="preserve"> to next </w:t>
      </w:r>
      <w:r w:rsidRPr="004F2658">
        <w:rPr>
          <w:sz w:val="22"/>
          <w:szCs w:val="22"/>
        </w:rPr>
        <w:t xml:space="preserve">agenda item due to </w:t>
      </w:r>
      <w:r w:rsidR="006C112E" w:rsidRPr="004F2658">
        <w:rPr>
          <w:sz w:val="22"/>
          <w:szCs w:val="22"/>
        </w:rPr>
        <w:t>time.</w:t>
      </w:r>
      <w:r w:rsidR="00D02DF6" w:rsidRPr="004F2658">
        <w:rPr>
          <w:sz w:val="22"/>
          <w:szCs w:val="22"/>
        </w:rPr>
        <w:br/>
      </w:r>
    </w:p>
    <w:p w14:paraId="5FBB66DB" w14:textId="66F8005F" w:rsidR="00D02DF6" w:rsidRPr="004F2658" w:rsidRDefault="00D02DF6" w:rsidP="00D02DF6">
      <w:pPr>
        <w:numPr>
          <w:ilvl w:val="1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Assaf Kasher (Qualcomm) presented </w:t>
      </w:r>
      <w:r w:rsidRPr="004F2658">
        <w:rPr>
          <w:b/>
          <w:sz w:val="22"/>
          <w:szCs w:val="22"/>
        </w:rPr>
        <w:t>11-19/</w:t>
      </w:r>
      <w:r w:rsidR="00DF584B" w:rsidRPr="004F2658">
        <w:rPr>
          <w:b/>
          <w:sz w:val="22"/>
          <w:szCs w:val="22"/>
        </w:rPr>
        <w:t>0</w:t>
      </w:r>
      <w:r w:rsidRPr="004F2658">
        <w:rPr>
          <w:b/>
          <w:sz w:val="22"/>
          <w:szCs w:val="22"/>
        </w:rPr>
        <w:t>558</w:t>
      </w:r>
      <w:r w:rsidR="00DF584B" w:rsidRPr="004F2658">
        <w:rPr>
          <w:b/>
          <w:sz w:val="22"/>
          <w:szCs w:val="22"/>
        </w:rPr>
        <w:t>r0</w:t>
      </w:r>
    </w:p>
    <w:p w14:paraId="4BEE6B86" w14:textId="69F09D08" w:rsidR="00D02DF6" w:rsidRPr="004F2658" w:rsidRDefault="00D02DF6" w:rsidP="00D02DF6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b/>
          <w:sz w:val="22"/>
          <w:szCs w:val="22"/>
        </w:rPr>
        <w:t>Title</w:t>
      </w:r>
      <w:r w:rsidRPr="004F2658">
        <w:rPr>
          <w:sz w:val="22"/>
          <w:szCs w:val="22"/>
        </w:rPr>
        <w:t xml:space="preserve">: </w:t>
      </w:r>
      <w:r w:rsidRPr="004F2658">
        <w:rPr>
          <w:sz w:val="22"/>
          <w:szCs w:val="22"/>
          <w:lang w:val="en-GB"/>
        </w:rPr>
        <w:t>LB240 First Path BF CIDs</w:t>
      </w:r>
    </w:p>
    <w:p w14:paraId="4EC52854" w14:textId="0C76F7F5" w:rsidR="00D02DF6" w:rsidRPr="004F2658" w:rsidRDefault="00D02DF6" w:rsidP="00D02DF6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b/>
          <w:sz w:val="22"/>
          <w:szCs w:val="22"/>
        </w:rPr>
        <w:t>Summary</w:t>
      </w:r>
      <w:r w:rsidRPr="004F2658">
        <w:rPr>
          <w:sz w:val="22"/>
          <w:szCs w:val="22"/>
        </w:rPr>
        <w:t xml:space="preserve">: </w:t>
      </w:r>
      <w:r w:rsidRPr="004F2658">
        <w:rPr>
          <w:sz w:val="22"/>
          <w:szCs w:val="22"/>
          <w:lang w:val="en-GB"/>
        </w:rPr>
        <w:t>This document proposes resolutions to comments related to First Path BF. (#1025, #1</w:t>
      </w:r>
      <w:r w:rsidR="00934BA8" w:rsidRPr="004F2658">
        <w:rPr>
          <w:sz w:val="22"/>
          <w:szCs w:val="22"/>
          <w:lang w:val="en-GB"/>
        </w:rPr>
        <w:t>4</w:t>
      </w:r>
      <w:r w:rsidRPr="004F2658">
        <w:rPr>
          <w:sz w:val="22"/>
          <w:szCs w:val="22"/>
          <w:lang w:val="en-GB"/>
        </w:rPr>
        <w:t>20,</w:t>
      </w:r>
      <w:r w:rsidR="00934BA8" w:rsidRPr="004F2658">
        <w:rPr>
          <w:sz w:val="22"/>
          <w:szCs w:val="22"/>
          <w:lang w:val="en-GB"/>
        </w:rPr>
        <w:t xml:space="preserve"> #1016, #2446, #2448, #1418, #1417, </w:t>
      </w:r>
      <w:r w:rsidR="0023274D" w:rsidRPr="004F2658">
        <w:rPr>
          <w:sz w:val="22"/>
          <w:szCs w:val="22"/>
          <w:lang w:val="en-GB"/>
        </w:rPr>
        <w:t>#1419, #1234, #1860</w:t>
      </w:r>
      <w:r w:rsidR="00934BA8" w:rsidRPr="004F2658">
        <w:rPr>
          <w:sz w:val="22"/>
          <w:szCs w:val="22"/>
          <w:lang w:val="en-GB"/>
        </w:rPr>
        <w:t>)</w:t>
      </w:r>
    </w:p>
    <w:p w14:paraId="2197734D" w14:textId="77777777" w:rsidR="006C112E" w:rsidRPr="004F2658" w:rsidRDefault="006C112E" w:rsidP="006C112E">
      <w:pPr>
        <w:numPr>
          <w:ilvl w:val="2"/>
          <w:numId w:val="35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Discussion</w:t>
      </w:r>
    </w:p>
    <w:p w14:paraId="534321D7" w14:textId="4B4B44B3" w:rsidR="0023274D" w:rsidRPr="004F2658" w:rsidRDefault="0023274D" w:rsidP="006C112E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lastRenderedPageBreak/>
        <w:t>C. Minor editorial updates during presentation</w:t>
      </w:r>
    </w:p>
    <w:p w14:paraId="4B132BD9" w14:textId="7EB3C660" w:rsidR="0023274D" w:rsidRPr="004F2658" w:rsidRDefault="0023274D" w:rsidP="00D02DF6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sz w:val="22"/>
          <w:szCs w:val="22"/>
        </w:rPr>
        <w:t>C. Note in</w:t>
      </w:r>
      <w:r w:rsidR="006C112E" w:rsidRPr="004F2658">
        <w:rPr>
          <w:sz w:val="22"/>
          <w:szCs w:val="22"/>
        </w:rPr>
        <w:t xml:space="preserve"> 11az</w:t>
      </w:r>
      <w:r w:rsidRPr="004F2658">
        <w:rPr>
          <w:sz w:val="22"/>
          <w:szCs w:val="22"/>
        </w:rPr>
        <w:t xml:space="preserve"> Draft</w:t>
      </w:r>
      <w:r w:rsidR="006C112E" w:rsidRPr="004F2658">
        <w:rPr>
          <w:sz w:val="22"/>
          <w:szCs w:val="22"/>
        </w:rPr>
        <w:t xml:space="preserve"> D</w:t>
      </w:r>
      <w:r w:rsidRPr="004F2658">
        <w:rPr>
          <w:sz w:val="22"/>
          <w:szCs w:val="22"/>
        </w:rPr>
        <w:t xml:space="preserve">1.0, </w:t>
      </w:r>
      <w:r w:rsidR="006C112E" w:rsidRPr="004F2658">
        <w:rPr>
          <w:sz w:val="22"/>
          <w:szCs w:val="22"/>
        </w:rPr>
        <w:t xml:space="preserve">the </w:t>
      </w:r>
      <w:r w:rsidRPr="004F2658">
        <w:rPr>
          <w:sz w:val="22"/>
          <w:szCs w:val="22"/>
        </w:rPr>
        <w:t xml:space="preserve">11ay </w:t>
      </w:r>
      <w:r w:rsidR="006C112E" w:rsidRPr="004F2658">
        <w:rPr>
          <w:sz w:val="22"/>
          <w:szCs w:val="22"/>
        </w:rPr>
        <w:t xml:space="preserve">draft is at </w:t>
      </w:r>
      <w:r w:rsidRPr="004F2658">
        <w:rPr>
          <w:sz w:val="22"/>
          <w:szCs w:val="22"/>
        </w:rPr>
        <w:t>D2.0</w:t>
      </w:r>
      <w:r w:rsidR="006C112E" w:rsidRPr="004F2658">
        <w:rPr>
          <w:sz w:val="22"/>
          <w:szCs w:val="22"/>
        </w:rPr>
        <w:t>, but is</w:t>
      </w:r>
      <w:r w:rsidRPr="004F2658">
        <w:rPr>
          <w:sz w:val="22"/>
          <w:szCs w:val="22"/>
        </w:rPr>
        <w:t xml:space="preserve"> now at D3.0. All references in 11az, need to migrate to the new drafts for 11ay and 11ax</w:t>
      </w:r>
      <w:r w:rsidR="006C112E" w:rsidRPr="004F2658">
        <w:rPr>
          <w:sz w:val="22"/>
          <w:szCs w:val="22"/>
        </w:rPr>
        <w:t xml:space="preserve"> (now at D4.0).</w:t>
      </w:r>
    </w:p>
    <w:p w14:paraId="19C5B24F" w14:textId="7C557B67" w:rsidR="0023274D" w:rsidRPr="004F2658" w:rsidRDefault="0023274D" w:rsidP="00D02DF6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b/>
          <w:sz w:val="22"/>
          <w:szCs w:val="22"/>
        </w:rPr>
        <w:t>Discussion</w:t>
      </w:r>
      <w:r w:rsidRPr="004F2658">
        <w:rPr>
          <w:sz w:val="22"/>
          <w:szCs w:val="22"/>
        </w:rPr>
        <w:t>: No further comments.</w:t>
      </w:r>
    </w:p>
    <w:p w14:paraId="1263FB0F" w14:textId="0E20F891" w:rsidR="006C112E" w:rsidRPr="004F2658" w:rsidRDefault="006C112E" w:rsidP="006C112E">
      <w:pPr>
        <w:numPr>
          <w:ilvl w:val="2"/>
          <w:numId w:val="35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Strawpoll:</w:t>
      </w:r>
    </w:p>
    <w:p w14:paraId="20A31BC8" w14:textId="77777777" w:rsidR="006C112E" w:rsidRPr="004F2658" w:rsidRDefault="006C112E" w:rsidP="006C112E">
      <w:pPr>
        <w:ind w:left="2160"/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Agree to adopt the resolutions depicted by document 11-19-558r0 with changes made during the call for CID 1025, 1420, 1016, 2446, 2448, 1418, 1417, 1419, 1234, 1860.</w:t>
      </w:r>
    </w:p>
    <w:p w14:paraId="766C14CD" w14:textId="57DB2B82" w:rsidR="0023274D" w:rsidRPr="004F2658" w:rsidRDefault="006C112E" w:rsidP="006C112E">
      <w:pPr>
        <w:numPr>
          <w:ilvl w:val="2"/>
          <w:numId w:val="35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Results (Y/N/A): 9/0/0</w:t>
      </w:r>
    </w:p>
    <w:p w14:paraId="05A8C835" w14:textId="0FAA7338" w:rsidR="007A7EB7" w:rsidRPr="004F2658" w:rsidRDefault="007A7EB7" w:rsidP="00C81B2E">
      <w:pPr>
        <w:ind w:left="2160"/>
        <w:rPr>
          <w:sz w:val="22"/>
          <w:szCs w:val="22"/>
        </w:rPr>
      </w:pPr>
    </w:p>
    <w:p w14:paraId="7243B5B7" w14:textId="77777777" w:rsidR="00825D11" w:rsidRPr="004F2658" w:rsidRDefault="00074D98" w:rsidP="006C06B8">
      <w:pPr>
        <w:pStyle w:val="ListParagraph"/>
        <w:numPr>
          <w:ilvl w:val="1"/>
          <w:numId w:val="1"/>
        </w:numPr>
        <w:ind w:left="426" w:hanging="502"/>
        <w:rPr>
          <w:szCs w:val="22"/>
        </w:rPr>
      </w:pPr>
      <w:r w:rsidRPr="004F2658">
        <w:rPr>
          <w:szCs w:val="22"/>
        </w:rPr>
        <w:t>Any other business</w:t>
      </w:r>
      <w:r w:rsidR="00825D11" w:rsidRPr="004F2658">
        <w:rPr>
          <w:szCs w:val="22"/>
        </w:rPr>
        <w:t xml:space="preserve"> (AOB)</w:t>
      </w:r>
      <w:r w:rsidRPr="004F2658">
        <w:rPr>
          <w:szCs w:val="22"/>
        </w:rPr>
        <w:t>?</w:t>
      </w:r>
    </w:p>
    <w:p w14:paraId="09570B58" w14:textId="0FFCEF5D" w:rsidR="0065478D" w:rsidRPr="0065478D" w:rsidRDefault="002D2DEE" w:rsidP="0065478D">
      <w:pPr>
        <w:pStyle w:val="ListParagraph"/>
        <w:numPr>
          <w:ilvl w:val="2"/>
          <w:numId w:val="1"/>
        </w:numPr>
        <w:rPr>
          <w:b/>
        </w:rPr>
      </w:pPr>
      <w:r w:rsidRPr="004F2658">
        <w:rPr>
          <w:b/>
          <w:szCs w:val="22"/>
        </w:rPr>
        <w:t>Non</w:t>
      </w:r>
      <w:r w:rsidR="006C112E" w:rsidRPr="004F2658">
        <w:rPr>
          <w:b/>
          <w:szCs w:val="22"/>
        </w:rPr>
        <w:t>e</w:t>
      </w:r>
      <w:r w:rsidR="0065478D" w:rsidRPr="004F2658">
        <w:rPr>
          <w:b/>
          <w:szCs w:val="22"/>
        </w:rPr>
        <w:br/>
      </w:r>
    </w:p>
    <w:p w14:paraId="52F8042C" w14:textId="7EEAC592" w:rsidR="00FA3E2E" w:rsidRDefault="000302DC" w:rsidP="008364DB">
      <w:pPr>
        <w:pStyle w:val="ListParagraph"/>
        <w:numPr>
          <w:ilvl w:val="1"/>
          <w:numId w:val="1"/>
        </w:numPr>
        <w:ind w:left="426" w:hanging="502"/>
      </w:pPr>
      <w:r>
        <w:t>Telecon ended</w:t>
      </w:r>
      <w:r w:rsidR="00FA3E2E">
        <w:t xml:space="preserve"> at </w:t>
      </w:r>
      <w:r w:rsidR="006C112E">
        <w:t>~11.20</w:t>
      </w:r>
      <w:r w:rsidR="00D27101">
        <w:t xml:space="preserve"> </w:t>
      </w:r>
      <w:r w:rsidR="00B24A76">
        <w:t xml:space="preserve">am </w:t>
      </w:r>
      <w:r w:rsidR="00E429A1">
        <w:t>P</w:t>
      </w:r>
      <w:r w:rsidR="00EA1940">
        <w:t>T.</w:t>
      </w:r>
    </w:p>
    <w:p w14:paraId="2F8E0E58" w14:textId="77777777" w:rsidR="00FA3E2E" w:rsidRDefault="00FA3E2E" w:rsidP="00FA3E2E">
      <w:pPr>
        <w:pStyle w:val="ListParagraph"/>
        <w:ind w:left="990"/>
      </w:pPr>
    </w:p>
    <w:p w14:paraId="2FB0FAEE" w14:textId="77777777" w:rsidR="006C06B8" w:rsidRDefault="00CA09B2" w:rsidP="008D6656">
      <w:pPr>
        <w:rPr>
          <w:rStyle w:val="Hyperlink"/>
          <w:b/>
          <w:color w:val="auto"/>
          <w:u w:val="none"/>
        </w:rPr>
      </w:pPr>
      <w:r>
        <w:rPr>
          <w:b/>
        </w:rPr>
        <w:t>References:</w:t>
      </w:r>
    </w:p>
    <w:p w14:paraId="1744D563" w14:textId="2FAA0716" w:rsidR="00DF584B" w:rsidRPr="00C559B6" w:rsidRDefault="00DF584B" w:rsidP="00DF584B">
      <w:pPr>
        <w:pStyle w:val="ListParagraph"/>
        <w:numPr>
          <w:ilvl w:val="0"/>
          <w:numId w:val="41"/>
        </w:numPr>
        <w:rPr>
          <w:color w:val="3256CC"/>
        </w:rPr>
      </w:pPr>
      <w:hyperlink r:id="rId8" w:tgtFrame="_blank" w:history="1">
        <w:r w:rsidRPr="00C559B6">
          <w:rPr>
            <w:rStyle w:val="Hyperlink"/>
            <w:color w:val="3256CC"/>
            <w:lang w:val="en-US"/>
          </w:rPr>
          <w:t>https://mentor.ieee.org/802.11/dcn/19/11-19-0216-00-00az-tgaz-march-telecon-agenda.pptx</w:t>
        </w:r>
      </w:hyperlink>
    </w:p>
    <w:p w14:paraId="28DE9A2B" w14:textId="343ED658" w:rsidR="00DF584B" w:rsidRDefault="00AD0674" w:rsidP="00DF584B">
      <w:pPr>
        <w:pStyle w:val="ListParagraph"/>
        <w:numPr>
          <w:ilvl w:val="0"/>
          <w:numId w:val="41"/>
        </w:numPr>
      </w:pPr>
      <w:hyperlink r:id="rId9" w:history="1">
        <w:r w:rsidR="004F2658" w:rsidRPr="00671DD5">
          <w:rPr>
            <w:rStyle w:val="Hyperlink"/>
          </w:rPr>
          <w:t>https://mentor.ieee.org/802.11/dcn/19/11-19-0470-00-00az-tb-ndp-ranging-synchronization.docx</w:t>
        </w:r>
      </w:hyperlink>
    </w:p>
    <w:p w14:paraId="14E9D998" w14:textId="49D3807E" w:rsidR="004F2658" w:rsidRDefault="00AD0674" w:rsidP="00DF584B">
      <w:pPr>
        <w:pStyle w:val="ListParagraph"/>
        <w:numPr>
          <w:ilvl w:val="0"/>
          <w:numId w:val="41"/>
        </w:numPr>
      </w:pPr>
      <w:hyperlink r:id="rId10" w:history="1">
        <w:r w:rsidR="004F2658" w:rsidRPr="00671DD5">
          <w:rPr>
            <w:rStyle w:val="Hyperlink"/>
          </w:rPr>
          <w:t>https://mentor.ieee.org/802.11/dcn/19/11-19-0558-01-00az-lb240-first-path-bf-cids.docx</w:t>
        </w:r>
      </w:hyperlink>
    </w:p>
    <w:p w14:paraId="6C9D886F" w14:textId="77777777" w:rsidR="004F2658" w:rsidRPr="00DF584B" w:rsidRDefault="004F2658" w:rsidP="004F2658">
      <w:pPr>
        <w:pStyle w:val="ListParagraph"/>
      </w:pPr>
    </w:p>
    <w:p w14:paraId="311D4943" w14:textId="77777777" w:rsidR="0065478D" w:rsidRDefault="0065478D" w:rsidP="0065478D"/>
    <w:p w14:paraId="6E780521" w14:textId="77777777" w:rsidR="0065478D" w:rsidRDefault="0065478D" w:rsidP="007A7EB7">
      <w:pPr>
        <w:pStyle w:val="ListParagraph"/>
        <w:rPr>
          <w:szCs w:val="22"/>
        </w:rPr>
      </w:pPr>
    </w:p>
    <w:p w14:paraId="35B4B97B" w14:textId="77777777" w:rsidR="007A7EB7" w:rsidRDefault="007A7EB7" w:rsidP="007A7EB7">
      <w:pPr>
        <w:pStyle w:val="ListParagraph"/>
        <w:rPr>
          <w:szCs w:val="22"/>
        </w:rPr>
      </w:pPr>
    </w:p>
    <w:p w14:paraId="713C61F2" w14:textId="77777777" w:rsidR="007A7EB7" w:rsidRPr="006C06B8" w:rsidRDefault="007A7EB7" w:rsidP="007A7EB7">
      <w:pPr>
        <w:pStyle w:val="ListParagraph"/>
        <w:rPr>
          <w:szCs w:val="22"/>
        </w:rPr>
      </w:pPr>
    </w:p>
    <w:sectPr w:rsidR="007A7EB7" w:rsidRPr="006C06B8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D857F" w14:textId="77777777" w:rsidR="00AD0674" w:rsidRDefault="00AD0674">
      <w:r>
        <w:separator/>
      </w:r>
    </w:p>
  </w:endnote>
  <w:endnote w:type="continuationSeparator" w:id="0">
    <w:p w14:paraId="3A110279" w14:textId="77777777" w:rsidR="00AD0674" w:rsidRDefault="00AD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7E56" w14:textId="77777777" w:rsidR="009755D8" w:rsidRDefault="009755D8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527ED">
      <w:rPr>
        <w:noProof/>
      </w:rPr>
      <w:t>2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0EE48B67" w14:textId="77777777" w:rsidR="009755D8" w:rsidRDefault="00975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1B3AB" w14:textId="77777777" w:rsidR="00AD0674" w:rsidRDefault="00AD0674">
      <w:r>
        <w:separator/>
      </w:r>
    </w:p>
  </w:footnote>
  <w:footnote w:type="continuationSeparator" w:id="0">
    <w:p w14:paraId="745CCA74" w14:textId="77777777" w:rsidR="00AD0674" w:rsidRDefault="00AD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FE5A2" w14:textId="5E73D7D1" w:rsidR="009755D8" w:rsidRDefault="00670844" w:rsidP="00372DCF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1E0831">
      <w:t xml:space="preserve"> 201</w:t>
    </w:r>
    <w:r>
      <w:t>9</w:t>
    </w:r>
    <w:r w:rsidR="001E0831">
      <w:tab/>
      <w:t xml:space="preserve"> </w:t>
    </w:r>
    <w:r w:rsidR="001E0831">
      <w:tab/>
    </w:r>
    <w:proofErr w:type="gramStart"/>
    <w:r w:rsidR="001E0831">
      <w:t>doc.:IEEE</w:t>
    </w:r>
    <w:proofErr w:type="gramEnd"/>
    <w:r w:rsidR="001E0831">
      <w:t xml:space="preserve"> 802.11-1</w:t>
    </w:r>
    <w:r>
      <w:t>9</w:t>
    </w:r>
    <w:r w:rsidR="001E0831">
      <w:t>/</w:t>
    </w:r>
    <w:r w:rsidR="00685771">
      <w:t>0577</w:t>
    </w:r>
    <w:r w:rsidR="009755D8">
      <w:t>r0</w:t>
    </w:r>
    <w:r w:rsidR="009755D8">
      <w:tab/>
    </w:r>
    <w:r w:rsidR="009755D8">
      <w:fldChar w:fldCharType="begin"/>
    </w:r>
    <w:r w:rsidR="009755D8">
      <w:instrText xml:space="preserve"> TITLE  \* MERGEFORMAT </w:instrText>
    </w:r>
    <w:r w:rsidR="009755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1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7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39"/>
  </w:num>
  <w:num w:numId="5">
    <w:abstractNumId w:val="32"/>
  </w:num>
  <w:num w:numId="6">
    <w:abstractNumId w:val="30"/>
  </w:num>
  <w:num w:numId="7">
    <w:abstractNumId w:val="16"/>
  </w:num>
  <w:num w:numId="8">
    <w:abstractNumId w:val="2"/>
  </w:num>
  <w:num w:numId="9">
    <w:abstractNumId w:val="15"/>
  </w:num>
  <w:num w:numId="10">
    <w:abstractNumId w:val="21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24"/>
  </w:num>
  <w:num w:numId="16">
    <w:abstractNumId w:val="6"/>
  </w:num>
  <w:num w:numId="17">
    <w:abstractNumId w:val="10"/>
  </w:num>
  <w:num w:numId="18">
    <w:abstractNumId w:val="36"/>
  </w:num>
  <w:num w:numId="19">
    <w:abstractNumId w:val="9"/>
  </w:num>
  <w:num w:numId="20">
    <w:abstractNumId w:val="28"/>
  </w:num>
  <w:num w:numId="21">
    <w:abstractNumId w:val="11"/>
  </w:num>
  <w:num w:numId="22">
    <w:abstractNumId w:val="0"/>
  </w:num>
  <w:num w:numId="23">
    <w:abstractNumId w:val="20"/>
  </w:num>
  <w:num w:numId="24">
    <w:abstractNumId w:val="27"/>
  </w:num>
  <w:num w:numId="25">
    <w:abstractNumId w:val="5"/>
  </w:num>
  <w:num w:numId="26">
    <w:abstractNumId w:val="19"/>
  </w:num>
  <w:num w:numId="27">
    <w:abstractNumId w:val="13"/>
  </w:num>
  <w:num w:numId="28">
    <w:abstractNumId w:val="25"/>
  </w:num>
  <w:num w:numId="29">
    <w:abstractNumId w:val="12"/>
  </w:num>
  <w:num w:numId="30">
    <w:abstractNumId w:val="33"/>
  </w:num>
  <w:num w:numId="31">
    <w:abstractNumId w:val="34"/>
  </w:num>
  <w:num w:numId="32">
    <w:abstractNumId w:val="29"/>
  </w:num>
  <w:num w:numId="33">
    <w:abstractNumId w:val="1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22"/>
  </w:num>
  <w:num w:numId="38">
    <w:abstractNumId w:val="35"/>
  </w:num>
  <w:num w:numId="39">
    <w:abstractNumId w:val="37"/>
  </w:num>
  <w:num w:numId="40">
    <w:abstractNumId w:val="26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6045"/>
    <w:rsid w:val="000A6A5C"/>
    <w:rsid w:val="000A78E3"/>
    <w:rsid w:val="000B3621"/>
    <w:rsid w:val="000B48E5"/>
    <w:rsid w:val="000C062F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E94"/>
    <w:rsid w:val="000E592E"/>
    <w:rsid w:val="000E5E05"/>
    <w:rsid w:val="000E6A02"/>
    <w:rsid w:val="000F0572"/>
    <w:rsid w:val="000F2B53"/>
    <w:rsid w:val="000F4293"/>
    <w:rsid w:val="000F46F6"/>
    <w:rsid w:val="000F4820"/>
    <w:rsid w:val="000F75E4"/>
    <w:rsid w:val="001015D0"/>
    <w:rsid w:val="00103C30"/>
    <w:rsid w:val="0010417A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611C"/>
    <w:rsid w:val="0023766A"/>
    <w:rsid w:val="00251731"/>
    <w:rsid w:val="00253377"/>
    <w:rsid w:val="00254174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525E"/>
    <w:rsid w:val="0029020B"/>
    <w:rsid w:val="00290B7D"/>
    <w:rsid w:val="00291338"/>
    <w:rsid w:val="0029398C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5032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2A34"/>
    <w:rsid w:val="00372ABE"/>
    <w:rsid w:val="00372DCF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B0A"/>
    <w:rsid w:val="003C6916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2CA7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C1A3B"/>
    <w:rsid w:val="004C263A"/>
    <w:rsid w:val="004C3FAC"/>
    <w:rsid w:val="004C58B0"/>
    <w:rsid w:val="004C623B"/>
    <w:rsid w:val="004C6953"/>
    <w:rsid w:val="004D082B"/>
    <w:rsid w:val="004D2578"/>
    <w:rsid w:val="004D2C0A"/>
    <w:rsid w:val="004D4266"/>
    <w:rsid w:val="004D5F11"/>
    <w:rsid w:val="004E2492"/>
    <w:rsid w:val="004E26F4"/>
    <w:rsid w:val="004E3983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40DB"/>
    <w:rsid w:val="00507D5E"/>
    <w:rsid w:val="00510CB3"/>
    <w:rsid w:val="005138FE"/>
    <w:rsid w:val="00515D97"/>
    <w:rsid w:val="00520B72"/>
    <w:rsid w:val="0052353F"/>
    <w:rsid w:val="0052377C"/>
    <w:rsid w:val="005309C0"/>
    <w:rsid w:val="00531651"/>
    <w:rsid w:val="00531C56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718"/>
    <w:rsid w:val="005E366B"/>
    <w:rsid w:val="005F0FCC"/>
    <w:rsid w:val="005F2085"/>
    <w:rsid w:val="005F534E"/>
    <w:rsid w:val="006016D4"/>
    <w:rsid w:val="00602ECD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B0174"/>
    <w:rsid w:val="006B16A7"/>
    <w:rsid w:val="006B1EEC"/>
    <w:rsid w:val="006B236D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5154"/>
    <w:rsid w:val="00735B95"/>
    <w:rsid w:val="00735FE8"/>
    <w:rsid w:val="0073710D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D2706"/>
    <w:rsid w:val="007D604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668"/>
    <w:rsid w:val="00810A29"/>
    <w:rsid w:val="00814406"/>
    <w:rsid w:val="00815413"/>
    <w:rsid w:val="00820552"/>
    <w:rsid w:val="008219B1"/>
    <w:rsid w:val="00821BEC"/>
    <w:rsid w:val="00825D11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A4EE1"/>
    <w:rsid w:val="009A5DF4"/>
    <w:rsid w:val="009A7DD4"/>
    <w:rsid w:val="009B0986"/>
    <w:rsid w:val="009B6270"/>
    <w:rsid w:val="009B6614"/>
    <w:rsid w:val="009B787B"/>
    <w:rsid w:val="009C0A06"/>
    <w:rsid w:val="009C1421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76E"/>
    <w:rsid w:val="00A623B9"/>
    <w:rsid w:val="00A67B4E"/>
    <w:rsid w:val="00A7059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68A1"/>
    <w:rsid w:val="00B50D5D"/>
    <w:rsid w:val="00B5223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19E9"/>
    <w:rsid w:val="00BE5952"/>
    <w:rsid w:val="00BE68C2"/>
    <w:rsid w:val="00BF278F"/>
    <w:rsid w:val="00BF46EB"/>
    <w:rsid w:val="00BF5C18"/>
    <w:rsid w:val="00C01C80"/>
    <w:rsid w:val="00C0243D"/>
    <w:rsid w:val="00C02C90"/>
    <w:rsid w:val="00C04446"/>
    <w:rsid w:val="00C04FF6"/>
    <w:rsid w:val="00C15891"/>
    <w:rsid w:val="00C15C5A"/>
    <w:rsid w:val="00C16039"/>
    <w:rsid w:val="00C16FE1"/>
    <w:rsid w:val="00C21586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80B6F"/>
    <w:rsid w:val="00C81803"/>
    <w:rsid w:val="00C81B2E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7101"/>
    <w:rsid w:val="00D307B4"/>
    <w:rsid w:val="00D333A2"/>
    <w:rsid w:val="00D3574D"/>
    <w:rsid w:val="00D37026"/>
    <w:rsid w:val="00D41379"/>
    <w:rsid w:val="00D41406"/>
    <w:rsid w:val="00D415F7"/>
    <w:rsid w:val="00D41D97"/>
    <w:rsid w:val="00D425D0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C2906"/>
    <w:rsid w:val="00DC3F30"/>
    <w:rsid w:val="00DC5A7B"/>
    <w:rsid w:val="00DC5E2B"/>
    <w:rsid w:val="00DC5EE7"/>
    <w:rsid w:val="00DC649E"/>
    <w:rsid w:val="00DC7B14"/>
    <w:rsid w:val="00DD1D7F"/>
    <w:rsid w:val="00DD5E43"/>
    <w:rsid w:val="00DE06DC"/>
    <w:rsid w:val="00DE1EFF"/>
    <w:rsid w:val="00DE537B"/>
    <w:rsid w:val="00DF283D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61FAA"/>
    <w:rsid w:val="00E63B8F"/>
    <w:rsid w:val="00E65B7E"/>
    <w:rsid w:val="00E666A5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A1940"/>
    <w:rsid w:val="00EA3194"/>
    <w:rsid w:val="00EA32B1"/>
    <w:rsid w:val="00EA37AF"/>
    <w:rsid w:val="00EA4F43"/>
    <w:rsid w:val="00EB033B"/>
    <w:rsid w:val="00EB0A06"/>
    <w:rsid w:val="00EB19EC"/>
    <w:rsid w:val="00EB348D"/>
    <w:rsid w:val="00EB5A75"/>
    <w:rsid w:val="00EB5F29"/>
    <w:rsid w:val="00EC5507"/>
    <w:rsid w:val="00EC72BE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31BC"/>
    <w:rsid w:val="00F13589"/>
    <w:rsid w:val="00F20F19"/>
    <w:rsid w:val="00F245EF"/>
    <w:rsid w:val="00F24DE8"/>
    <w:rsid w:val="00F27189"/>
    <w:rsid w:val="00F3045A"/>
    <w:rsid w:val="00F30C93"/>
    <w:rsid w:val="00F34CF7"/>
    <w:rsid w:val="00F35F22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3E2E"/>
    <w:rsid w:val="00FA4240"/>
    <w:rsid w:val="00FA476A"/>
    <w:rsid w:val="00FA4DEE"/>
    <w:rsid w:val="00FA6129"/>
    <w:rsid w:val="00FA7D41"/>
    <w:rsid w:val="00FB061F"/>
    <w:rsid w:val="00FB2F72"/>
    <w:rsid w:val="00FB62C1"/>
    <w:rsid w:val="00FC089D"/>
    <w:rsid w:val="00FC615D"/>
    <w:rsid w:val="00FC6D6D"/>
    <w:rsid w:val="00FE1642"/>
    <w:rsid w:val="00FE1E47"/>
    <w:rsid w:val="00FE3093"/>
    <w:rsid w:val="00FE5219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5FA1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216-00-00az-tgaz-march-telecon-agenda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9/11-19-0558-01-00az-lb240-first-path-bf-cid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470-00-00az-tb-ndp-ranging-synchronization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1F3D-C4A0-8046-9979-52B0DE30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432</TotalTime>
  <Pages>3</Pages>
  <Words>580</Words>
  <Characters>3345</Characters>
  <Application>Microsoft Office Word</Application>
  <DocSecurity>0</DocSecurity>
  <Lines>101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3847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</cp:keywords>
  <dc:description>TGaz Telecon Minutes.</dc:description>
  <cp:lastModifiedBy>Roy Want</cp:lastModifiedBy>
  <cp:revision>37</cp:revision>
  <cp:lastPrinted>2015-12-10T22:34:00Z</cp:lastPrinted>
  <dcterms:created xsi:type="dcterms:W3CDTF">2017-11-16T08:00:00Z</dcterms:created>
  <dcterms:modified xsi:type="dcterms:W3CDTF">2019-04-02T21:55:00Z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