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981"/>
        <w:gridCol w:w="2381"/>
      </w:tblGrid>
      <w:tr w:rsidR="00CA09B2" w:rsidTr="001561D3">
        <w:trPr>
          <w:trHeight w:val="485"/>
          <w:jc w:val="center"/>
        </w:trPr>
        <w:tc>
          <w:tcPr>
            <w:tcW w:w="9576" w:type="dxa"/>
            <w:gridSpan w:val="5"/>
            <w:vAlign w:val="center"/>
          </w:tcPr>
          <w:p w:rsidR="00CA09B2" w:rsidRDefault="001561D3">
            <w:pPr>
              <w:pStyle w:val="T2"/>
            </w:pPr>
            <w:r>
              <w:t>LB239 CH Access CIDs</w:t>
            </w:r>
          </w:p>
        </w:tc>
      </w:tr>
      <w:tr w:rsidR="00CA09B2" w:rsidTr="001561D3">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561D3">
              <w:rPr>
                <w:b w:val="0"/>
                <w:sz w:val="20"/>
                <w:lang w:val="en-US"/>
              </w:rPr>
              <w:t>2019-03-18</w:t>
            </w:r>
          </w:p>
        </w:tc>
      </w:tr>
      <w:tr w:rsidR="00CA09B2" w:rsidTr="001561D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561D3">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142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1561D3" w:rsidTr="001561D3">
        <w:trPr>
          <w:jc w:val="center"/>
        </w:trPr>
        <w:tc>
          <w:tcPr>
            <w:tcW w:w="1975" w:type="dxa"/>
            <w:vAlign w:val="center"/>
          </w:tcPr>
          <w:p w:rsidR="001561D3" w:rsidRDefault="001561D3" w:rsidP="001561D3">
            <w:pPr>
              <w:pStyle w:val="T2"/>
              <w:spacing w:after="0"/>
              <w:ind w:left="0" w:right="0"/>
              <w:jc w:val="left"/>
              <w:rPr>
                <w:b w:val="0"/>
                <w:sz w:val="20"/>
                <w:lang w:eastAsia="zh-CN"/>
              </w:rPr>
            </w:pPr>
            <w:r>
              <w:rPr>
                <w:b w:val="0"/>
                <w:sz w:val="20"/>
                <w:lang w:eastAsia="zh-CN"/>
              </w:rPr>
              <w:t>Assaf Kasher</w:t>
            </w:r>
          </w:p>
        </w:tc>
        <w:tc>
          <w:tcPr>
            <w:tcW w:w="1425" w:type="dxa"/>
            <w:vAlign w:val="center"/>
          </w:tcPr>
          <w:p w:rsidR="001561D3" w:rsidRDefault="001561D3" w:rsidP="001561D3">
            <w:pPr>
              <w:pStyle w:val="T2"/>
              <w:spacing w:after="0"/>
              <w:ind w:left="0" w:right="0"/>
              <w:rPr>
                <w:b w:val="0"/>
                <w:sz w:val="20"/>
                <w:lang w:eastAsia="zh-CN"/>
              </w:rPr>
            </w:pPr>
            <w:r>
              <w:rPr>
                <w:b w:val="0"/>
                <w:sz w:val="20"/>
                <w:lang w:eastAsia="zh-CN"/>
              </w:rPr>
              <w:t>Qualcomm</w:t>
            </w:r>
          </w:p>
        </w:tc>
        <w:tc>
          <w:tcPr>
            <w:tcW w:w="2814" w:type="dxa"/>
            <w:vAlign w:val="center"/>
          </w:tcPr>
          <w:p w:rsidR="001561D3" w:rsidRDefault="001561D3" w:rsidP="001561D3">
            <w:pPr>
              <w:pStyle w:val="T2"/>
              <w:spacing w:after="0"/>
              <w:ind w:left="0" w:right="0"/>
              <w:rPr>
                <w:b w:val="0"/>
                <w:sz w:val="20"/>
              </w:rPr>
            </w:pPr>
          </w:p>
        </w:tc>
        <w:tc>
          <w:tcPr>
            <w:tcW w:w="981" w:type="dxa"/>
            <w:vAlign w:val="center"/>
          </w:tcPr>
          <w:p w:rsidR="001561D3" w:rsidRDefault="001561D3" w:rsidP="001561D3">
            <w:pPr>
              <w:pStyle w:val="T2"/>
              <w:spacing w:after="0"/>
              <w:ind w:left="0" w:right="0"/>
              <w:rPr>
                <w:b w:val="0"/>
                <w:sz w:val="20"/>
              </w:rPr>
            </w:pPr>
          </w:p>
        </w:tc>
        <w:tc>
          <w:tcPr>
            <w:tcW w:w="2381" w:type="dxa"/>
            <w:vAlign w:val="center"/>
          </w:tcPr>
          <w:p w:rsidR="001561D3" w:rsidRPr="00067D04" w:rsidRDefault="001561D3" w:rsidP="001561D3">
            <w:pPr>
              <w:pStyle w:val="T2"/>
              <w:spacing w:after="0"/>
              <w:ind w:left="0" w:right="0"/>
              <w:jc w:val="left"/>
              <w:rPr>
                <w:sz w:val="16"/>
                <w:lang w:eastAsia="zh-CN"/>
              </w:rPr>
            </w:pPr>
            <w:r>
              <w:rPr>
                <w:sz w:val="16"/>
                <w:lang w:eastAsia="zh-CN"/>
              </w:rPr>
              <w:t>akasher@qti.qualcomm.com</w:t>
            </w:r>
          </w:p>
        </w:tc>
      </w:tr>
      <w:tr w:rsidR="001561D3" w:rsidTr="001561D3">
        <w:trPr>
          <w:jc w:val="center"/>
        </w:trPr>
        <w:tc>
          <w:tcPr>
            <w:tcW w:w="1975" w:type="dxa"/>
            <w:vAlign w:val="center"/>
          </w:tcPr>
          <w:p w:rsidR="001561D3" w:rsidRDefault="001561D3" w:rsidP="001561D3">
            <w:pPr>
              <w:pStyle w:val="T2"/>
              <w:spacing w:after="0"/>
              <w:ind w:left="0" w:right="0"/>
              <w:jc w:val="left"/>
              <w:rPr>
                <w:b w:val="0"/>
                <w:sz w:val="20"/>
              </w:rPr>
            </w:pPr>
            <w:r>
              <w:rPr>
                <w:b w:val="0"/>
                <w:sz w:val="20"/>
              </w:rPr>
              <w:t>Alecsander Eitan</w:t>
            </w:r>
          </w:p>
        </w:tc>
        <w:tc>
          <w:tcPr>
            <w:tcW w:w="1425" w:type="dxa"/>
            <w:vAlign w:val="center"/>
          </w:tcPr>
          <w:p w:rsidR="001561D3" w:rsidRDefault="001561D3" w:rsidP="001561D3">
            <w:pPr>
              <w:pStyle w:val="T2"/>
              <w:spacing w:after="0"/>
              <w:ind w:left="0" w:right="0"/>
              <w:rPr>
                <w:b w:val="0"/>
                <w:sz w:val="20"/>
              </w:rPr>
            </w:pPr>
            <w:r>
              <w:rPr>
                <w:b w:val="0"/>
                <w:sz w:val="20"/>
              </w:rPr>
              <w:t>Qualcomm</w:t>
            </w:r>
          </w:p>
        </w:tc>
        <w:tc>
          <w:tcPr>
            <w:tcW w:w="2814" w:type="dxa"/>
            <w:vAlign w:val="center"/>
          </w:tcPr>
          <w:p w:rsidR="001561D3" w:rsidRDefault="001561D3" w:rsidP="001561D3">
            <w:pPr>
              <w:pStyle w:val="T2"/>
              <w:spacing w:after="0"/>
              <w:ind w:left="0" w:right="0"/>
              <w:rPr>
                <w:b w:val="0"/>
                <w:sz w:val="20"/>
              </w:rPr>
            </w:pPr>
          </w:p>
        </w:tc>
        <w:tc>
          <w:tcPr>
            <w:tcW w:w="981" w:type="dxa"/>
            <w:vAlign w:val="center"/>
          </w:tcPr>
          <w:p w:rsidR="001561D3" w:rsidRDefault="001561D3" w:rsidP="001561D3">
            <w:pPr>
              <w:pStyle w:val="T2"/>
              <w:spacing w:after="0"/>
              <w:ind w:left="0" w:right="0"/>
              <w:rPr>
                <w:b w:val="0"/>
                <w:sz w:val="20"/>
              </w:rPr>
            </w:pPr>
          </w:p>
        </w:tc>
        <w:tc>
          <w:tcPr>
            <w:tcW w:w="2381" w:type="dxa"/>
            <w:vAlign w:val="center"/>
          </w:tcPr>
          <w:p w:rsidR="001561D3" w:rsidRDefault="001561D3" w:rsidP="001561D3">
            <w:pPr>
              <w:pStyle w:val="T2"/>
              <w:spacing w:after="0"/>
              <w:ind w:left="0" w:right="0"/>
              <w:jc w:val="left"/>
              <w:rPr>
                <w:b w:val="0"/>
                <w:sz w:val="16"/>
              </w:rPr>
            </w:pPr>
            <w:r>
              <w:rPr>
                <w:sz w:val="16"/>
                <w:lang w:eastAsia="zh-CN"/>
              </w:rPr>
              <w:t>eitana</w:t>
            </w:r>
            <w:r w:rsidRPr="00067D04">
              <w:rPr>
                <w:sz w:val="16"/>
                <w:lang w:eastAsia="zh-CN"/>
              </w:rPr>
              <w:t>@qti.qualcomm.com</w:t>
            </w:r>
          </w:p>
        </w:tc>
      </w:tr>
      <w:tr w:rsidR="001561D3" w:rsidTr="001561D3">
        <w:trPr>
          <w:jc w:val="center"/>
        </w:trPr>
        <w:tc>
          <w:tcPr>
            <w:tcW w:w="1975" w:type="dxa"/>
            <w:vAlign w:val="center"/>
          </w:tcPr>
          <w:p w:rsidR="001561D3" w:rsidRDefault="001561D3" w:rsidP="001561D3">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rsidR="001561D3" w:rsidRDefault="001561D3" w:rsidP="001561D3">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rsidR="001561D3" w:rsidRDefault="001561D3" w:rsidP="001561D3">
            <w:pPr>
              <w:pStyle w:val="T2"/>
              <w:spacing w:after="0"/>
              <w:ind w:left="0" w:right="0"/>
              <w:rPr>
                <w:b w:val="0"/>
                <w:sz w:val="20"/>
              </w:rPr>
            </w:pPr>
          </w:p>
        </w:tc>
        <w:tc>
          <w:tcPr>
            <w:tcW w:w="981" w:type="dxa"/>
            <w:vAlign w:val="center"/>
          </w:tcPr>
          <w:p w:rsidR="001561D3" w:rsidRDefault="001561D3" w:rsidP="001561D3">
            <w:pPr>
              <w:pStyle w:val="T2"/>
              <w:spacing w:after="0"/>
              <w:ind w:left="0" w:right="0"/>
              <w:rPr>
                <w:b w:val="0"/>
                <w:sz w:val="20"/>
              </w:rPr>
            </w:pPr>
          </w:p>
        </w:tc>
        <w:tc>
          <w:tcPr>
            <w:tcW w:w="2381" w:type="dxa"/>
            <w:vAlign w:val="center"/>
          </w:tcPr>
          <w:p w:rsidR="001561D3" w:rsidRDefault="001561D3" w:rsidP="001561D3">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1D3" w:rsidRDefault="001561D3">
                            <w:pPr>
                              <w:pStyle w:val="T1"/>
                              <w:spacing w:after="120"/>
                            </w:pPr>
                            <w:r>
                              <w:t>Abstract</w:t>
                            </w:r>
                          </w:p>
                          <w:p w:rsidR="001561D3" w:rsidRDefault="001561D3">
                            <w:pPr>
                              <w:jc w:val="both"/>
                            </w:pPr>
                            <w:r>
                              <w:t>This document proposes resolution to LB239 CIDs on channel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561D3" w:rsidRDefault="001561D3">
                      <w:pPr>
                        <w:pStyle w:val="T1"/>
                        <w:spacing w:after="120"/>
                      </w:pPr>
                      <w:r>
                        <w:t>Abstract</w:t>
                      </w:r>
                    </w:p>
                    <w:p w:rsidR="001561D3" w:rsidRDefault="001561D3">
                      <w:pPr>
                        <w:jc w:val="both"/>
                      </w:pPr>
                      <w:r>
                        <w:t>This document proposes resolution to LB239 CIDs on channel access.</w:t>
                      </w:r>
                    </w:p>
                  </w:txbxContent>
                </v:textbox>
              </v:shape>
            </w:pict>
          </mc:Fallback>
        </mc:AlternateContent>
      </w:r>
    </w:p>
    <w:p w:rsidR="001561D3" w:rsidRDefault="00CA09B2" w:rsidP="001561D3">
      <w:r>
        <w:br w:type="page"/>
      </w:r>
    </w:p>
    <w:tbl>
      <w:tblPr>
        <w:tblStyle w:val="TableGrid"/>
        <w:tblW w:w="9715" w:type="dxa"/>
        <w:tblLook w:val="04A0" w:firstRow="1" w:lastRow="0" w:firstColumn="1" w:lastColumn="0" w:noHBand="0" w:noVBand="1"/>
      </w:tblPr>
      <w:tblGrid>
        <w:gridCol w:w="656"/>
        <w:gridCol w:w="907"/>
        <w:gridCol w:w="1316"/>
        <w:gridCol w:w="5306"/>
        <w:gridCol w:w="1530"/>
      </w:tblGrid>
      <w:tr w:rsidR="001561D3" w:rsidRPr="001561D3" w:rsidTr="001561D3">
        <w:trPr>
          <w:trHeight w:val="2681"/>
        </w:trPr>
        <w:tc>
          <w:tcPr>
            <w:tcW w:w="656" w:type="dxa"/>
            <w:hideMark/>
          </w:tcPr>
          <w:p w:rsidR="001561D3" w:rsidRPr="001561D3" w:rsidRDefault="001561D3" w:rsidP="001561D3">
            <w:pPr>
              <w:rPr>
                <w:bCs/>
                <w:lang w:val="en-US"/>
              </w:rPr>
            </w:pPr>
            <w:r w:rsidRPr="001561D3">
              <w:rPr>
                <w:bCs/>
              </w:rPr>
              <w:lastRenderedPageBreak/>
              <w:t>4326</w:t>
            </w:r>
          </w:p>
        </w:tc>
        <w:tc>
          <w:tcPr>
            <w:tcW w:w="907" w:type="dxa"/>
            <w:hideMark/>
          </w:tcPr>
          <w:p w:rsidR="001561D3" w:rsidRPr="001561D3" w:rsidRDefault="001561D3" w:rsidP="001561D3">
            <w:pPr>
              <w:rPr>
                <w:bCs/>
              </w:rPr>
            </w:pPr>
            <w:r w:rsidRPr="001561D3">
              <w:rPr>
                <w:bCs/>
              </w:rPr>
              <w:t>246.33</w:t>
            </w:r>
          </w:p>
        </w:tc>
        <w:tc>
          <w:tcPr>
            <w:tcW w:w="1316" w:type="dxa"/>
            <w:hideMark/>
          </w:tcPr>
          <w:p w:rsidR="001561D3" w:rsidRPr="001561D3" w:rsidRDefault="001561D3" w:rsidP="001561D3">
            <w:pPr>
              <w:rPr>
                <w:bCs/>
              </w:rPr>
            </w:pPr>
            <w:r w:rsidRPr="001561D3">
              <w:rPr>
                <w:bCs/>
              </w:rPr>
              <w:t>10.40.11.2.1</w:t>
            </w:r>
          </w:p>
        </w:tc>
        <w:tc>
          <w:tcPr>
            <w:tcW w:w="5306" w:type="dxa"/>
            <w:hideMark/>
          </w:tcPr>
          <w:p w:rsidR="001561D3" w:rsidRPr="001561D3" w:rsidRDefault="001561D3" w:rsidP="001561D3">
            <w:pPr>
              <w:rPr>
                <w:bCs/>
              </w:rPr>
            </w:pPr>
            <w:r w:rsidRPr="001561D3">
              <w:rPr>
                <w:bCs/>
              </w:rPr>
              <w:t xml:space="preserve">"An EDMG STA may transmit a Grant frame to a peer EDMG STA to indicate intent to transmit an EDMG 32 PPDU to the peer STA over a 4.32 GHz, 2.16+2.16 GHz, 6.48 GHz, 4.32+4.32 GHz, or 8.64 GHz channel 33 at the time indicated by the sum of the Allocation Duration field and the Duration field within the Grant 34 frame following the end of the Grant frame transmission as described in 9.5.2.". why is 2.16 GHz not included. We may be fine with frequency, but we still may need to </w:t>
            </w:r>
            <w:proofErr w:type="spellStart"/>
            <w:r w:rsidRPr="001561D3">
              <w:rPr>
                <w:bCs/>
              </w:rPr>
              <w:t>chagne</w:t>
            </w:r>
            <w:proofErr w:type="spellEnd"/>
            <w:r w:rsidRPr="001561D3">
              <w:rPr>
                <w:bCs/>
              </w:rPr>
              <w:t xml:space="preserve"> the DMG antenna configuration.</w:t>
            </w:r>
          </w:p>
        </w:tc>
        <w:tc>
          <w:tcPr>
            <w:tcW w:w="1530" w:type="dxa"/>
            <w:hideMark/>
          </w:tcPr>
          <w:p w:rsidR="001561D3" w:rsidRPr="001561D3" w:rsidRDefault="001561D3" w:rsidP="001561D3">
            <w:pPr>
              <w:rPr>
                <w:bCs/>
              </w:rPr>
            </w:pPr>
            <w:r w:rsidRPr="001561D3">
              <w:rPr>
                <w:bCs/>
              </w:rPr>
              <w:t>Add 2.16 GHz</w:t>
            </w:r>
          </w:p>
        </w:tc>
      </w:tr>
    </w:tbl>
    <w:p w:rsidR="00CA09B2" w:rsidRDefault="00C815FA" w:rsidP="001561D3">
      <w:pPr>
        <w:rPr>
          <w:b/>
        </w:rPr>
      </w:pPr>
      <w:r>
        <w:rPr>
          <w:bCs/>
        </w:rPr>
        <w:t xml:space="preserve">Proposed Resolution: </w:t>
      </w:r>
      <w:r>
        <w:rPr>
          <w:b/>
        </w:rPr>
        <w:t>Reject</w:t>
      </w:r>
    </w:p>
    <w:p w:rsidR="00C815FA" w:rsidRDefault="00C815FA" w:rsidP="001561D3">
      <w:pPr>
        <w:rPr>
          <w:bCs/>
        </w:rPr>
      </w:pPr>
      <w:r>
        <w:rPr>
          <w:b/>
          <w:u w:val="single"/>
        </w:rPr>
        <w:t>Discussion:</w:t>
      </w:r>
    </w:p>
    <w:p w:rsidR="00C815FA" w:rsidRDefault="00C815FA" w:rsidP="001561D3">
      <w:pPr>
        <w:rPr>
          <w:bCs/>
        </w:rPr>
      </w:pPr>
      <w:r>
        <w:rPr>
          <w:bCs/>
        </w:rPr>
        <w:t>2.16 GHz is not excluded.  Using a Grant to allocate time for a future transmission is a legacy behaviour already allowed in the baseline (9.5.2).  The issue of antenna configuration is not new, it was already present in 11ad.  The behaviour described here is specific to bandwidth setting for devices that want to maintain narrow bandwidth until the indicate time.  There is no point in using the control trailer as described in this subclause for 2.16GHz, the fields there are not needed when grant is used.</w:t>
      </w:r>
      <w:r w:rsidR="00DC559B">
        <w:rPr>
          <w:bCs/>
        </w:rPr>
        <w:t xml:space="preserve">  Use of grant for MIMO channel access is covered in 10.40.11.4.2.</w:t>
      </w:r>
      <w:bookmarkStart w:id="0" w:name="_GoBack"/>
      <w:bookmarkEnd w:id="0"/>
    </w:p>
    <w:p w:rsidR="00FC37F0" w:rsidRDefault="00FC37F0" w:rsidP="001561D3">
      <w:pPr>
        <w:rPr>
          <w:bCs/>
        </w:rPr>
      </w:pPr>
    </w:p>
    <w:tbl>
      <w:tblPr>
        <w:tblStyle w:val="TableGrid"/>
        <w:tblW w:w="0" w:type="auto"/>
        <w:tblLook w:val="04A0" w:firstRow="1" w:lastRow="0" w:firstColumn="1" w:lastColumn="0" w:noHBand="0" w:noVBand="1"/>
      </w:tblPr>
      <w:tblGrid>
        <w:gridCol w:w="656"/>
        <w:gridCol w:w="901"/>
        <w:gridCol w:w="1316"/>
        <w:gridCol w:w="2597"/>
        <w:gridCol w:w="2605"/>
      </w:tblGrid>
      <w:tr w:rsidR="00FC37F0" w:rsidRPr="00FC37F0" w:rsidTr="00FC37F0">
        <w:trPr>
          <w:trHeight w:val="2400"/>
        </w:trPr>
        <w:tc>
          <w:tcPr>
            <w:tcW w:w="592" w:type="dxa"/>
            <w:hideMark/>
          </w:tcPr>
          <w:p w:rsidR="00FC37F0" w:rsidRPr="00FC37F0" w:rsidRDefault="00FC37F0" w:rsidP="00FC37F0">
            <w:pPr>
              <w:rPr>
                <w:bCs/>
                <w:lang w:val="en-US"/>
              </w:rPr>
            </w:pPr>
            <w:r w:rsidRPr="00FC37F0">
              <w:rPr>
                <w:bCs/>
              </w:rPr>
              <w:t>4144</w:t>
            </w:r>
          </w:p>
        </w:tc>
        <w:tc>
          <w:tcPr>
            <w:tcW w:w="901" w:type="dxa"/>
            <w:hideMark/>
          </w:tcPr>
          <w:p w:rsidR="00FC37F0" w:rsidRPr="00FC37F0" w:rsidRDefault="00FC37F0" w:rsidP="00FC37F0">
            <w:pPr>
              <w:rPr>
                <w:bCs/>
              </w:rPr>
            </w:pPr>
            <w:r w:rsidRPr="00FC37F0">
              <w:rPr>
                <w:bCs/>
              </w:rPr>
              <w:t>249.06</w:t>
            </w:r>
          </w:p>
        </w:tc>
        <w:tc>
          <w:tcPr>
            <w:tcW w:w="1145" w:type="dxa"/>
            <w:hideMark/>
          </w:tcPr>
          <w:p w:rsidR="00FC37F0" w:rsidRPr="00FC37F0" w:rsidRDefault="00FC37F0" w:rsidP="00FC37F0">
            <w:pPr>
              <w:rPr>
                <w:bCs/>
              </w:rPr>
            </w:pPr>
            <w:r w:rsidRPr="00FC37F0">
              <w:rPr>
                <w:bCs/>
              </w:rPr>
              <w:t>10.40.11.4.2</w:t>
            </w:r>
          </w:p>
        </w:tc>
        <w:tc>
          <w:tcPr>
            <w:tcW w:w="2597" w:type="dxa"/>
            <w:hideMark/>
          </w:tcPr>
          <w:p w:rsidR="00FC37F0" w:rsidRPr="00FC37F0" w:rsidRDefault="00FC37F0" w:rsidP="00FC37F0">
            <w:pPr>
              <w:rPr>
                <w:bCs/>
              </w:rPr>
            </w:pPr>
            <w:r w:rsidRPr="00FC37F0">
              <w:rPr>
                <w:bCs/>
              </w:rPr>
              <w:t xml:space="preserve">"all the MIMO TX antennas" - I think the intent is the MIMO TX DMG antennas, or even better the MIMO RX DMG antennas </w:t>
            </w:r>
            <w:proofErr w:type="spellStart"/>
            <w:r w:rsidRPr="00FC37F0">
              <w:rPr>
                <w:bCs/>
              </w:rPr>
              <w:t>correspoding</w:t>
            </w:r>
            <w:proofErr w:type="spellEnd"/>
            <w:r w:rsidRPr="00FC37F0">
              <w:rPr>
                <w:bCs/>
              </w:rPr>
              <w:t xml:space="preserve"> to the MIMO TX DMG antennas</w:t>
            </w:r>
          </w:p>
        </w:tc>
        <w:tc>
          <w:tcPr>
            <w:tcW w:w="2605" w:type="dxa"/>
            <w:hideMark/>
          </w:tcPr>
          <w:p w:rsidR="00FC37F0" w:rsidRPr="00FC37F0" w:rsidRDefault="00FC37F0" w:rsidP="00FC37F0">
            <w:pPr>
              <w:rPr>
                <w:bCs/>
              </w:rPr>
            </w:pPr>
            <w:r w:rsidRPr="00FC37F0">
              <w:rPr>
                <w:bCs/>
              </w:rPr>
              <w:t>replace "all the MIMO TX antennas" with "all the MIMO RX DMG antennas corresponding to the MIMO TX DMG antennas"</w:t>
            </w:r>
          </w:p>
        </w:tc>
      </w:tr>
    </w:tbl>
    <w:p w:rsidR="00FC37F0" w:rsidRDefault="00A57B10" w:rsidP="001561D3">
      <w:pPr>
        <w:rPr>
          <w:b/>
        </w:rPr>
      </w:pPr>
      <w:r>
        <w:rPr>
          <w:bCs/>
        </w:rPr>
        <w:t xml:space="preserve">Proposed Resolution: </w:t>
      </w:r>
      <w:r>
        <w:rPr>
          <w:b/>
        </w:rPr>
        <w:t>Accept</w:t>
      </w:r>
    </w:p>
    <w:p w:rsidR="00A57B10" w:rsidRDefault="00A57B10" w:rsidP="001561D3">
      <w:pPr>
        <w:rPr>
          <w:b/>
        </w:rPr>
      </w:pPr>
    </w:p>
    <w:tbl>
      <w:tblPr>
        <w:tblStyle w:val="TableGrid"/>
        <w:tblW w:w="9445" w:type="dxa"/>
        <w:tblLook w:val="04A0" w:firstRow="1" w:lastRow="0" w:firstColumn="1" w:lastColumn="0" w:noHBand="0" w:noVBand="1"/>
      </w:tblPr>
      <w:tblGrid>
        <w:gridCol w:w="656"/>
        <w:gridCol w:w="906"/>
        <w:gridCol w:w="1261"/>
        <w:gridCol w:w="2626"/>
        <w:gridCol w:w="3996"/>
      </w:tblGrid>
      <w:tr w:rsidR="00EA3193" w:rsidRPr="00EA3193" w:rsidTr="00415060">
        <w:trPr>
          <w:trHeight w:val="2150"/>
        </w:trPr>
        <w:tc>
          <w:tcPr>
            <w:tcW w:w="656" w:type="dxa"/>
            <w:hideMark/>
          </w:tcPr>
          <w:p w:rsidR="00EA3193" w:rsidRPr="00415060" w:rsidRDefault="00EA3193" w:rsidP="00EA3193">
            <w:pPr>
              <w:rPr>
                <w:bCs/>
                <w:lang w:val="en-US"/>
              </w:rPr>
            </w:pPr>
            <w:r w:rsidRPr="00415060">
              <w:rPr>
                <w:bCs/>
              </w:rPr>
              <w:t>4195</w:t>
            </w:r>
          </w:p>
        </w:tc>
        <w:tc>
          <w:tcPr>
            <w:tcW w:w="906" w:type="dxa"/>
            <w:hideMark/>
          </w:tcPr>
          <w:p w:rsidR="00EA3193" w:rsidRPr="00415060" w:rsidRDefault="00EA3193" w:rsidP="00EA3193">
            <w:pPr>
              <w:rPr>
                <w:bCs/>
              </w:rPr>
            </w:pPr>
            <w:r w:rsidRPr="00415060">
              <w:rPr>
                <w:bCs/>
              </w:rPr>
              <w:t>414.00</w:t>
            </w:r>
          </w:p>
        </w:tc>
        <w:tc>
          <w:tcPr>
            <w:tcW w:w="1261" w:type="dxa"/>
            <w:hideMark/>
          </w:tcPr>
          <w:p w:rsidR="00EA3193" w:rsidRPr="00415060" w:rsidRDefault="00EA3193" w:rsidP="00EA3193">
            <w:pPr>
              <w:rPr>
                <w:bCs/>
              </w:rPr>
            </w:pPr>
            <w:r w:rsidRPr="00415060">
              <w:rPr>
                <w:bCs/>
              </w:rPr>
              <w:t>29.3.3.2.4.1</w:t>
            </w:r>
          </w:p>
        </w:tc>
        <w:tc>
          <w:tcPr>
            <w:tcW w:w="2626" w:type="dxa"/>
            <w:hideMark/>
          </w:tcPr>
          <w:p w:rsidR="00EA3193" w:rsidRPr="00415060" w:rsidRDefault="00EA3193" w:rsidP="00EA3193">
            <w:pPr>
              <w:rPr>
                <w:bCs/>
              </w:rPr>
            </w:pPr>
            <w:r w:rsidRPr="00415060">
              <w:rPr>
                <w:bCs/>
              </w:rPr>
              <w:t>The coding in Table 54 can be reused for Table 51 to pack more combinations and for consistency.</w:t>
            </w:r>
          </w:p>
        </w:tc>
        <w:tc>
          <w:tcPr>
            <w:tcW w:w="3996" w:type="dxa"/>
            <w:hideMark/>
          </w:tcPr>
          <w:p w:rsidR="00EA3193" w:rsidRPr="00415060" w:rsidRDefault="00EA3193" w:rsidP="00EA3193">
            <w:pPr>
              <w:rPr>
                <w:bCs/>
              </w:rPr>
            </w:pPr>
            <w:r w:rsidRPr="00415060">
              <w:rPr>
                <w:bCs/>
              </w:rPr>
              <w:t>- Propose to use the combinations for codes 10, 11, 12, 14 of Table 54 for codes 1001, 0101, 1101, 0011 of Table 51 respectively.</w:t>
            </w:r>
            <w:r w:rsidRPr="00415060">
              <w:rPr>
                <w:bCs/>
              </w:rPr>
              <w:br/>
              <w:t xml:space="preserve">- </w:t>
            </w:r>
            <w:proofErr w:type="spellStart"/>
            <w:r w:rsidRPr="00415060">
              <w:rPr>
                <w:bCs/>
              </w:rPr>
              <w:t>Similary</w:t>
            </w:r>
            <w:proofErr w:type="spellEnd"/>
            <w:r w:rsidRPr="00415060">
              <w:rPr>
                <w:bCs/>
              </w:rPr>
              <w:t xml:space="preserve"> use the combination of the codes 15, 16, 19 of Table 54 for codes 1011, 0111, 1111 Table 51. (just add "3-4 and 7-8" to code 1111 of Table 51)</w:t>
            </w:r>
          </w:p>
        </w:tc>
      </w:tr>
    </w:tbl>
    <w:p w:rsidR="000860B3" w:rsidRDefault="00415060" w:rsidP="001561D3">
      <w:pPr>
        <w:rPr>
          <w:b/>
        </w:rPr>
      </w:pPr>
      <w:r>
        <w:rPr>
          <w:bCs/>
        </w:rPr>
        <w:t xml:space="preserve">Proposed Resolution: </w:t>
      </w:r>
      <w:r>
        <w:rPr>
          <w:b/>
        </w:rPr>
        <w:t>Reject</w:t>
      </w:r>
    </w:p>
    <w:p w:rsidR="00415060" w:rsidRDefault="00415060" w:rsidP="001561D3">
      <w:pPr>
        <w:rPr>
          <w:b/>
          <w:u w:val="single"/>
        </w:rPr>
      </w:pPr>
      <w:r>
        <w:rPr>
          <w:b/>
          <w:u w:val="single"/>
        </w:rPr>
        <w:t>Discussion:</w:t>
      </w:r>
    </w:p>
    <w:p w:rsidR="00415060" w:rsidRDefault="00415060" w:rsidP="001561D3">
      <w:pPr>
        <w:rPr>
          <w:bCs/>
        </w:rPr>
      </w:pPr>
      <w:r>
        <w:rPr>
          <w:bCs/>
        </w:rPr>
        <w:t xml:space="preserve">The difference between the two tables is that table 54 has 21 entries and full covers channels 1-8 while table 51 has 16 entries (limited to 4 bits) and is optimized to cover channels 1-6.  While the difference between them can be slightly lower, there is </w:t>
      </w:r>
      <w:proofErr w:type="spellStart"/>
      <w:r>
        <w:rPr>
          <w:bCs/>
        </w:rPr>
        <w:t>not</w:t>
      </w:r>
      <w:proofErr w:type="spellEnd"/>
      <w:r>
        <w:rPr>
          <w:bCs/>
        </w:rPr>
        <w:t xml:space="preserve"> point in doing that since they cannot be made to be extension of each other.</w:t>
      </w:r>
    </w:p>
    <w:p w:rsidR="00415060" w:rsidRPr="00415060" w:rsidRDefault="00415060" w:rsidP="001561D3">
      <w:pPr>
        <w:rPr>
          <w:bCs/>
        </w:rPr>
      </w:pPr>
    </w:p>
    <w:p w:rsidR="00C815FA" w:rsidRDefault="00C815FA" w:rsidP="001561D3">
      <w:pPr>
        <w:rPr>
          <w:bCs/>
        </w:rPr>
      </w:pPr>
    </w:p>
    <w:p w:rsidR="00C815FA" w:rsidRPr="00C815FA" w:rsidRDefault="00C815FA" w:rsidP="001561D3">
      <w:pPr>
        <w:rPr>
          <w:bCs/>
        </w:rPr>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95" w:rsidRDefault="00B56695">
      <w:r>
        <w:separator/>
      </w:r>
    </w:p>
  </w:endnote>
  <w:endnote w:type="continuationSeparator" w:id="0">
    <w:p w:rsidR="00B56695" w:rsidRDefault="00B5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D3" w:rsidRDefault="001561D3">
    <w:pPr>
      <w:pStyle w:val="Footer"/>
      <w:tabs>
        <w:tab w:val="clear" w:pos="6480"/>
        <w:tab w:val="center" w:pos="4680"/>
        <w:tab w:val="right" w:pos="9360"/>
      </w:tabs>
    </w:pPr>
    <w:fldSimple w:instr=" SUBJECT  \* MERGEFORMAT ">
      <w:r w:rsidR="00CA2C0B">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CA2C0B">
        <w:t>Assaf Kasher, Qualcomm</w:t>
      </w:r>
    </w:fldSimple>
  </w:p>
  <w:p w:rsidR="001561D3" w:rsidRDefault="001561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95" w:rsidRDefault="00B56695">
      <w:r>
        <w:separator/>
      </w:r>
    </w:p>
  </w:footnote>
  <w:footnote w:type="continuationSeparator" w:id="0">
    <w:p w:rsidR="00B56695" w:rsidRDefault="00B5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D3" w:rsidRDefault="001561D3">
    <w:pPr>
      <w:pStyle w:val="Header"/>
      <w:tabs>
        <w:tab w:val="clear" w:pos="6480"/>
        <w:tab w:val="center" w:pos="4680"/>
        <w:tab w:val="right" w:pos="9360"/>
      </w:tabs>
    </w:pPr>
    <w:fldSimple w:instr=" KEYWORDS  \* MERGEFORMAT ">
      <w:r w:rsidR="00CA2C0B">
        <w:t>March 2019</w:t>
      </w:r>
    </w:fldSimple>
    <w:r>
      <w:tab/>
    </w:r>
    <w:r>
      <w:tab/>
    </w:r>
    <w:fldSimple w:instr=" TITLE  \* MERGEFORMAT ">
      <w:r w:rsidR="00CA2C0B">
        <w:t>doc.: IEEE 802.11-19/0536r0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D3"/>
    <w:rsid w:val="000860B3"/>
    <w:rsid w:val="001561D3"/>
    <w:rsid w:val="001D723B"/>
    <w:rsid w:val="0029020B"/>
    <w:rsid w:val="002D44BE"/>
    <w:rsid w:val="00405B98"/>
    <w:rsid w:val="00415060"/>
    <w:rsid w:val="00442037"/>
    <w:rsid w:val="004B064B"/>
    <w:rsid w:val="0062440B"/>
    <w:rsid w:val="006C0727"/>
    <w:rsid w:val="006E145F"/>
    <w:rsid w:val="007663D3"/>
    <w:rsid w:val="00770572"/>
    <w:rsid w:val="009F2FBC"/>
    <w:rsid w:val="00A57B10"/>
    <w:rsid w:val="00AA427C"/>
    <w:rsid w:val="00B56695"/>
    <w:rsid w:val="00BE68C2"/>
    <w:rsid w:val="00C815FA"/>
    <w:rsid w:val="00CA09B2"/>
    <w:rsid w:val="00CA2C0B"/>
    <w:rsid w:val="00D0093B"/>
    <w:rsid w:val="00DC559B"/>
    <w:rsid w:val="00DC5A7B"/>
    <w:rsid w:val="00EA3193"/>
    <w:rsid w:val="00EC558B"/>
    <w:rsid w:val="00FC3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AD2B5"/>
  <w15:chartTrackingRefBased/>
  <w15:docId w15:val="{CB5B4CA8-6BB4-46E0-AD5A-F20959BE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5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81692">
      <w:bodyDiv w:val="1"/>
      <w:marLeft w:val="0"/>
      <w:marRight w:val="0"/>
      <w:marTop w:val="0"/>
      <w:marBottom w:val="0"/>
      <w:divBdr>
        <w:top w:val="none" w:sz="0" w:space="0" w:color="auto"/>
        <w:left w:val="none" w:sz="0" w:space="0" w:color="auto"/>
        <w:bottom w:val="none" w:sz="0" w:space="0" w:color="auto"/>
        <w:right w:val="none" w:sz="0" w:space="0" w:color="auto"/>
      </w:divBdr>
    </w:div>
    <w:div w:id="812138212">
      <w:bodyDiv w:val="1"/>
      <w:marLeft w:val="0"/>
      <w:marRight w:val="0"/>
      <w:marTop w:val="0"/>
      <w:marBottom w:val="0"/>
      <w:divBdr>
        <w:top w:val="none" w:sz="0" w:space="0" w:color="auto"/>
        <w:left w:val="none" w:sz="0" w:space="0" w:color="auto"/>
        <w:bottom w:val="none" w:sz="0" w:space="0" w:color="auto"/>
        <w:right w:val="none" w:sz="0" w:space="0" w:color="auto"/>
      </w:divBdr>
    </w:div>
    <w:div w:id="1116290063">
      <w:bodyDiv w:val="1"/>
      <w:marLeft w:val="0"/>
      <w:marRight w:val="0"/>
      <w:marTop w:val="0"/>
      <w:marBottom w:val="0"/>
      <w:divBdr>
        <w:top w:val="none" w:sz="0" w:space="0" w:color="auto"/>
        <w:left w:val="none" w:sz="0" w:space="0" w:color="auto"/>
        <w:bottom w:val="none" w:sz="0" w:space="0" w:color="auto"/>
        <w:right w:val="none" w:sz="0" w:space="0" w:color="auto"/>
      </w:divBdr>
    </w:div>
    <w:div w:id="1594976517">
      <w:bodyDiv w:val="1"/>
      <w:marLeft w:val="0"/>
      <w:marRight w:val="0"/>
      <w:marTop w:val="0"/>
      <w:marBottom w:val="0"/>
      <w:divBdr>
        <w:top w:val="none" w:sz="0" w:space="0" w:color="auto"/>
        <w:left w:val="none" w:sz="0" w:space="0" w:color="auto"/>
        <w:bottom w:val="none" w:sz="0" w:space="0" w:color="auto"/>
        <w:right w:val="none" w:sz="0" w:space="0" w:color="auto"/>
      </w:divBdr>
    </w:div>
    <w:div w:id="21401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1254</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802.11-19/0536r0</vt:lpstr>
    </vt:vector>
  </TitlesOfParts>
  <Company>Some Company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802.11-19/0536r0</dc:title>
  <dc:subject>Submission</dc:subject>
  <dc:creator>Assaf Kasher</dc:creator>
  <cp:keywords>March 2019</cp:keywords>
  <dc:description>Assaf Kasher, Qualcomm</dc:description>
  <cp:lastModifiedBy>Assaf Kasher</cp:lastModifiedBy>
  <cp:revision>5</cp:revision>
  <cp:lastPrinted>1899-12-31T22:00:00Z</cp:lastPrinted>
  <dcterms:created xsi:type="dcterms:W3CDTF">2019-03-18T14:10:00Z</dcterms:created>
  <dcterms:modified xsi:type="dcterms:W3CDTF">2019-03-19T13:25:00Z</dcterms:modified>
</cp:coreProperties>
</file>