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2070"/>
        <w:gridCol w:w="2700"/>
        <w:gridCol w:w="1170"/>
        <w:gridCol w:w="1841"/>
      </w:tblGrid>
      <w:tr w:rsidR="00CA09B2" w:rsidTr="00583F99">
        <w:trPr>
          <w:trHeight w:val="485"/>
          <w:jc w:val="center"/>
        </w:trPr>
        <w:tc>
          <w:tcPr>
            <w:tcW w:w="9576" w:type="dxa"/>
            <w:gridSpan w:val="5"/>
            <w:vAlign w:val="center"/>
          </w:tcPr>
          <w:p w:rsidR="00CA09B2" w:rsidRDefault="00EC4F04">
            <w:pPr>
              <w:pStyle w:val="T2"/>
            </w:pPr>
            <w:r>
              <w:t>CID</w:t>
            </w:r>
            <w:r w:rsidR="007960DA">
              <w:t>s</w:t>
            </w:r>
            <w:r>
              <w:t xml:space="preserve"> 270</w:t>
            </w:r>
            <w:r w:rsidR="001F7414">
              <w:t>9, 2710, 2711</w:t>
            </w:r>
          </w:p>
        </w:tc>
      </w:tr>
      <w:tr w:rsidR="00CA09B2" w:rsidTr="00583F99">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583F99">
              <w:rPr>
                <w:b w:val="0"/>
                <w:sz w:val="20"/>
              </w:rPr>
              <w:fldChar w:fldCharType="begin"/>
            </w:r>
            <w:r w:rsidR="00583F99">
              <w:rPr>
                <w:b w:val="0"/>
                <w:sz w:val="20"/>
              </w:rPr>
              <w:instrText xml:space="preserve"> DATE   \* MERGEFORMAT </w:instrText>
            </w:r>
            <w:r w:rsidR="00583F99">
              <w:rPr>
                <w:b w:val="0"/>
                <w:sz w:val="20"/>
              </w:rPr>
              <w:fldChar w:fldCharType="separate"/>
            </w:r>
            <w:r w:rsidR="000371D8">
              <w:rPr>
                <w:b w:val="0"/>
                <w:noProof/>
                <w:sz w:val="20"/>
              </w:rPr>
              <w:t>12/03/2019</w:t>
            </w:r>
            <w:r w:rsidR="00583F99">
              <w:rPr>
                <w:b w:val="0"/>
                <w:sz w:val="20"/>
              </w:rPr>
              <w:fldChar w:fldCharType="end"/>
            </w:r>
          </w:p>
        </w:tc>
      </w:tr>
      <w:tr w:rsidR="00CA09B2" w:rsidTr="00583F99">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583F99">
        <w:trPr>
          <w:jc w:val="center"/>
        </w:trPr>
        <w:tc>
          <w:tcPr>
            <w:tcW w:w="1795" w:type="dxa"/>
            <w:vAlign w:val="center"/>
          </w:tcPr>
          <w:p w:rsidR="00CA09B2" w:rsidRDefault="00CA09B2">
            <w:pPr>
              <w:pStyle w:val="T2"/>
              <w:spacing w:after="0"/>
              <w:ind w:left="0" w:right="0"/>
              <w:jc w:val="left"/>
              <w:rPr>
                <w:sz w:val="20"/>
              </w:rPr>
            </w:pPr>
            <w:r>
              <w:rPr>
                <w:sz w:val="20"/>
              </w:rPr>
              <w:t>Name</w:t>
            </w:r>
          </w:p>
        </w:tc>
        <w:tc>
          <w:tcPr>
            <w:tcW w:w="2070" w:type="dxa"/>
            <w:vAlign w:val="center"/>
          </w:tcPr>
          <w:p w:rsidR="00CA09B2" w:rsidRDefault="0062440B">
            <w:pPr>
              <w:pStyle w:val="T2"/>
              <w:spacing w:after="0"/>
              <w:ind w:left="0" w:right="0"/>
              <w:jc w:val="left"/>
              <w:rPr>
                <w:sz w:val="20"/>
              </w:rPr>
            </w:pPr>
            <w:r>
              <w:rPr>
                <w:sz w:val="20"/>
              </w:rPr>
              <w:t>Affiliation</w:t>
            </w:r>
          </w:p>
        </w:tc>
        <w:tc>
          <w:tcPr>
            <w:tcW w:w="2700" w:type="dxa"/>
            <w:vAlign w:val="center"/>
          </w:tcPr>
          <w:p w:rsidR="00CA09B2" w:rsidRDefault="00CA09B2">
            <w:pPr>
              <w:pStyle w:val="T2"/>
              <w:spacing w:after="0"/>
              <w:ind w:left="0" w:right="0"/>
              <w:jc w:val="left"/>
              <w:rPr>
                <w:sz w:val="20"/>
              </w:rPr>
            </w:pPr>
            <w:r>
              <w:rPr>
                <w:sz w:val="20"/>
              </w:rPr>
              <w:t>Address</w:t>
            </w:r>
          </w:p>
        </w:tc>
        <w:tc>
          <w:tcPr>
            <w:tcW w:w="1170" w:type="dxa"/>
            <w:vAlign w:val="center"/>
          </w:tcPr>
          <w:p w:rsidR="00CA09B2" w:rsidRDefault="00CA09B2">
            <w:pPr>
              <w:pStyle w:val="T2"/>
              <w:spacing w:after="0"/>
              <w:ind w:left="0" w:right="0"/>
              <w:jc w:val="left"/>
              <w:rPr>
                <w:sz w:val="20"/>
              </w:rPr>
            </w:pPr>
            <w:r>
              <w:rPr>
                <w:sz w:val="20"/>
              </w:rPr>
              <w:t>Phone</w:t>
            </w:r>
          </w:p>
        </w:tc>
        <w:tc>
          <w:tcPr>
            <w:tcW w:w="1841" w:type="dxa"/>
            <w:vAlign w:val="center"/>
          </w:tcPr>
          <w:p w:rsidR="00CA09B2" w:rsidRDefault="00CA09B2">
            <w:pPr>
              <w:pStyle w:val="T2"/>
              <w:spacing w:after="0"/>
              <w:ind w:left="0" w:right="0"/>
              <w:jc w:val="left"/>
              <w:rPr>
                <w:sz w:val="20"/>
              </w:rPr>
            </w:pPr>
            <w:r>
              <w:rPr>
                <w:sz w:val="20"/>
              </w:rPr>
              <w:t>email</w:t>
            </w:r>
          </w:p>
        </w:tc>
      </w:tr>
      <w:tr w:rsidR="00CA09B2" w:rsidTr="00583F99">
        <w:trPr>
          <w:jc w:val="center"/>
        </w:trPr>
        <w:tc>
          <w:tcPr>
            <w:tcW w:w="1795" w:type="dxa"/>
            <w:vAlign w:val="center"/>
          </w:tcPr>
          <w:p w:rsidR="00CA09B2" w:rsidRDefault="00583F99">
            <w:pPr>
              <w:pStyle w:val="T2"/>
              <w:spacing w:after="0"/>
              <w:ind w:left="0" w:right="0"/>
              <w:rPr>
                <w:b w:val="0"/>
                <w:sz w:val="20"/>
              </w:rPr>
            </w:pPr>
            <w:r w:rsidRPr="00583F99">
              <w:rPr>
                <w:b w:val="0"/>
                <w:sz w:val="20"/>
              </w:rPr>
              <w:t>Sigurd Schelstraete</w:t>
            </w:r>
          </w:p>
        </w:tc>
        <w:tc>
          <w:tcPr>
            <w:tcW w:w="2070" w:type="dxa"/>
            <w:vAlign w:val="center"/>
          </w:tcPr>
          <w:p w:rsidR="00CA09B2" w:rsidRDefault="00583F99">
            <w:pPr>
              <w:pStyle w:val="T2"/>
              <w:spacing w:after="0"/>
              <w:ind w:left="0" w:right="0"/>
              <w:rPr>
                <w:b w:val="0"/>
                <w:sz w:val="20"/>
              </w:rPr>
            </w:pPr>
            <w:r>
              <w:rPr>
                <w:b w:val="0"/>
                <w:sz w:val="20"/>
              </w:rPr>
              <w:t>Quantenna Communications</w:t>
            </w:r>
          </w:p>
        </w:tc>
        <w:tc>
          <w:tcPr>
            <w:tcW w:w="2700" w:type="dxa"/>
            <w:vAlign w:val="center"/>
          </w:tcPr>
          <w:p w:rsidR="00CA09B2" w:rsidRDefault="00583F99">
            <w:pPr>
              <w:pStyle w:val="T2"/>
              <w:spacing w:after="0"/>
              <w:ind w:left="0" w:right="0"/>
              <w:rPr>
                <w:b w:val="0"/>
                <w:sz w:val="20"/>
              </w:rPr>
            </w:pPr>
            <w:r>
              <w:rPr>
                <w:b w:val="0"/>
                <w:sz w:val="20"/>
              </w:rPr>
              <w:t xml:space="preserve">1704 Automation Parkway, San Jose CA 95131, </w:t>
            </w:r>
            <w:r>
              <w:rPr>
                <w:b w:val="0"/>
                <w:sz w:val="20"/>
              </w:rPr>
              <w:br/>
              <w:t>USA</w:t>
            </w:r>
          </w:p>
        </w:tc>
        <w:tc>
          <w:tcPr>
            <w:tcW w:w="1170" w:type="dxa"/>
            <w:vAlign w:val="center"/>
          </w:tcPr>
          <w:p w:rsidR="00CA09B2" w:rsidRDefault="00CA09B2">
            <w:pPr>
              <w:pStyle w:val="T2"/>
              <w:spacing w:after="0"/>
              <w:ind w:left="0" w:right="0"/>
              <w:rPr>
                <w:b w:val="0"/>
                <w:sz w:val="20"/>
              </w:rPr>
            </w:pPr>
          </w:p>
        </w:tc>
        <w:tc>
          <w:tcPr>
            <w:tcW w:w="1841" w:type="dxa"/>
            <w:vAlign w:val="center"/>
          </w:tcPr>
          <w:p w:rsidR="00CA09B2" w:rsidRDefault="00583F99">
            <w:pPr>
              <w:pStyle w:val="T2"/>
              <w:spacing w:after="0"/>
              <w:ind w:left="0" w:right="0"/>
              <w:rPr>
                <w:b w:val="0"/>
                <w:sz w:val="16"/>
              </w:rPr>
            </w:pPr>
            <w:r>
              <w:rPr>
                <w:b w:val="0"/>
                <w:sz w:val="16"/>
              </w:rPr>
              <w:t>sigurd@quantenna.com</w:t>
            </w:r>
          </w:p>
        </w:tc>
      </w:tr>
      <w:tr w:rsidR="00CA09B2" w:rsidTr="00583F99">
        <w:trPr>
          <w:jc w:val="center"/>
        </w:trPr>
        <w:tc>
          <w:tcPr>
            <w:tcW w:w="1795" w:type="dxa"/>
            <w:vAlign w:val="center"/>
          </w:tcPr>
          <w:p w:rsidR="00CA09B2" w:rsidRDefault="00CA09B2">
            <w:pPr>
              <w:pStyle w:val="T2"/>
              <w:spacing w:after="0"/>
              <w:ind w:left="0" w:right="0"/>
              <w:rPr>
                <w:b w:val="0"/>
                <w:sz w:val="20"/>
              </w:rPr>
            </w:pPr>
          </w:p>
        </w:tc>
        <w:tc>
          <w:tcPr>
            <w:tcW w:w="2070" w:type="dxa"/>
            <w:vAlign w:val="center"/>
          </w:tcPr>
          <w:p w:rsidR="00CA09B2" w:rsidRDefault="00CA09B2">
            <w:pPr>
              <w:pStyle w:val="T2"/>
              <w:spacing w:after="0"/>
              <w:ind w:left="0" w:right="0"/>
              <w:rPr>
                <w:b w:val="0"/>
                <w:sz w:val="20"/>
              </w:rPr>
            </w:pPr>
          </w:p>
        </w:tc>
        <w:tc>
          <w:tcPr>
            <w:tcW w:w="2700" w:type="dxa"/>
            <w:vAlign w:val="center"/>
          </w:tcPr>
          <w:p w:rsidR="00CA09B2" w:rsidRDefault="00CA09B2">
            <w:pPr>
              <w:pStyle w:val="T2"/>
              <w:spacing w:after="0"/>
              <w:ind w:left="0" w:right="0"/>
              <w:rPr>
                <w:b w:val="0"/>
                <w:sz w:val="20"/>
              </w:rPr>
            </w:pPr>
          </w:p>
        </w:tc>
        <w:tc>
          <w:tcPr>
            <w:tcW w:w="1170" w:type="dxa"/>
            <w:vAlign w:val="center"/>
          </w:tcPr>
          <w:p w:rsidR="00CA09B2" w:rsidRDefault="00CA09B2">
            <w:pPr>
              <w:pStyle w:val="T2"/>
              <w:spacing w:after="0"/>
              <w:ind w:left="0" w:right="0"/>
              <w:rPr>
                <w:b w:val="0"/>
                <w:sz w:val="20"/>
              </w:rPr>
            </w:pPr>
          </w:p>
        </w:tc>
        <w:tc>
          <w:tcPr>
            <w:tcW w:w="1841" w:type="dxa"/>
            <w:vAlign w:val="center"/>
          </w:tcPr>
          <w:p w:rsidR="00CA09B2" w:rsidRDefault="00CA09B2">
            <w:pPr>
              <w:pStyle w:val="T2"/>
              <w:spacing w:after="0"/>
              <w:ind w:left="0" w:right="0"/>
              <w:rPr>
                <w:b w:val="0"/>
                <w:sz w:val="16"/>
              </w:rPr>
            </w:pPr>
          </w:p>
        </w:tc>
      </w:tr>
    </w:tbl>
    <w:p w:rsidR="00CA09B2" w:rsidRDefault="00416CC2">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583F99">
                            <w:pPr>
                              <w:jc w:val="both"/>
                            </w:pPr>
                            <w:r>
                              <w:t>This document discusses CID</w:t>
                            </w:r>
                            <w:r w:rsidR="001F7414">
                              <w:t>s</w:t>
                            </w:r>
                            <w:r>
                              <w:t xml:space="preserve"> 270</w:t>
                            </w:r>
                            <w:r w:rsidR="001F7414">
                              <w:t>9, 2710 and 2711</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583F99">
                      <w:pPr>
                        <w:jc w:val="both"/>
                      </w:pPr>
                      <w:r>
                        <w:t>This document discusses CID</w:t>
                      </w:r>
                      <w:r w:rsidR="001F7414">
                        <w:t>s</w:t>
                      </w:r>
                      <w:r>
                        <w:t xml:space="preserve"> 270</w:t>
                      </w:r>
                      <w:r w:rsidR="001F7414">
                        <w:t>9, 2710 and 2711</w:t>
                      </w:r>
                      <w:r>
                        <w:t>.</w:t>
                      </w:r>
                    </w:p>
                  </w:txbxContent>
                </v:textbox>
              </v:shape>
            </w:pict>
          </mc:Fallback>
        </mc:AlternateContent>
      </w:r>
    </w:p>
    <w:p w:rsidR="00C60928" w:rsidRDefault="00CA09B2" w:rsidP="007224D2">
      <w:r>
        <w:br w:type="page"/>
      </w:r>
    </w:p>
    <w:p w:rsidR="00831D8C" w:rsidRDefault="00831D8C" w:rsidP="00831D8C">
      <w:pPr>
        <w:pStyle w:val="Heading1"/>
      </w:pPr>
      <w:r>
        <w:lastRenderedPageBreak/>
        <w:t>Introduction</w:t>
      </w:r>
    </w:p>
    <w:p w:rsidR="00F63E2A" w:rsidRPr="00F63E2A" w:rsidRDefault="00F63E2A" w:rsidP="00F63E2A"/>
    <w:tbl>
      <w:tblPr>
        <w:tblStyle w:val="TableGrid"/>
        <w:tblW w:w="0" w:type="auto"/>
        <w:tblLook w:val="04A0" w:firstRow="1" w:lastRow="0" w:firstColumn="1" w:lastColumn="0" w:noHBand="0" w:noVBand="1"/>
      </w:tblPr>
      <w:tblGrid>
        <w:gridCol w:w="656"/>
        <w:gridCol w:w="920"/>
        <w:gridCol w:w="920"/>
        <w:gridCol w:w="820"/>
        <w:gridCol w:w="2700"/>
        <w:gridCol w:w="2700"/>
      </w:tblGrid>
      <w:tr w:rsidR="00BE2CE9" w:rsidRPr="000A21DD" w:rsidTr="00BE3097">
        <w:trPr>
          <w:trHeight w:val="5100"/>
        </w:trPr>
        <w:tc>
          <w:tcPr>
            <w:tcW w:w="600" w:type="dxa"/>
            <w:hideMark/>
          </w:tcPr>
          <w:p w:rsidR="00BE2CE9" w:rsidRPr="000A21DD" w:rsidRDefault="00BE2CE9" w:rsidP="00BE3097">
            <w:pPr>
              <w:rPr>
                <w:lang w:val="en-US"/>
              </w:rPr>
            </w:pPr>
            <w:r w:rsidRPr="000A21DD">
              <w:t>2709</w:t>
            </w:r>
          </w:p>
        </w:tc>
        <w:tc>
          <w:tcPr>
            <w:tcW w:w="920" w:type="dxa"/>
            <w:hideMark/>
          </w:tcPr>
          <w:p w:rsidR="00BE2CE9" w:rsidRPr="000A21DD" w:rsidRDefault="00BE2CE9" w:rsidP="00BE3097">
            <w:r w:rsidRPr="000A21DD">
              <w:t>19.3.21</w:t>
            </w:r>
          </w:p>
        </w:tc>
        <w:tc>
          <w:tcPr>
            <w:tcW w:w="920" w:type="dxa"/>
            <w:hideMark/>
          </w:tcPr>
          <w:p w:rsidR="00BE2CE9" w:rsidRPr="000A21DD" w:rsidRDefault="00BE2CE9" w:rsidP="00BE3097">
            <w:r w:rsidRPr="000A21DD">
              <w:t>3037</w:t>
            </w:r>
          </w:p>
        </w:tc>
        <w:tc>
          <w:tcPr>
            <w:tcW w:w="820" w:type="dxa"/>
            <w:hideMark/>
          </w:tcPr>
          <w:p w:rsidR="00BE2CE9" w:rsidRPr="000A21DD" w:rsidRDefault="00BE2CE9" w:rsidP="00BE3097">
            <w:r w:rsidRPr="000A21DD">
              <w:t>11</w:t>
            </w:r>
          </w:p>
        </w:tc>
        <w:tc>
          <w:tcPr>
            <w:tcW w:w="2700" w:type="dxa"/>
            <w:hideMark/>
          </w:tcPr>
          <w:p w:rsidR="00BE2CE9" w:rsidRPr="000A21DD" w:rsidRDefault="00BE2CE9" w:rsidP="00BE3097">
            <w:r w:rsidRPr="000A21DD">
              <w:t>"non-HT preamble" is used in Figure 19-27 but it is not defined explicitly. It should be defined as L-STF + L-LTF + L-SIG. Subclause 19.3.9.3 (Non-HT portion of the HT-mixed format preamble) may be an appropriate place to define it.</w:t>
            </w:r>
            <w:r w:rsidRPr="000A21DD">
              <w:br/>
              <w:t xml:space="preserve">Note that the term "non-HT preamble" is also used in P3033 (Figure 19-22) and in P3044L14 (parameter in eq. 19-90 and 19-91), however, it means L-STF + L-LTF which is different from the usage here. I think these should be renamed. Comments for this issue are submitted </w:t>
            </w:r>
            <w:proofErr w:type="spellStart"/>
            <w:r w:rsidRPr="000A21DD">
              <w:t>sepalately</w:t>
            </w:r>
            <w:proofErr w:type="spellEnd"/>
            <w:r w:rsidRPr="000A21DD">
              <w:t>.</w:t>
            </w:r>
          </w:p>
        </w:tc>
        <w:tc>
          <w:tcPr>
            <w:tcW w:w="2700" w:type="dxa"/>
            <w:hideMark/>
          </w:tcPr>
          <w:p w:rsidR="00BE2CE9" w:rsidRPr="000A21DD" w:rsidRDefault="00BE2CE9" w:rsidP="00BE3097">
            <w:r w:rsidRPr="000A21DD">
              <w:t>In 19.3.9.3 (Non-HT portion of the HT-mixed format preamble) at P2976L48, change the sentence "The transmission of the non-HT training fields and the L-SIG as part of ..." to "The transmission of non-HT preamble (the non-HT training fields and the L-SIG) as part of ..."</w:t>
            </w:r>
          </w:p>
        </w:tc>
      </w:tr>
    </w:tbl>
    <w:p w:rsidR="00BE2CE9" w:rsidRDefault="00BE2CE9" w:rsidP="00BE2CE9"/>
    <w:tbl>
      <w:tblPr>
        <w:tblStyle w:val="TableGrid"/>
        <w:tblW w:w="0" w:type="auto"/>
        <w:tblLook w:val="04A0" w:firstRow="1" w:lastRow="0" w:firstColumn="1" w:lastColumn="0" w:noHBand="0" w:noVBand="1"/>
      </w:tblPr>
      <w:tblGrid>
        <w:gridCol w:w="656"/>
        <w:gridCol w:w="920"/>
        <w:gridCol w:w="920"/>
        <w:gridCol w:w="820"/>
        <w:gridCol w:w="2700"/>
        <w:gridCol w:w="2700"/>
      </w:tblGrid>
      <w:tr w:rsidR="00BE2CE9" w:rsidRPr="00E51A0C" w:rsidTr="00BE3097">
        <w:trPr>
          <w:trHeight w:val="3825"/>
        </w:trPr>
        <w:tc>
          <w:tcPr>
            <w:tcW w:w="600" w:type="dxa"/>
            <w:hideMark/>
          </w:tcPr>
          <w:p w:rsidR="00BE2CE9" w:rsidRPr="00E51A0C" w:rsidRDefault="00BE2CE9" w:rsidP="00BE3097">
            <w:pPr>
              <w:rPr>
                <w:lang w:val="en-US"/>
              </w:rPr>
            </w:pPr>
            <w:r w:rsidRPr="00E51A0C">
              <w:t>2710</w:t>
            </w:r>
          </w:p>
        </w:tc>
        <w:tc>
          <w:tcPr>
            <w:tcW w:w="920" w:type="dxa"/>
            <w:hideMark/>
          </w:tcPr>
          <w:p w:rsidR="00BE2CE9" w:rsidRPr="00E51A0C" w:rsidRDefault="00BE2CE9" w:rsidP="00BE3097">
            <w:r w:rsidRPr="00E51A0C">
              <w:t>19.3.20</w:t>
            </w:r>
          </w:p>
        </w:tc>
        <w:tc>
          <w:tcPr>
            <w:tcW w:w="920" w:type="dxa"/>
            <w:hideMark/>
          </w:tcPr>
          <w:p w:rsidR="00BE2CE9" w:rsidRPr="00E51A0C" w:rsidRDefault="00BE2CE9" w:rsidP="00BE3097">
            <w:r w:rsidRPr="00E51A0C">
              <w:t>3033</w:t>
            </w:r>
          </w:p>
        </w:tc>
        <w:tc>
          <w:tcPr>
            <w:tcW w:w="820" w:type="dxa"/>
            <w:hideMark/>
          </w:tcPr>
          <w:p w:rsidR="00BE2CE9" w:rsidRPr="00E51A0C" w:rsidRDefault="00BE2CE9" w:rsidP="00BE3097">
            <w:r w:rsidRPr="00E51A0C">
              <w:t>17</w:t>
            </w:r>
          </w:p>
        </w:tc>
        <w:tc>
          <w:tcPr>
            <w:tcW w:w="2700" w:type="dxa"/>
            <w:hideMark/>
          </w:tcPr>
          <w:p w:rsidR="00BE2CE9" w:rsidRPr="00E51A0C" w:rsidRDefault="00BE2CE9" w:rsidP="00BE3097">
            <w:r w:rsidRPr="00E51A0C">
              <w:t>"non-HT preamble" is used to indicate training fields "L-STF + L-LTF". It is confusing because "non-HT portion of the HT-mixed format preamble" includes L-SIG. In P3037L11 (Figure 19-27), non-HT preamble seems to include L-SIG.</w:t>
            </w:r>
            <w:r w:rsidRPr="00E51A0C">
              <w:br/>
              <w:t>Since the term "HT-Training" is used for "HT-STF + HT-LTF" in the same figure, "training" is better than "preamble" for "L-STF + L-LTF".</w:t>
            </w:r>
          </w:p>
        </w:tc>
        <w:tc>
          <w:tcPr>
            <w:tcW w:w="2700" w:type="dxa"/>
            <w:hideMark/>
          </w:tcPr>
          <w:p w:rsidR="00BE2CE9" w:rsidRPr="00E51A0C" w:rsidRDefault="00BE2CE9" w:rsidP="00BE3097">
            <w:r w:rsidRPr="00E51A0C">
              <w:t>Replace "Non-HT Preamble" with "Non-HT Training" in the figure 19-22.</w:t>
            </w:r>
          </w:p>
        </w:tc>
      </w:tr>
    </w:tbl>
    <w:p w:rsidR="00BE2CE9" w:rsidRPr="00BE2CE9" w:rsidRDefault="00BE2CE9" w:rsidP="00BE2CE9"/>
    <w:p w:rsidR="00BE2CE9" w:rsidRDefault="00BE2CE9" w:rsidP="00BE2CE9"/>
    <w:tbl>
      <w:tblPr>
        <w:tblStyle w:val="TableGrid"/>
        <w:tblW w:w="0" w:type="auto"/>
        <w:tblLook w:val="04A0" w:firstRow="1" w:lastRow="0" w:firstColumn="1" w:lastColumn="0" w:noHBand="0" w:noVBand="1"/>
      </w:tblPr>
      <w:tblGrid>
        <w:gridCol w:w="656"/>
        <w:gridCol w:w="920"/>
        <w:gridCol w:w="920"/>
        <w:gridCol w:w="820"/>
        <w:gridCol w:w="2700"/>
        <w:gridCol w:w="2700"/>
      </w:tblGrid>
      <w:tr w:rsidR="00BE2CE9" w:rsidRPr="00E51A0C" w:rsidTr="00BE3097">
        <w:trPr>
          <w:trHeight w:val="5610"/>
        </w:trPr>
        <w:tc>
          <w:tcPr>
            <w:tcW w:w="600" w:type="dxa"/>
            <w:hideMark/>
          </w:tcPr>
          <w:p w:rsidR="00BE2CE9" w:rsidRPr="00E51A0C" w:rsidRDefault="00BE2CE9" w:rsidP="00BE3097">
            <w:pPr>
              <w:rPr>
                <w:lang w:val="en-US"/>
              </w:rPr>
            </w:pPr>
            <w:r w:rsidRPr="00E51A0C">
              <w:lastRenderedPageBreak/>
              <w:t>2711</w:t>
            </w:r>
          </w:p>
        </w:tc>
        <w:tc>
          <w:tcPr>
            <w:tcW w:w="920" w:type="dxa"/>
            <w:hideMark/>
          </w:tcPr>
          <w:p w:rsidR="00BE2CE9" w:rsidRPr="00E51A0C" w:rsidRDefault="00BE2CE9" w:rsidP="00BE3097">
            <w:r w:rsidRPr="00E51A0C">
              <w:t>19.4.3</w:t>
            </w:r>
          </w:p>
        </w:tc>
        <w:tc>
          <w:tcPr>
            <w:tcW w:w="920" w:type="dxa"/>
            <w:hideMark/>
          </w:tcPr>
          <w:p w:rsidR="00BE2CE9" w:rsidRPr="00E51A0C" w:rsidRDefault="00BE2CE9" w:rsidP="00BE3097">
            <w:r w:rsidRPr="00E51A0C">
              <w:t>3044</w:t>
            </w:r>
          </w:p>
        </w:tc>
        <w:tc>
          <w:tcPr>
            <w:tcW w:w="820" w:type="dxa"/>
            <w:hideMark/>
          </w:tcPr>
          <w:p w:rsidR="00BE2CE9" w:rsidRPr="00E51A0C" w:rsidRDefault="00BE2CE9" w:rsidP="00BE3097">
            <w:r w:rsidRPr="00E51A0C">
              <w:t>14</w:t>
            </w:r>
          </w:p>
        </w:tc>
        <w:tc>
          <w:tcPr>
            <w:tcW w:w="2700" w:type="dxa"/>
            <w:hideMark/>
          </w:tcPr>
          <w:p w:rsidR="00BE2CE9" w:rsidRPr="00E51A0C" w:rsidRDefault="00BE2CE9" w:rsidP="00BE3097">
            <w:r w:rsidRPr="00E51A0C">
              <w:t>"non-HT preamble" is used to indicate training fields "L-STF + L-LTF". It is confusing because "non-HT portion of the HT-mixed format preamble" includes L-SIG. "HT preamble" is also used to indicate training fields HT-STF + HT-LTFs, however, HT preamble in subclause 19.3.9 includes HT-SIG.</w:t>
            </w:r>
            <w:r w:rsidRPr="00E51A0C">
              <w:br/>
              <w:t>The term "training" is better than "preamble" in subclause 19.4.3.</w:t>
            </w:r>
          </w:p>
        </w:tc>
        <w:tc>
          <w:tcPr>
            <w:tcW w:w="2700" w:type="dxa"/>
            <w:hideMark/>
          </w:tcPr>
          <w:p w:rsidR="00BE2CE9" w:rsidRPr="00E51A0C" w:rsidRDefault="00BE2CE9" w:rsidP="00BE3097">
            <w:r w:rsidRPr="00E51A0C">
              <w:t>Replace "T_LEG_PREAMBLE" with "T_LEG_TRAINING" (</w:t>
            </w:r>
            <w:proofErr w:type="spellStart"/>
            <w:r w:rsidRPr="00E51A0C">
              <w:t>eq</w:t>
            </w:r>
            <w:proofErr w:type="spellEnd"/>
            <w:r w:rsidRPr="00E51A0C">
              <w:t xml:space="preserve"> 19-90 and 91, P3044L14).</w:t>
            </w:r>
            <w:r w:rsidRPr="00E51A0C">
              <w:br/>
              <w:t>Replace "T_HT_PREAMBLE" with "T_HT_TRAINING" (</w:t>
            </w:r>
            <w:proofErr w:type="spellStart"/>
            <w:r w:rsidRPr="00E51A0C">
              <w:t>eq</w:t>
            </w:r>
            <w:proofErr w:type="spellEnd"/>
            <w:r w:rsidRPr="00E51A0C">
              <w:t xml:space="preserve"> 19-90 and 91, P3044L15).</w:t>
            </w:r>
            <w:r w:rsidRPr="00E51A0C">
              <w:br/>
              <w:t>Replace "T_GF_HT_PREAMBLE" with "T_GF_HT_TRAINING" (</w:t>
            </w:r>
            <w:proofErr w:type="spellStart"/>
            <w:r w:rsidRPr="00E51A0C">
              <w:t>eq</w:t>
            </w:r>
            <w:proofErr w:type="spellEnd"/>
            <w:r w:rsidRPr="00E51A0C">
              <w:t xml:space="preserve"> 19-92 and 93, P3044L18).</w:t>
            </w:r>
            <w:r w:rsidRPr="00E51A0C">
              <w:br/>
              <w:t>Replace "non-HT preamble" in P3044L14 with "non-HT training fields".</w:t>
            </w:r>
            <w:r w:rsidRPr="00E51A0C">
              <w:br/>
              <w:t>Replace "HT preamble" in P3044L15 with "HT training fields".</w:t>
            </w:r>
            <w:r w:rsidRPr="00E51A0C">
              <w:br/>
              <w:t>Replace "preamble" in P3044L18 with "training fields".</w:t>
            </w:r>
          </w:p>
        </w:tc>
      </w:tr>
    </w:tbl>
    <w:p w:rsidR="00831D8C" w:rsidRDefault="00831D8C" w:rsidP="007224D2">
      <w:pPr>
        <w:rPr>
          <w:b/>
          <w:sz w:val="24"/>
        </w:rPr>
      </w:pPr>
    </w:p>
    <w:p w:rsidR="00C60928" w:rsidRDefault="00831D8C" w:rsidP="00831D8C">
      <w:pPr>
        <w:pStyle w:val="Heading1"/>
      </w:pPr>
      <w:r>
        <w:t>Discussion</w:t>
      </w:r>
    </w:p>
    <w:p w:rsidR="002924F1" w:rsidRDefault="002924F1" w:rsidP="002924F1">
      <w:pPr>
        <w:pStyle w:val="Heading2"/>
      </w:pPr>
      <w:r>
        <w:t>2711</w:t>
      </w:r>
    </w:p>
    <w:p w:rsidR="00A27F48" w:rsidRDefault="00A27F48" w:rsidP="00A27F48">
      <w:r>
        <w:t xml:space="preserve">CID 2711 is about </w:t>
      </w:r>
      <w:proofErr w:type="spellStart"/>
      <w:r>
        <w:t>he</w:t>
      </w:r>
      <w:proofErr w:type="spellEnd"/>
      <w:r>
        <w:t xml:space="preserve"> highlighted text below.</w:t>
      </w:r>
    </w:p>
    <w:p w:rsidR="00A27F48" w:rsidRPr="00A27F48" w:rsidRDefault="00A27F48" w:rsidP="00A27F48"/>
    <w:p w:rsidR="002924F1" w:rsidRDefault="002924F1" w:rsidP="002924F1">
      <w:r>
        <w:rPr>
          <w:noProof/>
        </w:rPr>
        <w:drawing>
          <wp:inline distT="0" distB="0" distL="0" distR="0" wp14:anchorId="703A5F97" wp14:editId="0A721C0B">
            <wp:extent cx="6591300" cy="273158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15139" cy="2741467"/>
                    </a:xfrm>
                    <a:prstGeom prst="rect">
                      <a:avLst/>
                    </a:prstGeom>
                  </pic:spPr>
                </pic:pic>
              </a:graphicData>
            </a:graphic>
          </wp:inline>
        </w:drawing>
      </w:r>
    </w:p>
    <w:p w:rsidR="00010B01" w:rsidRDefault="00010B01" w:rsidP="002924F1"/>
    <w:p w:rsidR="00010B01" w:rsidRDefault="00010B01" w:rsidP="00010B01">
      <w:pPr>
        <w:ind w:left="360"/>
      </w:pPr>
      <w:r w:rsidRPr="00010B01">
        <w:lastRenderedPageBreak/>
        <w:t>T</w:t>
      </w:r>
      <w:r>
        <w:t>he comment likely stems from the fact that t</w:t>
      </w:r>
      <w:r w:rsidRPr="00010B01">
        <w:t xml:space="preserve">ypically “preamble” means everything before the data field. At least, that seems to be the convention starting with HT. For Clause 17 however, it appears preamble is </w:t>
      </w:r>
      <w:r w:rsidR="00E46598">
        <w:t xml:space="preserve">indeed </w:t>
      </w:r>
      <w:r w:rsidRPr="00010B01">
        <w:t>defined as L-STF + L-LTF only (see 17.3.3).</w:t>
      </w:r>
    </w:p>
    <w:p w:rsidR="00010B01" w:rsidRDefault="00010B01" w:rsidP="00010B01">
      <w:pPr>
        <w:ind w:left="360"/>
        <w:rPr>
          <w:lang w:val="en-US"/>
        </w:rPr>
      </w:pPr>
    </w:p>
    <w:p w:rsidR="00010B01" w:rsidRDefault="00010B01" w:rsidP="00010B01">
      <w:pPr>
        <w:ind w:left="360"/>
        <w:rPr>
          <w:lang w:val="en-US"/>
        </w:rPr>
      </w:pPr>
      <w:r>
        <w:rPr>
          <w:noProof/>
        </w:rPr>
        <w:drawing>
          <wp:inline distT="0" distB="0" distL="0" distR="0" wp14:anchorId="35460D20" wp14:editId="272D08DA">
            <wp:extent cx="5943600" cy="29032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903220"/>
                    </a:xfrm>
                    <a:prstGeom prst="rect">
                      <a:avLst/>
                    </a:prstGeom>
                  </pic:spPr>
                </pic:pic>
              </a:graphicData>
            </a:graphic>
          </wp:inline>
        </w:drawing>
      </w:r>
    </w:p>
    <w:p w:rsidR="00010B01" w:rsidRPr="00010B01" w:rsidRDefault="00010B01" w:rsidP="00010B01">
      <w:pPr>
        <w:ind w:left="360"/>
        <w:rPr>
          <w:lang w:val="en-US"/>
        </w:rPr>
      </w:pPr>
    </w:p>
    <w:p w:rsidR="00010B01" w:rsidRDefault="00010B01" w:rsidP="00010B01">
      <w:pPr>
        <w:ind w:left="360"/>
      </w:pPr>
      <w:r w:rsidRPr="00010B01">
        <w:t xml:space="preserve">As such, the use of </w:t>
      </w:r>
      <w:r>
        <w:t>the term “</w:t>
      </w:r>
      <w:r w:rsidRPr="00010B01">
        <w:t>non-HT preamble</w:t>
      </w:r>
      <w:r>
        <w:t>”</w:t>
      </w:r>
      <w:r w:rsidRPr="00010B01">
        <w:t xml:space="preserve"> </w:t>
      </w:r>
      <w:r>
        <w:t xml:space="preserve">on page 3044 </w:t>
      </w:r>
      <w:r w:rsidRPr="00010B01">
        <w:t>is strictly speaking correct.</w:t>
      </w:r>
      <w:r>
        <w:t xml:space="preserve"> It’s t</w:t>
      </w:r>
      <w:r w:rsidRPr="00010B01">
        <w:t>rue</w:t>
      </w:r>
      <w:r>
        <w:t xml:space="preserve"> that</w:t>
      </w:r>
      <w:r w:rsidRPr="00010B01">
        <w:t xml:space="preserve"> there </w:t>
      </w:r>
      <w:r>
        <w:t>is some similarity with the term</w:t>
      </w:r>
      <w:r w:rsidRPr="00010B01">
        <w:t xml:space="preserve"> “non-HT portion of HT preamble”, but even though the terms are similar, the wording is clearly distinct.</w:t>
      </w:r>
    </w:p>
    <w:p w:rsidR="00010B01" w:rsidRPr="00010B01" w:rsidRDefault="00010B01" w:rsidP="00010B01">
      <w:pPr>
        <w:ind w:left="360"/>
      </w:pPr>
    </w:p>
    <w:p w:rsidR="00010B01" w:rsidRDefault="00010B01" w:rsidP="00010B01">
      <w:pPr>
        <w:ind w:left="360"/>
      </w:pPr>
      <w:r w:rsidRPr="00010B01">
        <w:t>The main issue may be referring to T_</w:t>
      </w:r>
      <w:r>
        <w:t>HT</w:t>
      </w:r>
      <w:r w:rsidRPr="00010B01">
        <w:t xml:space="preserve">_PREAMBLE as “the HT preamble in HT-mixed format”. Per 19.3.9.2, </w:t>
      </w:r>
      <w:r w:rsidR="002944F8">
        <w:t xml:space="preserve">the </w:t>
      </w:r>
      <w:r w:rsidRPr="00010B01">
        <w:t>HT-mixed format preamble contains more than just the training fields.</w:t>
      </w:r>
    </w:p>
    <w:p w:rsidR="00010B01" w:rsidRDefault="00010B01" w:rsidP="00010B01">
      <w:pPr>
        <w:ind w:left="360"/>
      </w:pPr>
    </w:p>
    <w:p w:rsidR="00010B01" w:rsidRPr="00010B01" w:rsidRDefault="005F0F37" w:rsidP="00010B01">
      <w:pPr>
        <w:ind w:left="360"/>
      </w:pPr>
      <w:r>
        <w:rPr>
          <w:noProof/>
        </w:rPr>
        <w:drawing>
          <wp:inline distT="0" distB="0" distL="0" distR="0" wp14:anchorId="7C6757E6" wp14:editId="3A7C79FB">
            <wp:extent cx="5943600" cy="24796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479675"/>
                    </a:xfrm>
                    <a:prstGeom prst="rect">
                      <a:avLst/>
                    </a:prstGeom>
                  </pic:spPr>
                </pic:pic>
              </a:graphicData>
            </a:graphic>
          </wp:inline>
        </w:drawing>
      </w:r>
    </w:p>
    <w:p w:rsidR="00010B01" w:rsidRDefault="00010B01" w:rsidP="00010B01">
      <w:pPr>
        <w:rPr>
          <w:rFonts w:eastAsiaTheme="minorHAnsi"/>
        </w:rPr>
      </w:pPr>
    </w:p>
    <w:p w:rsidR="00010B01" w:rsidRDefault="002944F8" w:rsidP="002924F1">
      <w:r>
        <w:t xml:space="preserve">On page 3044 however, </w:t>
      </w:r>
      <w:r w:rsidRPr="00010B01">
        <w:t>T_</w:t>
      </w:r>
      <w:r>
        <w:t>HT</w:t>
      </w:r>
      <w:r w:rsidRPr="00010B01">
        <w:t>_PREAMBLE</w:t>
      </w:r>
      <w:r>
        <w:t xml:space="preserve"> only refers to the HT-specific training fields.</w:t>
      </w:r>
    </w:p>
    <w:p w:rsidR="002944F8" w:rsidRDefault="002944F8" w:rsidP="002924F1"/>
    <w:p w:rsidR="002944F8" w:rsidRDefault="002944F8" w:rsidP="002924F1">
      <w:r>
        <w:t>Proposed resolution:</w:t>
      </w:r>
    </w:p>
    <w:p w:rsidR="00A94B8C" w:rsidRDefault="00A94B8C" w:rsidP="002924F1">
      <w:r>
        <w:t>Revised</w:t>
      </w:r>
    </w:p>
    <w:p w:rsidR="00A94B8C" w:rsidRDefault="00A94B8C" w:rsidP="002924F1"/>
    <w:p w:rsidR="002944F8" w:rsidRPr="002924F1" w:rsidRDefault="002944F8" w:rsidP="002944F8">
      <w:pPr>
        <w:pStyle w:val="ListParagraph"/>
        <w:numPr>
          <w:ilvl w:val="0"/>
          <w:numId w:val="2"/>
        </w:numPr>
      </w:pPr>
      <w:r>
        <w:t xml:space="preserve">Change </w:t>
      </w:r>
      <w:r w:rsidRPr="00010B01">
        <w:rPr>
          <w:rFonts w:eastAsia="Times New Roman"/>
        </w:rPr>
        <w:t>T_</w:t>
      </w:r>
      <w:r>
        <w:t>HT</w:t>
      </w:r>
      <w:r w:rsidRPr="00010B01">
        <w:rPr>
          <w:rFonts w:eastAsia="Times New Roman"/>
        </w:rPr>
        <w:t>_PREAMBLE</w:t>
      </w:r>
      <w:r>
        <w:rPr>
          <w:rFonts w:eastAsia="Times New Roman"/>
        </w:rPr>
        <w:t xml:space="preserve"> to </w:t>
      </w:r>
      <w:r w:rsidRPr="00010B01">
        <w:rPr>
          <w:rFonts w:eastAsia="Times New Roman"/>
        </w:rPr>
        <w:t>T_</w:t>
      </w:r>
      <w:r>
        <w:t>HT</w:t>
      </w:r>
      <w:r w:rsidRPr="00010B01">
        <w:rPr>
          <w:rFonts w:eastAsia="Times New Roman"/>
        </w:rPr>
        <w:t>_</w:t>
      </w:r>
      <w:r>
        <w:rPr>
          <w:rFonts w:eastAsia="Times New Roman"/>
        </w:rPr>
        <w:t>TRAINING</w:t>
      </w:r>
    </w:p>
    <w:p w:rsidR="002944F8" w:rsidRPr="002944F8" w:rsidRDefault="002944F8" w:rsidP="002944F8">
      <w:pPr>
        <w:pStyle w:val="ListParagraph"/>
        <w:numPr>
          <w:ilvl w:val="0"/>
          <w:numId w:val="2"/>
        </w:numPr>
      </w:pPr>
      <w:r>
        <w:t xml:space="preserve">Change </w:t>
      </w:r>
      <w:r w:rsidRPr="00010B01">
        <w:rPr>
          <w:rFonts w:eastAsia="Times New Roman"/>
        </w:rPr>
        <w:t>T_</w:t>
      </w:r>
      <w:r>
        <w:rPr>
          <w:rFonts w:eastAsia="Times New Roman"/>
        </w:rPr>
        <w:t>GF_</w:t>
      </w:r>
      <w:r>
        <w:t>HT</w:t>
      </w:r>
      <w:r w:rsidRPr="00010B01">
        <w:rPr>
          <w:rFonts w:eastAsia="Times New Roman"/>
        </w:rPr>
        <w:t>_PREAMBLE</w:t>
      </w:r>
      <w:r>
        <w:rPr>
          <w:rFonts w:eastAsia="Times New Roman"/>
        </w:rPr>
        <w:t xml:space="preserve"> to </w:t>
      </w:r>
      <w:r w:rsidRPr="00010B01">
        <w:rPr>
          <w:rFonts w:eastAsia="Times New Roman"/>
        </w:rPr>
        <w:t>T_</w:t>
      </w:r>
      <w:r>
        <w:rPr>
          <w:rFonts w:eastAsia="Times New Roman"/>
        </w:rPr>
        <w:t>GF_</w:t>
      </w:r>
      <w:r>
        <w:t>HT</w:t>
      </w:r>
      <w:r w:rsidRPr="00010B01">
        <w:rPr>
          <w:rFonts w:eastAsia="Times New Roman"/>
        </w:rPr>
        <w:t>_</w:t>
      </w:r>
      <w:r>
        <w:rPr>
          <w:rFonts w:eastAsia="Times New Roman"/>
        </w:rPr>
        <w:t>TRAINING</w:t>
      </w:r>
    </w:p>
    <w:p w:rsidR="002944F8" w:rsidRDefault="002944F8" w:rsidP="002944F8"/>
    <w:p w:rsidR="002944F8" w:rsidRDefault="002944F8" w:rsidP="002944F8">
      <w:r>
        <w:t>Modify text</w:t>
      </w:r>
      <w:r w:rsidR="008525A0">
        <w:t xml:space="preserve"> on pages 3043 and 3044</w:t>
      </w:r>
      <w:r>
        <w:t xml:space="preserve"> as shown below</w:t>
      </w:r>
    </w:p>
    <w:p w:rsidR="002944F8" w:rsidRDefault="002944F8" w:rsidP="002944F8"/>
    <w:p w:rsidR="002944F8" w:rsidRDefault="002944F8" w:rsidP="002944F8"/>
    <w:p w:rsidR="002944F8" w:rsidRDefault="002944F8" w:rsidP="002944F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gridCol w:w="985"/>
      </w:tblGrid>
      <w:tr w:rsidR="009B0EE5" w:rsidTr="009B0EE5">
        <w:tc>
          <w:tcPr>
            <w:tcW w:w="8365" w:type="dxa"/>
            <w:vAlign w:val="center"/>
          </w:tcPr>
          <w:p w:rsidR="0011718A" w:rsidRPr="00CA091E" w:rsidRDefault="0011718A" w:rsidP="0011718A">
            <w:pPr>
              <w:rPr>
                <w:sz w:val="24"/>
              </w:rPr>
            </w:pPr>
            <w:r w:rsidRPr="00CA091E">
              <w:rPr>
                <w:rFonts w:eastAsia="TimesNewRomanPSMT"/>
                <w:sz w:val="24"/>
              </w:rPr>
              <w:t>TXTIME</w:t>
            </w:r>
            <w:r w:rsidRPr="00CA091E">
              <w:rPr>
                <w:rFonts w:ascii="TimesNewRomanPSMT" w:eastAsia="TimesNewRomanPSMT" w:cs="TimesNewRomanPSMT"/>
                <w:sz w:val="24"/>
              </w:rPr>
              <w:t xml:space="preserve"> </w:t>
            </w:r>
            <w:r w:rsidRPr="00CA091E">
              <w:rPr>
                <w:sz w:val="24"/>
              </w:rPr>
              <w:t xml:space="preserve">= </w:t>
            </w:r>
            <w:r w:rsidRPr="00CA091E">
              <w:rPr>
                <w:rFonts w:ascii="TimesNewRomanPS-ItalicMT" w:hAnsi="TimesNewRomanPS-ItalicMT" w:cs="TimesNewRomanPS-ItalicMT"/>
                <w:i/>
                <w:iCs/>
                <w:sz w:val="24"/>
              </w:rPr>
              <w:t>T</w:t>
            </w:r>
            <w:r w:rsidRPr="00CA091E">
              <w:rPr>
                <w:rFonts w:ascii="TimesNewRomanPS-ItalicMT" w:hAnsi="TimesNewRomanPS-ItalicMT" w:cs="TimesNewRomanPS-ItalicMT"/>
                <w:i/>
                <w:iCs/>
                <w:sz w:val="24"/>
                <w:szCs w:val="14"/>
                <w:vertAlign w:val="subscript"/>
              </w:rPr>
              <w:t xml:space="preserve">LEG_PREAMBLE </w:t>
            </w:r>
            <w:r w:rsidRPr="00CA091E">
              <w:rPr>
                <w:sz w:val="24"/>
              </w:rPr>
              <w:t xml:space="preserve">+ </w:t>
            </w:r>
            <w:r w:rsidRPr="00CA091E">
              <w:rPr>
                <w:rFonts w:ascii="TimesNewRomanPS-ItalicMT" w:hAnsi="TimesNewRomanPS-ItalicMT" w:cs="TimesNewRomanPS-ItalicMT"/>
                <w:i/>
                <w:iCs/>
                <w:sz w:val="24"/>
              </w:rPr>
              <w:t>T</w:t>
            </w:r>
            <w:r w:rsidRPr="00CA091E">
              <w:rPr>
                <w:rFonts w:ascii="TimesNewRomanPS-ItalicMT" w:hAnsi="TimesNewRomanPS-ItalicMT" w:cs="TimesNewRomanPS-ItalicMT"/>
                <w:i/>
                <w:iCs/>
                <w:sz w:val="24"/>
                <w:szCs w:val="14"/>
                <w:vertAlign w:val="subscript"/>
              </w:rPr>
              <w:t>L_SIG</w:t>
            </w:r>
            <w:r w:rsidRPr="00CA091E">
              <w:rPr>
                <w:rFonts w:ascii="TimesNewRomanPS-ItalicMT" w:hAnsi="TimesNewRomanPS-ItalicMT" w:cs="TimesNewRomanPS-ItalicMT"/>
                <w:i/>
                <w:iCs/>
                <w:sz w:val="24"/>
                <w:szCs w:val="14"/>
              </w:rPr>
              <w:t xml:space="preserve"> </w:t>
            </w:r>
            <w:r w:rsidRPr="00CA091E">
              <w:rPr>
                <w:sz w:val="24"/>
              </w:rPr>
              <w:t xml:space="preserve">+ </w:t>
            </w:r>
            <w:r w:rsidRPr="0011718A">
              <w:rPr>
                <w:rFonts w:ascii="TimesNewRomanPS-ItalicMT" w:hAnsi="TimesNewRomanPS-ItalicMT" w:cs="TimesNewRomanPS-ItalicMT"/>
                <w:i/>
                <w:iCs/>
                <w:strike/>
                <w:color w:val="FF0000"/>
                <w:sz w:val="24"/>
              </w:rPr>
              <w:t>T</w:t>
            </w:r>
            <w:r w:rsidRPr="0011718A">
              <w:rPr>
                <w:rFonts w:ascii="TimesNewRomanPS-ItalicMT" w:hAnsi="TimesNewRomanPS-ItalicMT" w:cs="TimesNewRomanPS-ItalicMT"/>
                <w:i/>
                <w:iCs/>
                <w:strike/>
                <w:color w:val="FF0000"/>
                <w:sz w:val="24"/>
                <w:szCs w:val="14"/>
                <w:vertAlign w:val="subscript"/>
              </w:rPr>
              <w:t>HT_PREAMBLE</w:t>
            </w:r>
            <w:r w:rsidRPr="0011718A">
              <w:rPr>
                <w:color w:val="FF0000"/>
                <w:sz w:val="24"/>
              </w:rPr>
              <w:t xml:space="preserve"> </w:t>
            </w:r>
            <w:r w:rsidRPr="0011718A">
              <w:rPr>
                <w:rFonts w:ascii="TimesNewRomanPS-ItalicMT" w:hAnsi="TimesNewRomanPS-ItalicMT" w:cs="TimesNewRomanPS-ItalicMT"/>
                <w:i/>
                <w:iCs/>
                <w:color w:val="FF0000"/>
                <w:sz w:val="24"/>
                <w:u w:val="single"/>
              </w:rPr>
              <w:t>T</w:t>
            </w:r>
            <w:r w:rsidRPr="0011718A">
              <w:rPr>
                <w:rFonts w:ascii="TimesNewRomanPS-ItalicMT" w:hAnsi="TimesNewRomanPS-ItalicMT" w:cs="TimesNewRomanPS-ItalicMT"/>
                <w:i/>
                <w:iCs/>
                <w:color w:val="FF0000"/>
                <w:sz w:val="24"/>
                <w:szCs w:val="14"/>
                <w:u w:val="single"/>
                <w:vertAlign w:val="subscript"/>
              </w:rPr>
              <w:t>HT_TRAINING</w:t>
            </w:r>
            <w:r>
              <w:rPr>
                <w:sz w:val="24"/>
              </w:rPr>
              <w:t xml:space="preserve"> </w:t>
            </w:r>
            <w:r w:rsidRPr="00CA091E">
              <w:rPr>
                <w:sz w:val="24"/>
              </w:rPr>
              <w:t xml:space="preserve">+ </w:t>
            </w:r>
            <w:r w:rsidRPr="00CA091E">
              <w:rPr>
                <w:rFonts w:ascii="TimesNewRomanPS-ItalicMT" w:hAnsi="TimesNewRomanPS-ItalicMT" w:cs="TimesNewRomanPS-ItalicMT"/>
                <w:i/>
                <w:iCs/>
                <w:sz w:val="24"/>
              </w:rPr>
              <w:t>T</w:t>
            </w:r>
            <w:r w:rsidRPr="00CA091E">
              <w:rPr>
                <w:rFonts w:ascii="TimesNewRomanPS-ItalicMT" w:hAnsi="TimesNewRomanPS-ItalicMT" w:cs="TimesNewRomanPS-ItalicMT"/>
                <w:i/>
                <w:iCs/>
                <w:sz w:val="24"/>
                <w:szCs w:val="14"/>
                <w:vertAlign w:val="subscript"/>
              </w:rPr>
              <w:t>HT_SIG</w:t>
            </w:r>
          </w:p>
          <w:p w:rsidR="0011718A" w:rsidRDefault="0011718A" w:rsidP="0011718A">
            <w:pPr>
              <w:ind w:firstLine="720"/>
              <w:rPr>
                <w:rFonts w:ascii="TimesNewRomanPS-ItalicMT" w:hAnsi="TimesNewRomanPS-ItalicMT" w:cs="TimesNewRomanPS-ItalicMT"/>
                <w:i/>
                <w:iCs/>
                <w:sz w:val="24"/>
              </w:rPr>
            </w:pPr>
            <w:r w:rsidRPr="00CA091E">
              <w:rPr>
                <w:sz w:val="24"/>
              </w:rPr>
              <w:t xml:space="preserve">+ </w:t>
            </w:r>
            <w:r w:rsidRPr="00CA091E">
              <w:rPr>
                <w:rFonts w:ascii="TimesNewRomanPS-ItalicMT" w:hAnsi="TimesNewRomanPS-ItalicMT" w:cs="TimesNewRomanPS-ItalicMT"/>
                <w:i/>
                <w:iCs/>
                <w:sz w:val="24"/>
              </w:rPr>
              <w:t>T</w:t>
            </w:r>
            <w:r w:rsidRPr="00CA091E">
              <w:rPr>
                <w:rFonts w:ascii="TimesNewRomanPSMT" w:eastAsia="TimesNewRomanPSMT" w:hAnsi="TimesNewRomanPS-ItalicMT" w:cs="TimesNewRomanPSMT"/>
                <w:sz w:val="24"/>
                <w:szCs w:val="14"/>
                <w:vertAlign w:val="subscript"/>
              </w:rPr>
              <w:t>SYM</w:t>
            </w:r>
            <w:r w:rsidRPr="00CA091E">
              <w:rPr>
                <w:sz w:val="24"/>
              </w:rPr>
              <w:t xml:space="preserve"> × </w:t>
            </w:r>
            <m:oMath>
              <m:d>
                <m:dPr>
                  <m:begChr m:val="⌈"/>
                  <m:endChr m:val="⌉"/>
                  <m:ctrlPr>
                    <w:rPr>
                      <w:rFonts w:ascii="Cambria Math" w:eastAsiaTheme="minorHAnsi" w:hAnsi="Cambria Math"/>
                      <w:i/>
                      <w:sz w:val="24"/>
                      <w:szCs w:val="22"/>
                      <w:lang w:val="en-US"/>
                    </w:rPr>
                  </m:ctrlPr>
                </m:dPr>
                <m:e>
                  <m:f>
                    <m:fPr>
                      <m:ctrlPr>
                        <w:rPr>
                          <w:rFonts w:ascii="Cambria Math" w:eastAsiaTheme="minorHAnsi" w:hAnsi="Cambria Math"/>
                          <w:i/>
                          <w:sz w:val="24"/>
                          <w:szCs w:val="22"/>
                          <w:lang w:val="en-US"/>
                        </w:rPr>
                      </m:ctrlPr>
                    </m:fPr>
                    <m:num>
                      <m:sSub>
                        <m:sSubPr>
                          <m:ctrlPr>
                            <w:rPr>
                              <w:rFonts w:ascii="Cambria Math" w:eastAsiaTheme="minorHAnsi" w:hAnsi="Cambria Math" w:cs="TimesNewRomanPS-ItalicMT"/>
                              <w:i/>
                              <w:iCs/>
                              <w:sz w:val="24"/>
                              <w:lang w:val="en-US"/>
                            </w:rPr>
                          </m:ctrlPr>
                        </m:sSubPr>
                        <m:e>
                          <m:r>
                            <w:rPr>
                              <w:rFonts w:ascii="Cambria Math" w:hAnsi="Cambria Math" w:cs="TimesNewRomanPS-ItalicMT"/>
                              <w:sz w:val="24"/>
                            </w:rPr>
                            <m:t>T</m:t>
                          </m:r>
                        </m:e>
                        <m:sub>
                          <m:r>
                            <w:rPr>
                              <w:rFonts w:ascii="Cambria Math" w:hAnsi="Cambria Math" w:cs="TimesNewRomanPS-ItalicMT"/>
                              <w:sz w:val="24"/>
                            </w:rPr>
                            <m:t>SYMS</m:t>
                          </m:r>
                        </m:sub>
                      </m:sSub>
                      <m:r>
                        <w:rPr>
                          <w:rFonts w:ascii="Cambria Math" w:hAnsi="Cambria Math" w:cs="TimesNewRomanPS-ItalicMT"/>
                          <w:sz w:val="24"/>
                        </w:rPr>
                        <m:t>×</m:t>
                      </m:r>
                      <m:sSub>
                        <m:sSubPr>
                          <m:ctrlPr>
                            <w:rPr>
                              <w:rFonts w:ascii="Cambria Math" w:eastAsiaTheme="minorHAnsi" w:hAnsi="Cambria Math" w:cs="TimesNewRomanPS-ItalicMT"/>
                              <w:i/>
                              <w:iCs/>
                              <w:sz w:val="24"/>
                              <w:lang w:val="en-US"/>
                            </w:rPr>
                          </m:ctrlPr>
                        </m:sSubPr>
                        <m:e>
                          <m:r>
                            <w:rPr>
                              <w:rFonts w:ascii="Cambria Math" w:hAnsi="Cambria Math" w:cs="TimesNewRomanPS-ItalicMT"/>
                              <w:sz w:val="24"/>
                            </w:rPr>
                            <m:t>N</m:t>
                          </m:r>
                        </m:e>
                        <m:sub>
                          <m:r>
                            <w:rPr>
                              <w:rFonts w:ascii="Cambria Math" w:hAnsi="Cambria Math" w:cs="TimesNewRomanPS-ItalicMT"/>
                              <w:sz w:val="24"/>
                            </w:rPr>
                            <m:t>SYM</m:t>
                          </m:r>
                        </m:sub>
                      </m:sSub>
                    </m:num>
                    <m:den>
                      <m:sSub>
                        <m:sSubPr>
                          <m:ctrlPr>
                            <w:rPr>
                              <w:rFonts w:ascii="Cambria Math" w:eastAsiaTheme="minorHAnsi" w:hAnsi="Cambria Math"/>
                              <w:i/>
                              <w:sz w:val="24"/>
                              <w:szCs w:val="22"/>
                              <w:lang w:val="en-US"/>
                            </w:rPr>
                          </m:ctrlPr>
                        </m:sSubPr>
                        <m:e>
                          <m:r>
                            <w:rPr>
                              <w:rFonts w:ascii="Cambria Math" w:hAnsi="Cambria Math"/>
                              <w:sz w:val="24"/>
                            </w:rPr>
                            <m:t>T</m:t>
                          </m:r>
                        </m:e>
                        <m:sub>
                          <m:r>
                            <w:rPr>
                              <w:rFonts w:ascii="Cambria Math" w:hAnsi="Cambria Math"/>
                              <w:sz w:val="24"/>
                            </w:rPr>
                            <m:t>SYM</m:t>
                          </m:r>
                        </m:sub>
                      </m:sSub>
                    </m:den>
                  </m:f>
                </m:e>
              </m:d>
            </m:oMath>
            <w:r w:rsidRPr="00CA091E">
              <w:rPr>
                <w:sz w:val="24"/>
              </w:rPr>
              <w:t xml:space="preserve"> + </w:t>
            </w:r>
            <w:proofErr w:type="spellStart"/>
            <w:r w:rsidRPr="00CA091E">
              <w:rPr>
                <w:rFonts w:ascii="TimesNewRomanPS-ItalicMT" w:hAnsi="TimesNewRomanPS-ItalicMT" w:cs="TimesNewRomanPS-ItalicMT"/>
                <w:i/>
                <w:iCs/>
                <w:sz w:val="24"/>
              </w:rPr>
              <w:t>SignalExtension</w:t>
            </w:r>
            <w:proofErr w:type="spellEnd"/>
          </w:p>
          <w:p w:rsidR="009B0EE5" w:rsidRPr="00CA091E" w:rsidRDefault="009B0EE5" w:rsidP="009B0EE5">
            <w:pPr>
              <w:rPr>
                <w:rFonts w:eastAsia="TimesNewRomanPSMT"/>
                <w:sz w:val="24"/>
              </w:rPr>
            </w:pPr>
          </w:p>
        </w:tc>
        <w:tc>
          <w:tcPr>
            <w:tcW w:w="985" w:type="dxa"/>
            <w:vAlign w:val="center"/>
          </w:tcPr>
          <w:p w:rsidR="009B0EE5" w:rsidRDefault="008525A0" w:rsidP="00BE3097">
            <w:pPr>
              <w:jc w:val="center"/>
            </w:pPr>
            <w:r>
              <w:t>(19-90)</w:t>
            </w:r>
          </w:p>
        </w:tc>
      </w:tr>
      <w:tr w:rsidR="009B0EE5" w:rsidTr="009B0EE5">
        <w:tc>
          <w:tcPr>
            <w:tcW w:w="8365" w:type="dxa"/>
            <w:vAlign w:val="center"/>
          </w:tcPr>
          <w:p w:rsidR="009B0EE5" w:rsidRPr="00CA091E" w:rsidRDefault="009B0EE5" w:rsidP="00BE3097">
            <w:pPr>
              <w:rPr>
                <w:sz w:val="24"/>
              </w:rPr>
            </w:pPr>
            <w:r w:rsidRPr="00CA091E">
              <w:rPr>
                <w:rFonts w:eastAsia="TimesNewRomanPSMT"/>
                <w:sz w:val="24"/>
              </w:rPr>
              <w:t>TXTIME</w:t>
            </w:r>
            <w:r w:rsidRPr="00CA091E">
              <w:rPr>
                <w:rFonts w:ascii="TimesNewRomanPSMT" w:eastAsia="TimesNewRomanPSMT" w:cs="TimesNewRomanPSMT"/>
                <w:sz w:val="24"/>
              </w:rPr>
              <w:t xml:space="preserve"> </w:t>
            </w:r>
            <w:r w:rsidRPr="00CA091E">
              <w:rPr>
                <w:sz w:val="24"/>
              </w:rPr>
              <w:t xml:space="preserve">= </w:t>
            </w:r>
            <w:r w:rsidRPr="00CA091E">
              <w:rPr>
                <w:rFonts w:ascii="TimesNewRomanPS-ItalicMT" w:hAnsi="TimesNewRomanPS-ItalicMT" w:cs="TimesNewRomanPS-ItalicMT"/>
                <w:i/>
                <w:iCs/>
                <w:sz w:val="24"/>
              </w:rPr>
              <w:t>T</w:t>
            </w:r>
            <w:r w:rsidRPr="00CA091E">
              <w:rPr>
                <w:rFonts w:ascii="TimesNewRomanPS-ItalicMT" w:hAnsi="TimesNewRomanPS-ItalicMT" w:cs="TimesNewRomanPS-ItalicMT"/>
                <w:i/>
                <w:iCs/>
                <w:sz w:val="24"/>
                <w:szCs w:val="14"/>
                <w:vertAlign w:val="subscript"/>
              </w:rPr>
              <w:t xml:space="preserve">LEG_PREAMBLE </w:t>
            </w:r>
            <w:r w:rsidRPr="00CA091E">
              <w:rPr>
                <w:sz w:val="24"/>
              </w:rPr>
              <w:t xml:space="preserve">+ </w:t>
            </w:r>
            <w:r w:rsidRPr="00CA091E">
              <w:rPr>
                <w:rFonts w:ascii="TimesNewRomanPS-ItalicMT" w:hAnsi="TimesNewRomanPS-ItalicMT" w:cs="TimesNewRomanPS-ItalicMT"/>
                <w:i/>
                <w:iCs/>
                <w:sz w:val="24"/>
              </w:rPr>
              <w:t>T</w:t>
            </w:r>
            <w:r w:rsidRPr="00CA091E">
              <w:rPr>
                <w:rFonts w:ascii="TimesNewRomanPS-ItalicMT" w:hAnsi="TimesNewRomanPS-ItalicMT" w:cs="TimesNewRomanPS-ItalicMT"/>
                <w:i/>
                <w:iCs/>
                <w:sz w:val="24"/>
                <w:szCs w:val="14"/>
                <w:vertAlign w:val="subscript"/>
              </w:rPr>
              <w:t>L_SIG</w:t>
            </w:r>
            <w:r w:rsidRPr="00CA091E">
              <w:rPr>
                <w:rFonts w:ascii="TimesNewRomanPS-ItalicMT" w:hAnsi="TimesNewRomanPS-ItalicMT" w:cs="TimesNewRomanPS-ItalicMT"/>
                <w:i/>
                <w:iCs/>
                <w:sz w:val="24"/>
                <w:szCs w:val="14"/>
              </w:rPr>
              <w:t xml:space="preserve"> </w:t>
            </w:r>
            <w:r w:rsidRPr="00CA091E">
              <w:rPr>
                <w:sz w:val="24"/>
              </w:rPr>
              <w:t xml:space="preserve">+ </w:t>
            </w:r>
            <w:r w:rsidR="0011718A" w:rsidRPr="0011718A">
              <w:rPr>
                <w:rFonts w:ascii="TimesNewRomanPS-ItalicMT" w:hAnsi="TimesNewRomanPS-ItalicMT" w:cs="TimesNewRomanPS-ItalicMT"/>
                <w:i/>
                <w:iCs/>
                <w:strike/>
                <w:color w:val="FF0000"/>
                <w:sz w:val="24"/>
              </w:rPr>
              <w:t>T</w:t>
            </w:r>
            <w:r w:rsidR="0011718A" w:rsidRPr="0011718A">
              <w:rPr>
                <w:rFonts w:ascii="TimesNewRomanPS-ItalicMT" w:hAnsi="TimesNewRomanPS-ItalicMT" w:cs="TimesNewRomanPS-ItalicMT"/>
                <w:i/>
                <w:iCs/>
                <w:strike/>
                <w:color w:val="FF0000"/>
                <w:sz w:val="24"/>
                <w:szCs w:val="14"/>
                <w:vertAlign w:val="subscript"/>
              </w:rPr>
              <w:t>HT_PREAMBLE</w:t>
            </w:r>
            <w:r w:rsidR="0011718A" w:rsidRPr="0011718A">
              <w:rPr>
                <w:color w:val="FF0000"/>
                <w:sz w:val="24"/>
              </w:rPr>
              <w:t xml:space="preserve"> </w:t>
            </w:r>
            <w:r w:rsidR="0011718A" w:rsidRPr="0011718A">
              <w:rPr>
                <w:rFonts w:ascii="TimesNewRomanPS-ItalicMT" w:hAnsi="TimesNewRomanPS-ItalicMT" w:cs="TimesNewRomanPS-ItalicMT"/>
                <w:i/>
                <w:iCs/>
                <w:color w:val="FF0000"/>
                <w:sz w:val="24"/>
                <w:u w:val="single"/>
              </w:rPr>
              <w:t>T</w:t>
            </w:r>
            <w:r w:rsidR="0011718A" w:rsidRPr="0011718A">
              <w:rPr>
                <w:rFonts w:ascii="TimesNewRomanPS-ItalicMT" w:hAnsi="TimesNewRomanPS-ItalicMT" w:cs="TimesNewRomanPS-ItalicMT"/>
                <w:i/>
                <w:iCs/>
                <w:color w:val="FF0000"/>
                <w:sz w:val="24"/>
                <w:szCs w:val="14"/>
                <w:u w:val="single"/>
                <w:vertAlign w:val="subscript"/>
              </w:rPr>
              <w:t>HT_TRAINING</w:t>
            </w:r>
            <w:r w:rsidR="0011718A">
              <w:rPr>
                <w:sz w:val="24"/>
              </w:rPr>
              <w:t xml:space="preserve"> </w:t>
            </w:r>
            <w:r w:rsidRPr="00CA091E">
              <w:rPr>
                <w:sz w:val="24"/>
              </w:rPr>
              <w:t xml:space="preserve">+ </w:t>
            </w:r>
            <w:r w:rsidRPr="00CA091E">
              <w:rPr>
                <w:rFonts w:ascii="TimesNewRomanPS-ItalicMT" w:hAnsi="TimesNewRomanPS-ItalicMT" w:cs="TimesNewRomanPS-ItalicMT"/>
                <w:i/>
                <w:iCs/>
                <w:sz w:val="24"/>
              </w:rPr>
              <w:t>T</w:t>
            </w:r>
            <w:r w:rsidRPr="00CA091E">
              <w:rPr>
                <w:rFonts w:ascii="TimesNewRomanPS-ItalicMT" w:hAnsi="TimesNewRomanPS-ItalicMT" w:cs="TimesNewRomanPS-ItalicMT"/>
                <w:i/>
                <w:iCs/>
                <w:sz w:val="24"/>
                <w:szCs w:val="14"/>
                <w:vertAlign w:val="subscript"/>
              </w:rPr>
              <w:t>HT_SIG</w:t>
            </w:r>
          </w:p>
          <w:p w:rsidR="009B0EE5" w:rsidRDefault="009B0EE5" w:rsidP="00BE3097">
            <w:pPr>
              <w:ind w:firstLine="720"/>
              <w:rPr>
                <w:rFonts w:ascii="TimesNewRomanPS-ItalicMT" w:hAnsi="TimesNewRomanPS-ItalicMT" w:cs="TimesNewRomanPS-ItalicMT"/>
                <w:i/>
                <w:iCs/>
                <w:sz w:val="24"/>
              </w:rPr>
            </w:pPr>
            <w:r w:rsidRPr="00CA091E">
              <w:rPr>
                <w:sz w:val="24"/>
              </w:rPr>
              <w:t xml:space="preserve">+ </w:t>
            </w:r>
            <w:r w:rsidRPr="00CA091E">
              <w:rPr>
                <w:rFonts w:ascii="TimesNewRomanPS-ItalicMT" w:hAnsi="TimesNewRomanPS-ItalicMT" w:cs="TimesNewRomanPS-ItalicMT"/>
                <w:i/>
                <w:iCs/>
                <w:sz w:val="24"/>
              </w:rPr>
              <w:t>T</w:t>
            </w:r>
            <w:r w:rsidRPr="00CA091E">
              <w:rPr>
                <w:rFonts w:ascii="TimesNewRomanPSMT" w:eastAsia="TimesNewRomanPSMT" w:hAnsi="TimesNewRomanPS-ItalicMT" w:cs="TimesNewRomanPSMT"/>
                <w:sz w:val="24"/>
                <w:szCs w:val="14"/>
                <w:vertAlign w:val="subscript"/>
              </w:rPr>
              <w:t>SYM</w:t>
            </w:r>
            <w:r w:rsidRPr="00CA091E">
              <w:rPr>
                <w:sz w:val="24"/>
              </w:rPr>
              <w:t xml:space="preserve"> × </w:t>
            </w:r>
            <w:r w:rsidRPr="00CA091E">
              <w:rPr>
                <w:rFonts w:ascii="TimesNewRomanPS-ItalicMT" w:hAnsi="TimesNewRomanPS-ItalicMT" w:cs="TimesNewRomanPS-ItalicMT"/>
                <w:i/>
                <w:iCs/>
                <w:sz w:val="24"/>
              </w:rPr>
              <w:t>N</w:t>
            </w:r>
            <w:r w:rsidRPr="00CA091E">
              <w:rPr>
                <w:rFonts w:ascii="TimesNewRomanPS-ItalicMT" w:hAnsi="TimesNewRomanPS-ItalicMT" w:cs="TimesNewRomanPS-ItalicMT"/>
                <w:i/>
                <w:iCs/>
                <w:sz w:val="24"/>
                <w:szCs w:val="14"/>
                <w:vertAlign w:val="subscript"/>
              </w:rPr>
              <w:t>SYM</w:t>
            </w:r>
            <w:r w:rsidRPr="00CA091E">
              <w:rPr>
                <w:sz w:val="24"/>
              </w:rPr>
              <w:t xml:space="preserve"> + </w:t>
            </w:r>
            <w:proofErr w:type="spellStart"/>
            <w:r w:rsidRPr="00CA091E">
              <w:rPr>
                <w:rFonts w:ascii="TimesNewRomanPS-ItalicMT" w:hAnsi="TimesNewRomanPS-ItalicMT" w:cs="TimesNewRomanPS-ItalicMT"/>
                <w:i/>
                <w:iCs/>
                <w:sz w:val="24"/>
              </w:rPr>
              <w:t>SignalExtension</w:t>
            </w:r>
            <w:proofErr w:type="spellEnd"/>
          </w:p>
          <w:p w:rsidR="009B0EE5" w:rsidRPr="00CA091E" w:rsidRDefault="009B0EE5" w:rsidP="00BE3097">
            <w:pPr>
              <w:rPr>
                <w:sz w:val="24"/>
              </w:rPr>
            </w:pPr>
          </w:p>
        </w:tc>
        <w:tc>
          <w:tcPr>
            <w:tcW w:w="985" w:type="dxa"/>
            <w:vAlign w:val="center"/>
          </w:tcPr>
          <w:p w:rsidR="009B0EE5" w:rsidRDefault="009B0EE5" w:rsidP="00BE3097">
            <w:pPr>
              <w:jc w:val="center"/>
            </w:pPr>
            <w:r>
              <w:t>(19-91)</w:t>
            </w:r>
          </w:p>
        </w:tc>
      </w:tr>
      <w:tr w:rsidR="009B0EE5" w:rsidTr="009B0EE5">
        <w:tc>
          <w:tcPr>
            <w:tcW w:w="8365" w:type="dxa"/>
            <w:vAlign w:val="center"/>
          </w:tcPr>
          <w:p w:rsidR="009B0EE5" w:rsidRDefault="009B0EE5" w:rsidP="00BE3097">
            <w:pPr>
              <w:rPr>
                <w:rFonts w:ascii="TimesNewRomanPS-ItalicMT" w:hAnsi="TimesNewRomanPS-ItalicMT" w:cs="TimesNewRomanPS-ItalicMT"/>
                <w:i/>
                <w:iCs/>
                <w:sz w:val="24"/>
              </w:rPr>
            </w:pPr>
            <w:r w:rsidRPr="00CA091E">
              <w:rPr>
                <w:rFonts w:eastAsia="TimesNewRomanPSMT"/>
                <w:sz w:val="24"/>
              </w:rPr>
              <w:t>TXTIME</w:t>
            </w:r>
            <w:r w:rsidRPr="00CA091E">
              <w:rPr>
                <w:sz w:val="24"/>
              </w:rPr>
              <w:t xml:space="preserve"> = </w:t>
            </w:r>
            <w:r w:rsidRPr="009B0EE5">
              <w:rPr>
                <w:rFonts w:ascii="TimesNewRomanPS-ItalicMT" w:hAnsi="TimesNewRomanPS-ItalicMT" w:cs="TimesNewRomanPS-ItalicMT"/>
                <w:i/>
                <w:iCs/>
                <w:strike/>
                <w:color w:val="FF0000"/>
                <w:sz w:val="24"/>
              </w:rPr>
              <w:t>T</w:t>
            </w:r>
            <w:r w:rsidRPr="009B0EE5">
              <w:rPr>
                <w:rFonts w:ascii="TimesNewRomanPS-ItalicMT" w:hAnsi="TimesNewRomanPS-ItalicMT" w:cs="TimesNewRomanPS-ItalicMT"/>
                <w:i/>
                <w:iCs/>
                <w:strike/>
                <w:color w:val="FF0000"/>
                <w:sz w:val="24"/>
                <w:szCs w:val="14"/>
                <w:vertAlign w:val="subscript"/>
              </w:rPr>
              <w:t>GF_HT_PREAMBLE</w:t>
            </w:r>
            <w:r w:rsidRPr="009B0EE5">
              <w:rPr>
                <w:rFonts w:ascii="TimesNewRomanPS-ItalicMT" w:hAnsi="TimesNewRomanPS-ItalicMT" w:cs="TimesNewRomanPS-ItalicMT"/>
                <w:i/>
                <w:iCs/>
                <w:color w:val="FF0000"/>
                <w:sz w:val="24"/>
                <w:u w:val="single"/>
              </w:rPr>
              <w:t>T</w:t>
            </w:r>
            <w:r w:rsidRPr="009B0EE5">
              <w:rPr>
                <w:rFonts w:ascii="TimesNewRomanPS-ItalicMT" w:hAnsi="TimesNewRomanPS-ItalicMT" w:cs="TimesNewRomanPS-ItalicMT"/>
                <w:i/>
                <w:iCs/>
                <w:color w:val="FF0000"/>
                <w:sz w:val="24"/>
                <w:szCs w:val="14"/>
                <w:u w:val="single"/>
                <w:vertAlign w:val="subscript"/>
              </w:rPr>
              <w:t>GF_HT_TRAINING</w:t>
            </w:r>
            <w:r>
              <w:rPr>
                <w:rFonts w:ascii="TimesNewRomanPS-ItalicMT" w:hAnsi="TimesNewRomanPS-ItalicMT" w:cs="TimesNewRomanPS-ItalicMT"/>
                <w:i/>
                <w:iCs/>
                <w:color w:val="FF0000"/>
                <w:sz w:val="24"/>
                <w:szCs w:val="14"/>
                <w:u w:val="single"/>
                <w:vertAlign w:val="subscript"/>
              </w:rPr>
              <w:t xml:space="preserve"> </w:t>
            </w:r>
            <w:r w:rsidRPr="00CA091E">
              <w:rPr>
                <w:sz w:val="24"/>
              </w:rPr>
              <w:t xml:space="preserve">+ </w:t>
            </w:r>
            <w:r w:rsidRPr="00CA091E">
              <w:rPr>
                <w:rFonts w:ascii="TimesNewRomanPS-ItalicMT" w:hAnsi="TimesNewRomanPS-ItalicMT" w:cs="TimesNewRomanPS-ItalicMT"/>
                <w:i/>
                <w:iCs/>
                <w:sz w:val="24"/>
              </w:rPr>
              <w:t>T</w:t>
            </w:r>
            <w:r w:rsidRPr="00CA091E">
              <w:rPr>
                <w:rFonts w:ascii="TimesNewRomanPS-ItalicMT" w:hAnsi="TimesNewRomanPS-ItalicMT" w:cs="TimesNewRomanPS-ItalicMT"/>
                <w:i/>
                <w:iCs/>
                <w:sz w:val="24"/>
                <w:szCs w:val="14"/>
                <w:vertAlign w:val="subscript"/>
              </w:rPr>
              <w:t>HT_SIG</w:t>
            </w:r>
            <w:r w:rsidRPr="00CA091E">
              <w:rPr>
                <w:sz w:val="24"/>
              </w:rPr>
              <w:t xml:space="preserve"> + </w:t>
            </w:r>
            <w:r w:rsidRPr="00CA091E">
              <w:rPr>
                <w:rFonts w:ascii="TimesNewRomanPS-ItalicMT" w:hAnsi="TimesNewRomanPS-ItalicMT" w:cs="TimesNewRomanPS-ItalicMT"/>
                <w:i/>
                <w:iCs/>
                <w:sz w:val="24"/>
              </w:rPr>
              <w:t>T</w:t>
            </w:r>
            <w:r w:rsidRPr="00CA091E">
              <w:rPr>
                <w:rFonts w:ascii="TimesNewRomanPS-ItalicMT" w:hAnsi="TimesNewRomanPS-ItalicMT" w:cs="TimesNewRomanPS-ItalicMT"/>
                <w:i/>
                <w:iCs/>
                <w:sz w:val="24"/>
                <w:szCs w:val="14"/>
                <w:vertAlign w:val="subscript"/>
              </w:rPr>
              <w:t>SYMS</w:t>
            </w:r>
            <w:r w:rsidRPr="00CA091E">
              <w:rPr>
                <w:sz w:val="24"/>
              </w:rPr>
              <w:t xml:space="preserve"> × </w:t>
            </w:r>
            <w:r w:rsidRPr="00CA091E">
              <w:rPr>
                <w:rFonts w:ascii="TimesNewRomanPS-ItalicMT" w:hAnsi="TimesNewRomanPS-ItalicMT" w:cs="TimesNewRomanPS-ItalicMT"/>
                <w:i/>
                <w:iCs/>
                <w:sz w:val="24"/>
              </w:rPr>
              <w:t>N</w:t>
            </w:r>
            <w:r w:rsidRPr="00CA091E">
              <w:rPr>
                <w:rFonts w:ascii="TimesNewRomanPS-ItalicMT" w:hAnsi="TimesNewRomanPS-ItalicMT" w:cs="TimesNewRomanPS-ItalicMT"/>
                <w:i/>
                <w:iCs/>
                <w:sz w:val="24"/>
                <w:szCs w:val="14"/>
                <w:vertAlign w:val="subscript"/>
              </w:rPr>
              <w:t>SYM</w:t>
            </w:r>
            <w:r w:rsidRPr="00CA091E">
              <w:rPr>
                <w:sz w:val="24"/>
              </w:rPr>
              <w:t xml:space="preserve"> + </w:t>
            </w:r>
            <w:proofErr w:type="spellStart"/>
            <w:r w:rsidRPr="00CA091E">
              <w:rPr>
                <w:rFonts w:ascii="TimesNewRomanPS-ItalicMT" w:hAnsi="TimesNewRomanPS-ItalicMT" w:cs="TimesNewRomanPS-ItalicMT"/>
                <w:i/>
                <w:iCs/>
                <w:sz w:val="24"/>
              </w:rPr>
              <w:t>SignalExtension</w:t>
            </w:r>
            <w:proofErr w:type="spellEnd"/>
          </w:p>
          <w:p w:rsidR="009B0EE5" w:rsidRPr="00CA091E" w:rsidRDefault="009B0EE5" w:rsidP="00BE3097">
            <w:pPr>
              <w:rPr>
                <w:sz w:val="24"/>
              </w:rPr>
            </w:pPr>
          </w:p>
        </w:tc>
        <w:tc>
          <w:tcPr>
            <w:tcW w:w="985" w:type="dxa"/>
            <w:vAlign w:val="center"/>
          </w:tcPr>
          <w:p w:rsidR="009B0EE5" w:rsidRDefault="009B0EE5" w:rsidP="00BE3097">
            <w:pPr>
              <w:jc w:val="center"/>
            </w:pPr>
            <w:r>
              <w:t>(19-92)</w:t>
            </w:r>
          </w:p>
        </w:tc>
      </w:tr>
      <w:tr w:rsidR="009B0EE5" w:rsidTr="009B0EE5">
        <w:tc>
          <w:tcPr>
            <w:tcW w:w="8365" w:type="dxa"/>
            <w:vAlign w:val="center"/>
          </w:tcPr>
          <w:p w:rsidR="009B0EE5" w:rsidRPr="00CA091E" w:rsidRDefault="009B0EE5" w:rsidP="00BE3097">
            <w:pPr>
              <w:rPr>
                <w:sz w:val="24"/>
              </w:rPr>
            </w:pPr>
            <w:r w:rsidRPr="00CA091E">
              <w:rPr>
                <w:rFonts w:eastAsia="TimesNewRomanPSMT"/>
                <w:sz w:val="24"/>
              </w:rPr>
              <w:t>TXTIME</w:t>
            </w:r>
            <w:r w:rsidRPr="00CA091E">
              <w:rPr>
                <w:sz w:val="24"/>
              </w:rPr>
              <w:t xml:space="preserve"> = </w:t>
            </w:r>
            <w:r w:rsidRPr="009B0EE5">
              <w:rPr>
                <w:rFonts w:ascii="TimesNewRomanPS-ItalicMT" w:hAnsi="TimesNewRomanPS-ItalicMT" w:cs="TimesNewRomanPS-ItalicMT"/>
                <w:i/>
                <w:iCs/>
                <w:strike/>
                <w:color w:val="FF0000"/>
                <w:sz w:val="24"/>
              </w:rPr>
              <w:t>T</w:t>
            </w:r>
            <w:r w:rsidRPr="009B0EE5">
              <w:rPr>
                <w:rFonts w:ascii="TimesNewRomanPS-ItalicMT" w:hAnsi="TimesNewRomanPS-ItalicMT" w:cs="TimesNewRomanPS-ItalicMT"/>
                <w:i/>
                <w:iCs/>
                <w:strike/>
                <w:color w:val="FF0000"/>
                <w:sz w:val="24"/>
                <w:szCs w:val="14"/>
                <w:vertAlign w:val="subscript"/>
              </w:rPr>
              <w:t>GF_HT_PREAMBLE</w:t>
            </w:r>
            <w:r w:rsidRPr="009B0EE5">
              <w:rPr>
                <w:rFonts w:ascii="TimesNewRomanPS-ItalicMT" w:hAnsi="TimesNewRomanPS-ItalicMT" w:cs="TimesNewRomanPS-ItalicMT"/>
                <w:i/>
                <w:iCs/>
                <w:color w:val="FF0000"/>
                <w:sz w:val="24"/>
                <w:u w:val="single"/>
              </w:rPr>
              <w:t>T</w:t>
            </w:r>
            <w:r w:rsidRPr="009B0EE5">
              <w:rPr>
                <w:rFonts w:ascii="TimesNewRomanPS-ItalicMT" w:hAnsi="TimesNewRomanPS-ItalicMT" w:cs="TimesNewRomanPS-ItalicMT"/>
                <w:i/>
                <w:iCs/>
                <w:color w:val="FF0000"/>
                <w:sz w:val="24"/>
                <w:szCs w:val="14"/>
                <w:u w:val="single"/>
                <w:vertAlign w:val="subscript"/>
              </w:rPr>
              <w:t>GF_HT_TRAINING</w:t>
            </w:r>
            <w:r w:rsidRPr="00CA091E">
              <w:rPr>
                <w:sz w:val="24"/>
              </w:rPr>
              <w:t xml:space="preserve"> + </w:t>
            </w:r>
            <w:r w:rsidRPr="00CA091E">
              <w:rPr>
                <w:rFonts w:ascii="TimesNewRomanPS-ItalicMT" w:hAnsi="TimesNewRomanPS-ItalicMT" w:cs="TimesNewRomanPS-ItalicMT"/>
                <w:i/>
                <w:iCs/>
                <w:sz w:val="24"/>
              </w:rPr>
              <w:t>T</w:t>
            </w:r>
            <w:r w:rsidRPr="00CA091E">
              <w:rPr>
                <w:rFonts w:ascii="TimesNewRomanPS-ItalicMT" w:hAnsi="TimesNewRomanPS-ItalicMT" w:cs="TimesNewRomanPS-ItalicMT"/>
                <w:i/>
                <w:iCs/>
                <w:sz w:val="24"/>
                <w:szCs w:val="14"/>
                <w:vertAlign w:val="subscript"/>
              </w:rPr>
              <w:t>HT_SIG</w:t>
            </w:r>
            <w:r w:rsidRPr="00CA091E">
              <w:rPr>
                <w:sz w:val="24"/>
              </w:rPr>
              <w:t xml:space="preserve"> + </w:t>
            </w:r>
            <w:r w:rsidRPr="00CA091E">
              <w:rPr>
                <w:rFonts w:ascii="TimesNewRomanPS-ItalicMT" w:hAnsi="TimesNewRomanPS-ItalicMT" w:cs="TimesNewRomanPS-ItalicMT"/>
                <w:i/>
                <w:iCs/>
                <w:sz w:val="24"/>
              </w:rPr>
              <w:t>T</w:t>
            </w:r>
            <w:r w:rsidRPr="00CA091E">
              <w:rPr>
                <w:rFonts w:ascii="TimesNewRomanPS-ItalicMT" w:hAnsi="TimesNewRomanPS-ItalicMT" w:cs="TimesNewRomanPS-ItalicMT"/>
                <w:i/>
                <w:iCs/>
                <w:sz w:val="24"/>
                <w:szCs w:val="14"/>
                <w:vertAlign w:val="subscript"/>
              </w:rPr>
              <w:t>SYM</w:t>
            </w:r>
            <w:r w:rsidRPr="00CA091E">
              <w:rPr>
                <w:sz w:val="24"/>
              </w:rPr>
              <w:t xml:space="preserve"> × </w:t>
            </w:r>
            <w:r w:rsidRPr="00CA091E">
              <w:rPr>
                <w:rFonts w:ascii="TimesNewRomanPS-ItalicMT" w:hAnsi="TimesNewRomanPS-ItalicMT" w:cs="TimesNewRomanPS-ItalicMT"/>
                <w:i/>
                <w:iCs/>
                <w:sz w:val="24"/>
              </w:rPr>
              <w:t>N</w:t>
            </w:r>
            <w:r w:rsidRPr="00CA091E">
              <w:rPr>
                <w:rFonts w:ascii="TimesNewRomanPS-ItalicMT" w:hAnsi="TimesNewRomanPS-ItalicMT" w:cs="TimesNewRomanPS-ItalicMT"/>
                <w:i/>
                <w:iCs/>
                <w:sz w:val="24"/>
                <w:szCs w:val="14"/>
                <w:vertAlign w:val="subscript"/>
              </w:rPr>
              <w:t>SYM</w:t>
            </w:r>
            <w:r w:rsidRPr="00CA091E">
              <w:rPr>
                <w:sz w:val="24"/>
              </w:rPr>
              <w:t xml:space="preserve"> + </w:t>
            </w:r>
            <w:proofErr w:type="spellStart"/>
            <w:r w:rsidRPr="00CA091E">
              <w:rPr>
                <w:rFonts w:ascii="TimesNewRomanPS-ItalicMT" w:hAnsi="TimesNewRomanPS-ItalicMT" w:cs="TimesNewRomanPS-ItalicMT"/>
                <w:i/>
                <w:iCs/>
                <w:sz w:val="24"/>
              </w:rPr>
              <w:t>SignalExtension</w:t>
            </w:r>
            <w:proofErr w:type="spellEnd"/>
          </w:p>
        </w:tc>
        <w:tc>
          <w:tcPr>
            <w:tcW w:w="985" w:type="dxa"/>
            <w:vAlign w:val="center"/>
          </w:tcPr>
          <w:p w:rsidR="009B0EE5" w:rsidRDefault="009B0EE5" w:rsidP="00BE3097">
            <w:pPr>
              <w:jc w:val="center"/>
            </w:pPr>
            <w:r>
              <w:t>(19-93)</w:t>
            </w:r>
          </w:p>
        </w:tc>
      </w:tr>
    </w:tbl>
    <w:p w:rsidR="009B0EE5" w:rsidRDefault="009B0EE5" w:rsidP="009B0EE5"/>
    <w:p w:rsidR="009B0EE5" w:rsidRPr="00CA091E" w:rsidRDefault="009B0EE5" w:rsidP="009B0EE5">
      <w:pPr>
        <w:rPr>
          <w:rFonts w:ascii="TimesNewRomanPSMT" w:eastAsia="TimesNewRomanPSMT" w:cs="TimesNewRomanPSMT"/>
        </w:rPr>
      </w:pPr>
      <w:r w:rsidRPr="00CA091E">
        <w:rPr>
          <w:rFonts w:ascii="TimesNewRomanPSMT" w:eastAsia="TimesNewRomanPSMT" w:cs="TimesNewRomanPSMT"/>
        </w:rPr>
        <w:t>Where</w:t>
      </w:r>
    </w:p>
    <w:p w:rsidR="009B0EE5" w:rsidRPr="009B0EE5" w:rsidRDefault="009B0EE5" w:rsidP="009B0EE5">
      <w:pPr>
        <w:rPr>
          <w:rFonts w:eastAsia="TimesNewRomanPSMT"/>
          <w:sz w:val="28"/>
        </w:rPr>
      </w:pPr>
      <w:r w:rsidRPr="009B0EE5">
        <w:rPr>
          <w:i/>
          <w:iCs/>
          <w:sz w:val="28"/>
        </w:rPr>
        <w:t>T</w:t>
      </w:r>
      <w:r w:rsidRPr="009B0EE5">
        <w:rPr>
          <w:i/>
          <w:iCs/>
          <w:sz w:val="20"/>
          <w:szCs w:val="14"/>
          <w:vertAlign w:val="subscript"/>
        </w:rPr>
        <w:t>LEG_PREAMBLE</w:t>
      </w:r>
      <w:r w:rsidRPr="009B0EE5">
        <w:rPr>
          <w:i/>
          <w:iCs/>
          <w:sz w:val="20"/>
          <w:szCs w:val="14"/>
        </w:rPr>
        <w:t xml:space="preserve"> </w:t>
      </w:r>
      <w:r w:rsidRPr="009B0EE5">
        <w:rPr>
          <w:rFonts w:eastAsia="TimesNewRomanPSMT"/>
          <w:sz w:val="28"/>
        </w:rPr>
        <w:t xml:space="preserve">= </w:t>
      </w:r>
      <w:r w:rsidRPr="009B0EE5">
        <w:rPr>
          <w:i/>
          <w:iCs/>
          <w:sz w:val="28"/>
        </w:rPr>
        <w:t>T</w:t>
      </w:r>
      <w:r w:rsidRPr="009B0EE5">
        <w:rPr>
          <w:i/>
          <w:iCs/>
          <w:sz w:val="20"/>
          <w:szCs w:val="14"/>
          <w:vertAlign w:val="subscript"/>
        </w:rPr>
        <w:t>L-STF</w:t>
      </w:r>
      <w:r w:rsidRPr="009B0EE5">
        <w:rPr>
          <w:i/>
          <w:iCs/>
          <w:sz w:val="20"/>
          <w:szCs w:val="14"/>
        </w:rPr>
        <w:t xml:space="preserve"> </w:t>
      </w:r>
      <w:r w:rsidRPr="009B0EE5">
        <w:rPr>
          <w:rFonts w:eastAsia="TimesNewRomanPSMT"/>
          <w:sz w:val="28"/>
        </w:rPr>
        <w:t xml:space="preserve">+ </w:t>
      </w:r>
      <w:r w:rsidRPr="009B0EE5">
        <w:rPr>
          <w:i/>
          <w:iCs/>
          <w:sz w:val="28"/>
        </w:rPr>
        <w:t>T</w:t>
      </w:r>
      <w:r w:rsidRPr="009B0EE5">
        <w:rPr>
          <w:i/>
          <w:iCs/>
          <w:sz w:val="20"/>
          <w:szCs w:val="14"/>
        </w:rPr>
        <w:t xml:space="preserve">L-LTF </w:t>
      </w:r>
      <w:r w:rsidRPr="009B0EE5">
        <w:rPr>
          <w:rFonts w:eastAsia="TimesNewRomanPSMT"/>
          <w:sz w:val="28"/>
        </w:rPr>
        <w:t>is the duration of the non-HT preamble</w:t>
      </w:r>
    </w:p>
    <w:p w:rsidR="009B0EE5" w:rsidRPr="009B0EE5" w:rsidRDefault="0011718A" w:rsidP="009B0EE5">
      <w:pPr>
        <w:rPr>
          <w:i/>
          <w:iCs/>
          <w:sz w:val="20"/>
          <w:szCs w:val="14"/>
        </w:rPr>
      </w:pPr>
      <w:r w:rsidRPr="0011718A">
        <w:rPr>
          <w:rFonts w:ascii="TimesNewRomanPS-ItalicMT" w:hAnsi="TimesNewRomanPS-ItalicMT" w:cs="TimesNewRomanPS-ItalicMT"/>
          <w:i/>
          <w:iCs/>
          <w:strike/>
          <w:color w:val="FF0000"/>
          <w:sz w:val="24"/>
        </w:rPr>
        <w:t>T</w:t>
      </w:r>
      <w:r w:rsidRPr="0011718A">
        <w:rPr>
          <w:rFonts w:ascii="TimesNewRomanPS-ItalicMT" w:hAnsi="TimesNewRomanPS-ItalicMT" w:cs="TimesNewRomanPS-ItalicMT"/>
          <w:i/>
          <w:iCs/>
          <w:strike/>
          <w:color w:val="FF0000"/>
          <w:sz w:val="24"/>
          <w:szCs w:val="14"/>
          <w:vertAlign w:val="subscript"/>
        </w:rPr>
        <w:t>HT_PREAMBLE</w:t>
      </w:r>
      <w:r w:rsidRPr="0011718A">
        <w:rPr>
          <w:color w:val="FF0000"/>
          <w:sz w:val="24"/>
        </w:rPr>
        <w:t xml:space="preserve"> </w:t>
      </w:r>
      <w:r w:rsidRPr="0011718A">
        <w:rPr>
          <w:rFonts w:ascii="TimesNewRomanPS-ItalicMT" w:hAnsi="TimesNewRomanPS-ItalicMT" w:cs="TimesNewRomanPS-ItalicMT"/>
          <w:i/>
          <w:iCs/>
          <w:color w:val="FF0000"/>
          <w:sz w:val="24"/>
          <w:u w:val="single"/>
        </w:rPr>
        <w:t>T</w:t>
      </w:r>
      <w:r w:rsidRPr="0011718A">
        <w:rPr>
          <w:rFonts w:ascii="TimesNewRomanPS-ItalicMT" w:hAnsi="TimesNewRomanPS-ItalicMT" w:cs="TimesNewRomanPS-ItalicMT"/>
          <w:i/>
          <w:iCs/>
          <w:color w:val="FF0000"/>
          <w:sz w:val="24"/>
          <w:szCs w:val="14"/>
          <w:u w:val="single"/>
          <w:vertAlign w:val="subscript"/>
        </w:rPr>
        <w:t>HT_TRAINING</w:t>
      </w:r>
      <w:r>
        <w:rPr>
          <w:sz w:val="24"/>
        </w:rPr>
        <w:t xml:space="preserve"> </w:t>
      </w:r>
      <w:r w:rsidR="009B0EE5" w:rsidRPr="009B0EE5">
        <w:rPr>
          <w:rFonts w:eastAsia="TimesNewRomanPSMT"/>
          <w:sz w:val="28"/>
        </w:rPr>
        <w:t xml:space="preserve">is the duration of the HT </w:t>
      </w:r>
      <w:proofErr w:type="spellStart"/>
      <w:r w:rsidR="009B0EE5" w:rsidRPr="0011718A">
        <w:rPr>
          <w:rFonts w:eastAsia="TimesNewRomanPSMT"/>
          <w:strike/>
          <w:color w:val="FF0000"/>
          <w:sz w:val="28"/>
        </w:rPr>
        <w:t>preamble</w:t>
      </w:r>
      <w:r w:rsidRPr="0011718A">
        <w:rPr>
          <w:rFonts w:eastAsia="TimesNewRomanPSMT"/>
          <w:color w:val="FF0000"/>
          <w:sz w:val="28"/>
          <w:u w:val="single"/>
        </w:rPr>
        <w:t>training</w:t>
      </w:r>
      <w:proofErr w:type="spellEnd"/>
      <w:r w:rsidR="009B0EE5" w:rsidRPr="009B0EE5">
        <w:rPr>
          <w:rFonts w:eastAsia="TimesNewRomanPSMT"/>
          <w:sz w:val="28"/>
        </w:rPr>
        <w:t xml:space="preserve"> in HT-mixed format, given by </w:t>
      </w:r>
      <w:r w:rsidR="009B0EE5" w:rsidRPr="009B0EE5">
        <w:rPr>
          <w:i/>
          <w:iCs/>
          <w:sz w:val="28"/>
        </w:rPr>
        <w:t>T</w:t>
      </w:r>
      <w:r w:rsidR="009B0EE5" w:rsidRPr="009B0EE5">
        <w:rPr>
          <w:i/>
          <w:iCs/>
          <w:sz w:val="20"/>
          <w:szCs w:val="14"/>
          <w:vertAlign w:val="subscript"/>
        </w:rPr>
        <w:t xml:space="preserve">HT </w:t>
      </w:r>
      <w:r w:rsidR="009B0EE5" w:rsidRPr="009B0EE5">
        <w:rPr>
          <w:rFonts w:eastAsia="TimesNewRomanPSMT"/>
          <w:sz w:val="20"/>
          <w:szCs w:val="14"/>
          <w:vertAlign w:val="subscript"/>
        </w:rPr>
        <w:t xml:space="preserve">– </w:t>
      </w:r>
      <w:r w:rsidR="009B0EE5" w:rsidRPr="009B0EE5">
        <w:rPr>
          <w:i/>
          <w:iCs/>
          <w:sz w:val="20"/>
          <w:szCs w:val="14"/>
          <w:vertAlign w:val="subscript"/>
        </w:rPr>
        <w:t>STF</w:t>
      </w:r>
      <w:r w:rsidR="009B0EE5" w:rsidRPr="009B0EE5">
        <w:rPr>
          <w:i/>
          <w:iCs/>
          <w:sz w:val="20"/>
          <w:szCs w:val="14"/>
        </w:rPr>
        <w:t xml:space="preserve"> </w:t>
      </w:r>
      <w:r w:rsidR="009B0EE5" w:rsidRPr="009B0EE5">
        <w:rPr>
          <w:rFonts w:eastAsia="TimesNewRomanPSMT"/>
          <w:sz w:val="28"/>
        </w:rPr>
        <w:t xml:space="preserve">+ </w:t>
      </w:r>
      <w:r w:rsidR="009B0EE5" w:rsidRPr="009B0EE5">
        <w:rPr>
          <w:i/>
          <w:iCs/>
          <w:sz w:val="28"/>
        </w:rPr>
        <w:t>T</w:t>
      </w:r>
      <w:r w:rsidR="009B0EE5" w:rsidRPr="009B0EE5">
        <w:rPr>
          <w:i/>
          <w:iCs/>
          <w:sz w:val="20"/>
          <w:szCs w:val="14"/>
          <w:vertAlign w:val="subscript"/>
        </w:rPr>
        <w:t xml:space="preserve">HT </w:t>
      </w:r>
      <w:r w:rsidR="009B0EE5" w:rsidRPr="009B0EE5">
        <w:rPr>
          <w:rFonts w:eastAsia="TimesNewRomanPSMT"/>
          <w:sz w:val="20"/>
          <w:szCs w:val="14"/>
          <w:vertAlign w:val="subscript"/>
        </w:rPr>
        <w:t xml:space="preserve">– </w:t>
      </w:r>
      <w:r w:rsidR="009B0EE5" w:rsidRPr="009B0EE5">
        <w:rPr>
          <w:i/>
          <w:iCs/>
          <w:sz w:val="20"/>
          <w:szCs w:val="14"/>
          <w:vertAlign w:val="subscript"/>
        </w:rPr>
        <w:t>LTF</w:t>
      </w:r>
      <w:r w:rsidR="009B0EE5" w:rsidRPr="009B0EE5">
        <w:rPr>
          <w:rFonts w:eastAsia="TimesNewRomanPSMT"/>
          <w:sz w:val="20"/>
          <w:szCs w:val="14"/>
          <w:vertAlign w:val="subscript"/>
        </w:rPr>
        <w:t>1</w:t>
      </w:r>
      <w:r w:rsidR="009B0EE5" w:rsidRPr="009B0EE5">
        <w:rPr>
          <w:rFonts w:eastAsia="TimesNewRomanPSMT"/>
          <w:sz w:val="20"/>
          <w:szCs w:val="14"/>
        </w:rPr>
        <w:t xml:space="preserve"> </w:t>
      </w:r>
      <w:r w:rsidR="009B0EE5" w:rsidRPr="009B0EE5">
        <w:rPr>
          <w:rFonts w:eastAsia="TimesNewRomanPSMT"/>
          <w:sz w:val="28"/>
        </w:rPr>
        <w:t xml:space="preserve">+ </w:t>
      </w:r>
      <w:r w:rsidR="009B0EE5" w:rsidRPr="009B0EE5">
        <w:rPr>
          <w:rFonts w:eastAsia="SymbolMT"/>
          <w:sz w:val="28"/>
        </w:rPr>
        <w:t>(</w:t>
      </w:r>
      <w:r w:rsidR="009B0EE5" w:rsidRPr="009B0EE5">
        <w:rPr>
          <w:i/>
          <w:iCs/>
          <w:sz w:val="28"/>
        </w:rPr>
        <w:t>N</w:t>
      </w:r>
      <w:r w:rsidR="009B0EE5" w:rsidRPr="009B0EE5">
        <w:rPr>
          <w:i/>
          <w:iCs/>
          <w:sz w:val="20"/>
          <w:szCs w:val="14"/>
        </w:rPr>
        <w:t>HT</w:t>
      </w:r>
      <w:r w:rsidR="009B0EE5" w:rsidRPr="009B0EE5">
        <w:rPr>
          <w:rFonts w:eastAsia="TimesNewRomanPSMT"/>
          <w:sz w:val="20"/>
          <w:szCs w:val="14"/>
        </w:rPr>
        <w:t>-</w:t>
      </w:r>
      <w:r w:rsidR="009B0EE5" w:rsidRPr="009B0EE5">
        <w:rPr>
          <w:i/>
          <w:iCs/>
          <w:sz w:val="20"/>
          <w:szCs w:val="14"/>
        </w:rPr>
        <w:t xml:space="preserve">LTF </w:t>
      </w:r>
      <w:r w:rsidR="009B0EE5" w:rsidRPr="009B0EE5">
        <w:rPr>
          <w:rFonts w:eastAsia="TimesNewRomanPSMT"/>
          <w:sz w:val="28"/>
        </w:rPr>
        <w:t>– 1</w:t>
      </w:r>
      <w:r w:rsidR="009B0EE5" w:rsidRPr="009B0EE5">
        <w:rPr>
          <w:rFonts w:eastAsia="SymbolMT"/>
          <w:sz w:val="28"/>
        </w:rPr>
        <w:t xml:space="preserve">) </w:t>
      </w:r>
      <w:r w:rsidR="009B0EE5" w:rsidRPr="009B0EE5">
        <w:rPr>
          <w:i/>
          <w:iCs/>
          <w:sz w:val="28"/>
        </w:rPr>
        <w:t>T</w:t>
      </w:r>
      <w:r w:rsidR="009B0EE5" w:rsidRPr="009B0EE5">
        <w:rPr>
          <w:i/>
          <w:iCs/>
          <w:sz w:val="20"/>
          <w:szCs w:val="14"/>
          <w:vertAlign w:val="subscript"/>
        </w:rPr>
        <w:t xml:space="preserve">HT </w:t>
      </w:r>
      <w:r w:rsidR="009B0EE5" w:rsidRPr="009B0EE5">
        <w:rPr>
          <w:rFonts w:eastAsia="TimesNewRomanPSMT"/>
          <w:sz w:val="20"/>
          <w:szCs w:val="14"/>
          <w:vertAlign w:val="subscript"/>
        </w:rPr>
        <w:t xml:space="preserve">– </w:t>
      </w:r>
      <w:r w:rsidR="009B0EE5" w:rsidRPr="009B0EE5">
        <w:rPr>
          <w:i/>
          <w:iCs/>
          <w:sz w:val="20"/>
          <w:szCs w:val="14"/>
          <w:vertAlign w:val="subscript"/>
        </w:rPr>
        <w:t>LTFs</w:t>
      </w:r>
    </w:p>
    <w:p w:rsidR="009B0EE5" w:rsidRPr="009B0EE5" w:rsidRDefault="0011718A" w:rsidP="009B0EE5">
      <w:pPr>
        <w:rPr>
          <w:sz w:val="32"/>
        </w:rPr>
      </w:pPr>
      <w:r w:rsidRPr="0011718A">
        <w:rPr>
          <w:rFonts w:ascii="TimesNewRomanPS-ItalicMT" w:hAnsi="TimesNewRomanPS-ItalicMT" w:cs="TimesNewRomanPS-ItalicMT"/>
          <w:i/>
          <w:iCs/>
          <w:strike/>
          <w:color w:val="FF0000"/>
          <w:sz w:val="24"/>
        </w:rPr>
        <w:t>T</w:t>
      </w:r>
      <w:r>
        <w:rPr>
          <w:rFonts w:ascii="TimesNewRomanPS-ItalicMT" w:hAnsi="TimesNewRomanPS-ItalicMT" w:cs="TimesNewRomanPS-ItalicMT"/>
          <w:i/>
          <w:iCs/>
          <w:strike/>
          <w:color w:val="FF0000"/>
          <w:sz w:val="24"/>
          <w:szCs w:val="14"/>
          <w:vertAlign w:val="subscript"/>
        </w:rPr>
        <w:t>GF_H</w:t>
      </w:r>
      <w:r w:rsidRPr="0011718A">
        <w:rPr>
          <w:rFonts w:ascii="TimesNewRomanPS-ItalicMT" w:hAnsi="TimesNewRomanPS-ItalicMT" w:cs="TimesNewRomanPS-ItalicMT"/>
          <w:i/>
          <w:iCs/>
          <w:strike/>
          <w:color w:val="FF0000"/>
          <w:sz w:val="24"/>
          <w:szCs w:val="14"/>
          <w:vertAlign w:val="subscript"/>
        </w:rPr>
        <w:t>T_PREAMBLE</w:t>
      </w:r>
      <w:r w:rsidRPr="0011718A">
        <w:rPr>
          <w:color w:val="FF0000"/>
          <w:sz w:val="24"/>
        </w:rPr>
        <w:t xml:space="preserve"> </w:t>
      </w:r>
      <w:r w:rsidRPr="0011718A">
        <w:rPr>
          <w:rFonts w:ascii="TimesNewRomanPS-ItalicMT" w:hAnsi="TimesNewRomanPS-ItalicMT" w:cs="TimesNewRomanPS-ItalicMT"/>
          <w:i/>
          <w:iCs/>
          <w:color w:val="FF0000"/>
          <w:sz w:val="24"/>
          <w:u w:val="single"/>
        </w:rPr>
        <w:t>T</w:t>
      </w:r>
      <w:r>
        <w:rPr>
          <w:rFonts w:ascii="TimesNewRomanPS-ItalicMT" w:hAnsi="TimesNewRomanPS-ItalicMT" w:cs="TimesNewRomanPS-ItalicMT"/>
          <w:i/>
          <w:iCs/>
          <w:color w:val="FF0000"/>
          <w:sz w:val="24"/>
          <w:szCs w:val="14"/>
          <w:u w:val="single"/>
          <w:vertAlign w:val="subscript"/>
        </w:rPr>
        <w:t>GF_H</w:t>
      </w:r>
      <w:r w:rsidRPr="0011718A">
        <w:rPr>
          <w:rFonts w:ascii="TimesNewRomanPS-ItalicMT" w:hAnsi="TimesNewRomanPS-ItalicMT" w:cs="TimesNewRomanPS-ItalicMT"/>
          <w:i/>
          <w:iCs/>
          <w:color w:val="FF0000"/>
          <w:sz w:val="24"/>
          <w:szCs w:val="14"/>
          <w:u w:val="single"/>
          <w:vertAlign w:val="subscript"/>
        </w:rPr>
        <w:t>T_TRAINING</w:t>
      </w:r>
      <w:r>
        <w:rPr>
          <w:sz w:val="24"/>
        </w:rPr>
        <w:t xml:space="preserve"> </w:t>
      </w:r>
      <w:r w:rsidR="009B0EE5" w:rsidRPr="009B0EE5">
        <w:rPr>
          <w:rFonts w:eastAsia="TimesNewRomanPSMT"/>
          <w:sz w:val="28"/>
        </w:rPr>
        <w:t xml:space="preserve">is the duration of the </w:t>
      </w:r>
      <w:proofErr w:type="spellStart"/>
      <w:r w:rsidRPr="0011718A">
        <w:rPr>
          <w:rFonts w:eastAsia="TimesNewRomanPSMT"/>
          <w:strike/>
          <w:color w:val="FF0000"/>
          <w:sz w:val="28"/>
        </w:rPr>
        <w:t>preamble</w:t>
      </w:r>
      <w:r w:rsidRPr="0011718A">
        <w:rPr>
          <w:rFonts w:eastAsia="TimesNewRomanPSMT"/>
          <w:color w:val="FF0000"/>
          <w:sz w:val="28"/>
          <w:u w:val="single"/>
        </w:rPr>
        <w:t>training</w:t>
      </w:r>
      <w:proofErr w:type="spellEnd"/>
      <w:r w:rsidRPr="009B0EE5">
        <w:rPr>
          <w:rFonts w:eastAsia="TimesNewRomanPSMT"/>
          <w:sz w:val="28"/>
        </w:rPr>
        <w:t xml:space="preserve"> </w:t>
      </w:r>
      <w:r w:rsidR="009B0EE5" w:rsidRPr="009B0EE5">
        <w:rPr>
          <w:rFonts w:eastAsia="TimesNewRomanPSMT"/>
          <w:sz w:val="28"/>
        </w:rPr>
        <w:t xml:space="preserve">in HT-greenfield format, given by </w:t>
      </w:r>
      <w:r w:rsidR="009B0EE5" w:rsidRPr="009B0EE5">
        <w:rPr>
          <w:i/>
          <w:iCs/>
          <w:sz w:val="28"/>
        </w:rPr>
        <w:t>T</w:t>
      </w:r>
      <w:r w:rsidR="009B0EE5" w:rsidRPr="009B0EE5">
        <w:rPr>
          <w:i/>
          <w:iCs/>
          <w:sz w:val="20"/>
          <w:szCs w:val="14"/>
          <w:vertAlign w:val="subscript"/>
        </w:rPr>
        <w:t xml:space="preserve">HT </w:t>
      </w:r>
      <w:r w:rsidR="009B0EE5" w:rsidRPr="009B0EE5">
        <w:rPr>
          <w:rFonts w:eastAsia="TimesNewRomanPSMT"/>
          <w:sz w:val="20"/>
          <w:szCs w:val="14"/>
          <w:vertAlign w:val="subscript"/>
        </w:rPr>
        <w:t xml:space="preserve">– </w:t>
      </w:r>
      <w:r w:rsidR="009B0EE5" w:rsidRPr="009B0EE5">
        <w:rPr>
          <w:i/>
          <w:iCs/>
          <w:sz w:val="20"/>
          <w:szCs w:val="14"/>
          <w:vertAlign w:val="subscript"/>
        </w:rPr>
        <w:t xml:space="preserve">GF </w:t>
      </w:r>
      <w:r w:rsidR="009B0EE5" w:rsidRPr="009B0EE5">
        <w:rPr>
          <w:rFonts w:eastAsia="TimesNewRomanPSMT"/>
          <w:sz w:val="20"/>
          <w:szCs w:val="14"/>
          <w:vertAlign w:val="subscript"/>
        </w:rPr>
        <w:t xml:space="preserve">– </w:t>
      </w:r>
      <w:r w:rsidR="009B0EE5" w:rsidRPr="009B0EE5">
        <w:rPr>
          <w:i/>
          <w:iCs/>
          <w:sz w:val="20"/>
          <w:szCs w:val="14"/>
          <w:vertAlign w:val="subscript"/>
        </w:rPr>
        <w:t>STF</w:t>
      </w:r>
      <w:r w:rsidR="009B0EE5" w:rsidRPr="009B0EE5">
        <w:rPr>
          <w:i/>
          <w:iCs/>
          <w:sz w:val="20"/>
          <w:szCs w:val="14"/>
        </w:rPr>
        <w:t xml:space="preserve"> </w:t>
      </w:r>
      <w:r w:rsidR="009B0EE5" w:rsidRPr="009B0EE5">
        <w:rPr>
          <w:rFonts w:eastAsia="TimesNewRomanPSMT"/>
          <w:sz w:val="28"/>
        </w:rPr>
        <w:t xml:space="preserve">+ </w:t>
      </w:r>
      <w:r w:rsidR="009B0EE5" w:rsidRPr="009B0EE5">
        <w:rPr>
          <w:i/>
          <w:iCs/>
          <w:sz w:val="28"/>
        </w:rPr>
        <w:t>T</w:t>
      </w:r>
      <w:r w:rsidR="009B0EE5" w:rsidRPr="009B0EE5">
        <w:rPr>
          <w:i/>
          <w:iCs/>
          <w:sz w:val="20"/>
          <w:szCs w:val="14"/>
          <w:vertAlign w:val="subscript"/>
        </w:rPr>
        <w:t xml:space="preserve">HT </w:t>
      </w:r>
      <w:r w:rsidR="009B0EE5" w:rsidRPr="009B0EE5">
        <w:rPr>
          <w:rFonts w:eastAsia="TimesNewRomanPSMT"/>
          <w:sz w:val="20"/>
          <w:szCs w:val="14"/>
          <w:vertAlign w:val="subscript"/>
        </w:rPr>
        <w:t xml:space="preserve">– </w:t>
      </w:r>
      <w:r w:rsidR="009B0EE5" w:rsidRPr="009B0EE5">
        <w:rPr>
          <w:i/>
          <w:iCs/>
          <w:sz w:val="20"/>
          <w:szCs w:val="14"/>
          <w:vertAlign w:val="subscript"/>
        </w:rPr>
        <w:t>LTF</w:t>
      </w:r>
      <w:r w:rsidR="009B0EE5" w:rsidRPr="009B0EE5">
        <w:rPr>
          <w:rFonts w:eastAsia="TimesNewRomanPSMT"/>
          <w:sz w:val="20"/>
          <w:szCs w:val="14"/>
          <w:vertAlign w:val="subscript"/>
        </w:rPr>
        <w:t>1</w:t>
      </w:r>
      <w:r w:rsidR="009B0EE5" w:rsidRPr="009B0EE5">
        <w:rPr>
          <w:rFonts w:eastAsia="TimesNewRomanPSMT"/>
          <w:sz w:val="20"/>
          <w:szCs w:val="14"/>
        </w:rPr>
        <w:t xml:space="preserve"> </w:t>
      </w:r>
      <w:r w:rsidR="009B0EE5" w:rsidRPr="009B0EE5">
        <w:rPr>
          <w:rFonts w:eastAsia="TimesNewRomanPSMT"/>
          <w:sz w:val="28"/>
        </w:rPr>
        <w:t xml:space="preserve">+ </w:t>
      </w:r>
      <w:r w:rsidR="009B0EE5" w:rsidRPr="009B0EE5">
        <w:rPr>
          <w:rFonts w:eastAsia="SymbolMT"/>
          <w:sz w:val="28"/>
        </w:rPr>
        <w:t>(</w:t>
      </w:r>
      <w:r w:rsidR="009B0EE5" w:rsidRPr="009B0EE5">
        <w:rPr>
          <w:i/>
          <w:iCs/>
          <w:sz w:val="28"/>
        </w:rPr>
        <w:t>N</w:t>
      </w:r>
      <w:r w:rsidR="009B0EE5" w:rsidRPr="009B0EE5">
        <w:rPr>
          <w:i/>
          <w:iCs/>
          <w:sz w:val="20"/>
          <w:szCs w:val="14"/>
        </w:rPr>
        <w:t>HT</w:t>
      </w:r>
      <w:r w:rsidR="009B0EE5" w:rsidRPr="009B0EE5">
        <w:rPr>
          <w:rFonts w:eastAsia="TimesNewRomanPSMT"/>
          <w:sz w:val="20"/>
          <w:szCs w:val="14"/>
        </w:rPr>
        <w:t>-</w:t>
      </w:r>
      <w:r w:rsidR="009B0EE5" w:rsidRPr="009B0EE5">
        <w:rPr>
          <w:i/>
          <w:iCs/>
          <w:sz w:val="20"/>
          <w:szCs w:val="14"/>
        </w:rPr>
        <w:t xml:space="preserve">LTF </w:t>
      </w:r>
      <w:r w:rsidR="009B0EE5" w:rsidRPr="009B0EE5">
        <w:rPr>
          <w:rFonts w:eastAsia="TimesNewRomanPSMT"/>
          <w:sz w:val="28"/>
        </w:rPr>
        <w:t>– 1</w:t>
      </w:r>
      <w:r w:rsidR="009B0EE5" w:rsidRPr="009B0EE5">
        <w:rPr>
          <w:rFonts w:eastAsia="SymbolMT"/>
          <w:sz w:val="28"/>
        </w:rPr>
        <w:t xml:space="preserve">) </w:t>
      </w:r>
      <w:r w:rsidR="009B0EE5" w:rsidRPr="009B0EE5">
        <w:rPr>
          <w:i/>
          <w:iCs/>
          <w:sz w:val="28"/>
        </w:rPr>
        <w:t>T</w:t>
      </w:r>
      <w:r w:rsidR="009B0EE5" w:rsidRPr="009B0EE5">
        <w:rPr>
          <w:i/>
          <w:iCs/>
          <w:sz w:val="20"/>
          <w:szCs w:val="14"/>
          <w:vertAlign w:val="subscript"/>
        </w:rPr>
        <w:t xml:space="preserve">HT </w:t>
      </w:r>
      <w:r w:rsidR="009B0EE5" w:rsidRPr="009B0EE5">
        <w:rPr>
          <w:rFonts w:eastAsia="TimesNewRomanPSMT"/>
          <w:sz w:val="20"/>
          <w:szCs w:val="14"/>
          <w:vertAlign w:val="subscript"/>
        </w:rPr>
        <w:t xml:space="preserve">– </w:t>
      </w:r>
      <w:r w:rsidR="009B0EE5" w:rsidRPr="009B0EE5">
        <w:rPr>
          <w:i/>
          <w:iCs/>
          <w:sz w:val="20"/>
          <w:szCs w:val="14"/>
          <w:vertAlign w:val="subscript"/>
        </w:rPr>
        <w:t>LTFs</w:t>
      </w:r>
    </w:p>
    <w:p w:rsidR="00010B01" w:rsidRDefault="00010B01" w:rsidP="00010B01">
      <w:pPr>
        <w:rPr>
          <w:rFonts w:eastAsiaTheme="minorHAnsi"/>
        </w:rPr>
      </w:pPr>
    </w:p>
    <w:p w:rsidR="003D01A0" w:rsidRDefault="00BE2CE9" w:rsidP="00BE2CE9">
      <w:pPr>
        <w:pStyle w:val="Heading2"/>
      </w:pPr>
      <w:r>
        <w:t>2709</w:t>
      </w:r>
    </w:p>
    <w:p w:rsidR="008525A0" w:rsidRPr="008525A0" w:rsidRDefault="00EA770A" w:rsidP="008525A0">
      <w:r>
        <w:t xml:space="preserve">CID 2709 is about the highlighted text shown below. Only part of </w:t>
      </w:r>
      <w:r w:rsidRPr="000A21DD">
        <w:t>Figure 19-27</w:t>
      </w:r>
      <w:r>
        <w:t xml:space="preserve"> is shown.</w:t>
      </w:r>
    </w:p>
    <w:p w:rsidR="00BE2CE9" w:rsidRDefault="00BE2CE9" w:rsidP="00831D8C">
      <w:r>
        <w:rPr>
          <w:noProof/>
        </w:rPr>
        <w:drawing>
          <wp:inline distT="0" distB="0" distL="0" distR="0" wp14:anchorId="29F4DDCB" wp14:editId="6976C80A">
            <wp:extent cx="5044714" cy="3299006"/>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73699" cy="3317961"/>
                    </a:xfrm>
                    <a:prstGeom prst="rect">
                      <a:avLst/>
                    </a:prstGeom>
                  </pic:spPr>
                </pic:pic>
              </a:graphicData>
            </a:graphic>
          </wp:inline>
        </w:drawing>
      </w:r>
    </w:p>
    <w:p w:rsidR="00EA770A" w:rsidRDefault="00EA770A" w:rsidP="00831D8C"/>
    <w:p w:rsidR="00EA770A" w:rsidRDefault="00EA770A" w:rsidP="00831D8C">
      <w:r w:rsidRPr="000A21DD">
        <w:lastRenderedPageBreak/>
        <w:t>Figure 19-27</w:t>
      </w:r>
      <w:r>
        <w:t xml:space="preserve"> is essentially a flowchart showing how to move </w:t>
      </w:r>
      <w:proofErr w:type="spellStart"/>
      <w:r>
        <w:t>throught</w:t>
      </w:r>
      <w:proofErr w:type="spellEnd"/>
      <w:r>
        <w:t xml:space="preserve"> the reception process. The specific step shown above is about deciding whether the format of the signal is GF or not. If it is, a HT_SIG GF preamble is expected. If not, the regular L-SIG is expected and needs to be evaluated.</w:t>
      </w:r>
    </w:p>
    <w:p w:rsidR="00EA770A" w:rsidRDefault="00EA770A" w:rsidP="00831D8C">
      <w:r>
        <w:t xml:space="preserve">The two possible outcomes are labelled in Figure 19-27 as “HT_SIG (GF preamble)” and “L-SIG (MF or non-HT preamble)”. The commenter argues that </w:t>
      </w:r>
      <w:r w:rsidR="008455D1">
        <w:t>“non-HT preamble” is not clearly defined and used in a different meaning elsewhere.</w:t>
      </w:r>
    </w:p>
    <w:p w:rsidR="008455D1" w:rsidRDefault="008455D1" w:rsidP="00831D8C"/>
    <w:p w:rsidR="00EA770A" w:rsidRDefault="008455D1" w:rsidP="00831D8C">
      <w:r>
        <w:t xml:space="preserve">Since the decision is more about the format of the packet, the issue could be avoided by referring to the format of the received packet, rather than the preamble. I.e.: replace “(MF or non-HT preamble)” with “(MF or non-HT format)” and replace “HT_SIG (GF preamble)” with “HT_SIG (GF format)”. With this, the decision flow is </w:t>
      </w:r>
      <w:proofErr w:type="gramStart"/>
      <w:r>
        <w:t>unaffected</w:t>
      </w:r>
      <w:proofErr w:type="gramEnd"/>
      <w:r>
        <w:t xml:space="preserve"> and the language is less ambiguous.</w:t>
      </w:r>
    </w:p>
    <w:p w:rsidR="008455D1" w:rsidRDefault="008455D1" w:rsidP="00831D8C"/>
    <w:p w:rsidR="008455D1" w:rsidRDefault="008455D1" w:rsidP="00831D8C">
      <w:r>
        <w:t>Proposed resolution:</w:t>
      </w:r>
    </w:p>
    <w:p w:rsidR="008455D1" w:rsidRDefault="008455D1" w:rsidP="00831D8C">
      <w:r>
        <w:t xml:space="preserve">Revised. </w:t>
      </w:r>
    </w:p>
    <w:p w:rsidR="008455D1" w:rsidRDefault="008455D1" w:rsidP="00831D8C"/>
    <w:p w:rsidR="008455D1" w:rsidRDefault="008455D1" w:rsidP="00831D8C">
      <w:r>
        <w:t>In Figure 19-27, replace “(MF or non-HT preamble)” with “(MF or non-HT format)” and replace “HT_SIG (GF preamble)” with “HT_SIG (GF format)”.</w:t>
      </w:r>
    </w:p>
    <w:p w:rsidR="00BE2CE9" w:rsidRDefault="00BE2CE9" w:rsidP="00BE2CE9">
      <w:pPr>
        <w:pStyle w:val="Heading2"/>
      </w:pPr>
      <w:r>
        <w:t>2710</w:t>
      </w:r>
    </w:p>
    <w:p w:rsidR="00877143" w:rsidRDefault="00877143" w:rsidP="00877143"/>
    <w:p w:rsidR="00877143" w:rsidRDefault="00877143" w:rsidP="00877143">
      <w:r>
        <w:t>CID 2710 is about the use of the term “non-HT preamble” in Figure 19-22, as highlighted below.</w:t>
      </w:r>
    </w:p>
    <w:p w:rsidR="00877143" w:rsidRDefault="00877143" w:rsidP="00877143"/>
    <w:p w:rsidR="00877143" w:rsidRPr="00877143" w:rsidRDefault="00877143" w:rsidP="00877143"/>
    <w:p w:rsidR="00BE2CE9" w:rsidRDefault="002924F1" w:rsidP="00831D8C">
      <w:r>
        <w:rPr>
          <w:noProof/>
        </w:rPr>
        <w:drawing>
          <wp:inline distT="0" distB="0" distL="0" distR="0" wp14:anchorId="0700A6F6" wp14:editId="6F4A4741">
            <wp:extent cx="5943600" cy="249110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491105"/>
                    </a:xfrm>
                    <a:prstGeom prst="rect">
                      <a:avLst/>
                    </a:prstGeom>
                  </pic:spPr>
                </pic:pic>
              </a:graphicData>
            </a:graphic>
          </wp:inline>
        </w:drawing>
      </w:r>
    </w:p>
    <w:p w:rsidR="002924F1" w:rsidRDefault="002924F1" w:rsidP="00831D8C"/>
    <w:p w:rsidR="002924F1" w:rsidRDefault="002924F1" w:rsidP="00831D8C"/>
    <w:p w:rsidR="00A94B8C" w:rsidRDefault="00A94B8C" w:rsidP="00831D8C">
      <w:r>
        <w:t xml:space="preserve">The commenter argues that this is not the right term. The comment is </w:t>
      </w:r>
      <w:proofErr w:type="gramStart"/>
      <w:r>
        <w:t>similar to</w:t>
      </w:r>
      <w:proofErr w:type="gramEnd"/>
      <w:r>
        <w:t xml:space="preserve"> what was discussed under CID 2711. As explained there, use of the term “non-HT preamble” to indicate L-STF + L-LTF is consistent with the way the preamble is defined in 17.3.3.</w:t>
      </w:r>
    </w:p>
    <w:p w:rsidR="00BE2CE9" w:rsidRDefault="00BE2CE9" w:rsidP="00831D8C"/>
    <w:p w:rsidR="00A94B8C" w:rsidRDefault="00A94B8C" w:rsidP="00831D8C">
      <w:r>
        <w:t>Proposed resolution:</w:t>
      </w:r>
    </w:p>
    <w:p w:rsidR="00A94B8C" w:rsidRDefault="00A94B8C" w:rsidP="00831D8C">
      <w:r>
        <w:t>Reject.</w:t>
      </w:r>
    </w:p>
    <w:p w:rsidR="00A94B8C" w:rsidRDefault="00A94B8C" w:rsidP="00831D8C"/>
    <w:p w:rsidR="00A94B8C" w:rsidRDefault="00A94B8C" w:rsidP="00831D8C">
      <w:r>
        <w:t>Use of the term “non-HT preamble” to indicate L-STF + L-LTF is consistent with the way the preamble is defined in 17.3.3.</w:t>
      </w:r>
    </w:p>
    <w:p w:rsidR="00545651" w:rsidRDefault="00545651" w:rsidP="00831D8C"/>
    <w:p w:rsidR="00545651" w:rsidRDefault="00545651" w:rsidP="00545651">
      <w:pPr>
        <w:pStyle w:val="Heading2"/>
      </w:pPr>
      <w:proofErr w:type="spellStart"/>
      <w:r>
        <w:lastRenderedPageBreak/>
        <w:t>Additonal</w:t>
      </w:r>
      <w:proofErr w:type="spellEnd"/>
      <w:r>
        <w:t xml:space="preserve"> changes</w:t>
      </w:r>
    </w:p>
    <w:p w:rsidR="00545651" w:rsidRDefault="00545651" w:rsidP="00545651"/>
    <w:p w:rsidR="00C728EE" w:rsidRDefault="00C728EE" w:rsidP="00C728EE">
      <w:r>
        <w:t xml:space="preserve">The resolution of the three comments above is based on the observation that for Clause 17, non-HT preamble means L-STF and L-LTF. With this clarification, there are some additional places in the document where wording is inconsistent with this. </w:t>
      </w:r>
    </w:p>
    <w:p w:rsidR="00C728EE" w:rsidRDefault="00C728EE" w:rsidP="00C728EE"/>
    <w:p w:rsidR="00C728EE" w:rsidRDefault="00C728EE" w:rsidP="00C728EE">
      <w:r>
        <w:t>For completeness, it is proposed to make the additional changes shown below as related to these comments.</w:t>
      </w:r>
    </w:p>
    <w:p w:rsidR="00C728EE" w:rsidRDefault="00C728EE" w:rsidP="00C728EE"/>
    <w:p w:rsidR="00FB2A7A" w:rsidRPr="00FB2A7A" w:rsidRDefault="00FB2A7A" w:rsidP="00FB2A7A">
      <w:pPr>
        <w:rPr>
          <w:b/>
        </w:rPr>
      </w:pPr>
      <w:r>
        <w:rPr>
          <w:b/>
        </w:rPr>
        <w:t>P</w:t>
      </w:r>
      <w:r w:rsidRPr="00FB2A7A">
        <w:rPr>
          <w:b/>
        </w:rPr>
        <w:t>age 2916, line 56:</w:t>
      </w:r>
    </w:p>
    <w:p w:rsidR="00FB2A7A" w:rsidRDefault="00FB2A7A" w:rsidP="00FB2A7A"/>
    <w:p w:rsidR="00FB2A7A" w:rsidRDefault="00FB2A7A" w:rsidP="00FB2A7A">
      <w:pPr>
        <w:autoSpaceDE w:val="0"/>
        <w:autoSpaceDN w:val="0"/>
        <w:adjustRightInd w:val="0"/>
        <w:rPr>
          <w:rFonts w:ascii="Arial-BoldMT" w:eastAsia="Arial-BoldMT" w:cs="Arial-BoldMT"/>
          <w:b/>
          <w:bCs/>
          <w:sz w:val="20"/>
        </w:rPr>
      </w:pPr>
      <w:r>
        <w:rPr>
          <w:rFonts w:ascii="Arial-BoldMT" w:eastAsia="Arial-BoldMT" w:cs="Arial-BoldMT"/>
          <w:b/>
          <w:bCs/>
          <w:sz w:val="20"/>
        </w:rPr>
        <w:t>17.3.7 PHY data modulation and modulation rate change</w:t>
      </w:r>
    </w:p>
    <w:p w:rsidR="00FB2A7A" w:rsidRDefault="00FB2A7A" w:rsidP="00FB2A7A">
      <w:pPr>
        <w:autoSpaceDE w:val="0"/>
        <w:autoSpaceDN w:val="0"/>
        <w:adjustRightInd w:val="0"/>
        <w:rPr>
          <w:rFonts w:ascii="TimesNewRomanPSMT" w:eastAsia="TimesNewRomanPSMT" w:cs="TimesNewRomanPSMT"/>
          <w:sz w:val="20"/>
        </w:rPr>
      </w:pPr>
      <w:r w:rsidRPr="000F3204">
        <w:rPr>
          <w:rFonts w:ascii="TimesNewRomanPSMT" w:eastAsia="TimesNewRomanPSMT" w:cs="TimesNewRomanPSMT"/>
          <w:strike/>
          <w:color w:val="FF0000"/>
          <w:sz w:val="20"/>
        </w:rPr>
        <w:t xml:space="preserve">The PHY preamble shall be transmitted using an OFDM modulated fixed waveform. </w:t>
      </w:r>
      <w:r>
        <w:rPr>
          <w:rFonts w:ascii="TimesNewRomanPSMT" w:eastAsia="TimesNewRomanPSMT" w:cs="TimesNewRomanPSMT"/>
          <w:sz w:val="20"/>
        </w:rPr>
        <w:t xml:space="preserve">The SIGNAL field, BPSK-OFDM modulated with coding rate 1/2, shall indicate the modulation and coding rate that shall be used to transmit the MPDU. The transmitter (receiver) shall initiate the modulation (demodulation) constellation and the coding rate according to the RATE indicated in the SIGNAL field. The MPDU transmission rate shall be set by the DATARATE parameter in the TXVECTOR, issued with the </w:t>
      </w:r>
      <w:proofErr w:type="spellStart"/>
      <w:r>
        <w:rPr>
          <w:rFonts w:ascii="TimesNewRomanPSMT" w:eastAsia="TimesNewRomanPSMT" w:cs="TimesNewRomanPSMT"/>
          <w:sz w:val="20"/>
        </w:rPr>
        <w:t>PHYTXSTART.request</w:t>
      </w:r>
      <w:proofErr w:type="spellEnd"/>
      <w:r>
        <w:rPr>
          <w:rFonts w:ascii="TimesNewRomanPSMT" w:eastAsia="TimesNewRomanPSMT" w:cs="TimesNewRomanPSMT"/>
          <w:sz w:val="20"/>
        </w:rPr>
        <w:t xml:space="preserve"> primitive described in 17.2.2 (TXVECTOR parameters).</w:t>
      </w:r>
    </w:p>
    <w:p w:rsidR="00FB2A7A" w:rsidRDefault="00FB2A7A" w:rsidP="00FB2A7A">
      <w:pPr>
        <w:autoSpaceDE w:val="0"/>
        <w:autoSpaceDN w:val="0"/>
        <w:adjustRightInd w:val="0"/>
      </w:pPr>
    </w:p>
    <w:p w:rsidR="00FB2A7A" w:rsidRDefault="00FB2A7A" w:rsidP="00FB2A7A">
      <w:pPr>
        <w:rPr>
          <w:b/>
        </w:rPr>
      </w:pPr>
      <w:r w:rsidRPr="00FB2A7A">
        <w:rPr>
          <w:b/>
        </w:rPr>
        <w:t>Page 2929, line 8:</w:t>
      </w:r>
    </w:p>
    <w:p w:rsidR="00FB2A7A" w:rsidRPr="00FB2A7A" w:rsidRDefault="00FB2A7A" w:rsidP="00FB2A7A">
      <w:pPr>
        <w:rPr>
          <w:b/>
        </w:rPr>
      </w:pPr>
    </w:p>
    <w:p w:rsidR="00FB2A7A" w:rsidRDefault="00FB2A7A" w:rsidP="00FB2A7A">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 xml:space="preserve">The PHY proceeds with PSDU transmission through a series of data octet transfers from the MAC. The PHY header parameter, SERVICE, and PSDU are encoded by the convolutional encoder with the </w:t>
      </w:r>
      <w:proofErr w:type="spellStart"/>
      <w:r>
        <w:rPr>
          <w:rFonts w:ascii="TimesNewRomanPSMT" w:eastAsia="TimesNewRomanPSMT" w:cs="TimesNewRomanPSMT"/>
          <w:color w:val="000000"/>
          <w:sz w:val="20"/>
        </w:rPr>
        <w:t>bitstealing</w:t>
      </w:r>
      <w:proofErr w:type="spellEnd"/>
      <w:r>
        <w:rPr>
          <w:rFonts w:ascii="TimesNewRomanPSMT" w:eastAsia="TimesNewRomanPSMT" w:cs="TimesNewRomanPSMT"/>
          <w:color w:val="000000"/>
          <w:sz w:val="20"/>
        </w:rPr>
        <w:t xml:space="preserve"> function described in 17.3.5.6 (Convolutional encoder). Transmission can be prematurely</w:t>
      </w:r>
    </w:p>
    <w:p w:rsidR="00FB2A7A" w:rsidRDefault="00FB2A7A" w:rsidP="00FB2A7A">
      <w:pPr>
        <w:autoSpaceDE w:val="0"/>
        <w:autoSpaceDN w:val="0"/>
        <w:adjustRightInd w:val="0"/>
      </w:pPr>
      <w:r>
        <w:rPr>
          <w:rFonts w:ascii="TimesNewRomanPSMT" w:eastAsia="TimesNewRomanPSMT" w:cs="TimesNewRomanPSMT"/>
          <w:color w:val="000000"/>
          <w:sz w:val="20"/>
        </w:rPr>
        <w:t>terminated by the MAC through the PHY-</w:t>
      </w:r>
      <w:proofErr w:type="spellStart"/>
      <w:r>
        <w:rPr>
          <w:rFonts w:ascii="TimesNewRomanPSMT" w:eastAsia="TimesNewRomanPSMT" w:cs="TimesNewRomanPSMT"/>
          <w:color w:val="000000"/>
          <w:sz w:val="20"/>
        </w:rPr>
        <w:t>TXEND.request</w:t>
      </w:r>
      <w:proofErr w:type="spellEnd"/>
      <w:r>
        <w:rPr>
          <w:rFonts w:ascii="TimesNewRomanPSMT" w:eastAsia="TimesNewRomanPSMT" w:cs="TimesNewRomanPSMT"/>
          <w:color w:val="000000"/>
          <w:sz w:val="20"/>
        </w:rPr>
        <w:t xml:space="preserve"> primitive. Normal termination occurs after the transmission of the final bit of the last PSDU octet, according to the number supplied in the </w:t>
      </w:r>
      <w:r w:rsidRPr="000F3204">
        <w:rPr>
          <w:rFonts w:ascii="TimesNewRomanPSMT" w:eastAsia="TimesNewRomanPSMT" w:cs="TimesNewRomanPSMT"/>
          <w:strike/>
          <w:color w:val="FF0000"/>
          <w:sz w:val="20"/>
        </w:rPr>
        <w:t>OFDM PHY preamble</w:t>
      </w:r>
      <w:r w:rsidRPr="000F3204">
        <w:rPr>
          <w:rFonts w:ascii="TimesNewRomanPSMT" w:eastAsia="TimesNewRomanPSMT" w:cs="TimesNewRomanPSMT"/>
          <w:color w:val="FF0000"/>
          <w:sz w:val="20"/>
        </w:rPr>
        <w:t xml:space="preserve"> </w:t>
      </w:r>
      <w:r>
        <w:rPr>
          <w:rFonts w:ascii="TimesNewRomanPSMT" w:eastAsia="TimesNewRomanPSMT" w:cs="TimesNewRomanPSMT"/>
          <w:color w:val="000000"/>
          <w:sz w:val="20"/>
        </w:rPr>
        <w:t xml:space="preserve">LENGTH field </w:t>
      </w:r>
      <w:r w:rsidRPr="000F3204">
        <w:rPr>
          <w:rFonts w:ascii="TimesNewRomanPSMT" w:eastAsia="TimesNewRomanPSMT" w:cs="TimesNewRomanPSMT"/>
          <w:color w:val="FF0000"/>
          <w:sz w:val="20"/>
          <w:u w:val="single"/>
        </w:rPr>
        <w:t>of the SIGNAL field</w:t>
      </w:r>
      <w:r>
        <w:rPr>
          <w:rFonts w:ascii="TimesNewRomanPSMT" w:eastAsia="TimesNewRomanPSMT" w:cs="TimesNewRomanPSMT"/>
          <w:color w:val="000000"/>
          <w:sz w:val="20"/>
        </w:rPr>
        <w:t>.</w:t>
      </w:r>
    </w:p>
    <w:p w:rsidR="00FB2A7A" w:rsidRDefault="00FB2A7A" w:rsidP="00FB2A7A"/>
    <w:p w:rsidR="00FB2A7A" w:rsidRDefault="00FB2A7A" w:rsidP="00FB2A7A">
      <w:pPr>
        <w:rPr>
          <w:b/>
        </w:rPr>
      </w:pPr>
      <w:r w:rsidRPr="00FB2A7A">
        <w:rPr>
          <w:b/>
        </w:rPr>
        <w:t>Page 2931, line 57:</w:t>
      </w:r>
    </w:p>
    <w:p w:rsidR="00FB2A7A" w:rsidRPr="00FB2A7A" w:rsidRDefault="00FB2A7A" w:rsidP="00FB2A7A">
      <w:pPr>
        <w:rPr>
          <w:b/>
        </w:rPr>
      </w:pPr>
    </w:p>
    <w:p w:rsidR="00FB2A7A" w:rsidRDefault="00FB2A7A" w:rsidP="00FB2A7A">
      <w:pPr>
        <w:autoSpaceDE w:val="0"/>
        <w:autoSpaceDN w:val="0"/>
        <w:adjustRightInd w:val="0"/>
      </w:pPr>
      <w:r>
        <w:rPr>
          <w:rFonts w:ascii="TimesNewRomanPSMT" w:eastAsia="TimesNewRomanPSMT" w:cs="TimesNewRomanPSMT"/>
          <w:sz w:val="20"/>
        </w:rPr>
        <w:t>The received PSDU bits are assembled into octets, decoded, and presented to the MAC using a series of PHY-</w:t>
      </w:r>
      <w:proofErr w:type="spellStart"/>
      <w:r>
        <w:rPr>
          <w:rFonts w:ascii="TimesNewRomanPSMT" w:eastAsia="TimesNewRomanPSMT" w:cs="TimesNewRomanPSMT"/>
          <w:sz w:val="20"/>
        </w:rPr>
        <w:t>DATA.indication</w:t>
      </w:r>
      <w:proofErr w:type="spellEnd"/>
      <w:r>
        <w:rPr>
          <w:rFonts w:ascii="TimesNewRomanPSMT" w:eastAsia="TimesNewRomanPSMT" w:cs="TimesNewRomanPSMT"/>
          <w:sz w:val="20"/>
        </w:rPr>
        <w:t xml:space="preserve">(DATA) primitive exchanges. The rate change indicated in the SIGNAL field shall be initiated from the SERVICE field data of the PHY header, as described in 17.3.2 (PPDU format). The PHY shall proceed with PSDU reception. After the reception of the final bit of the last PSDU octet indicated by the </w:t>
      </w:r>
      <w:r w:rsidRPr="000F3204">
        <w:rPr>
          <w:rFonts w:ascii="TimesNewRomanPSMT" w:eastAsia="TimesNewRomanPSMT" w:cs="TimesNewRomanPSMT"/>
          <w:strike/>
          <w:color w:val="FF0000"/>
          <w:sz w:val="20"/>
        </w:rPr>
        <w:t>PHY preamble</w:t>
      </w:r>
      <w:r w:rsidRPr="000F3204">
        <w:rPr>
          <w:rFonts w:ascii="TimesNewRomanPSMT" w:eastAsia="TimesNewRomanPSMT" w:cs="TimesNewRomanPSMT"/>
          <w:color w:val="FF0000"/>
          <w:sz w:val="20"/>
        </w:rPr>
        <w:t xml:space="preserve"> </w:t>
      </w:r>
      <w:r>
        <w:rPr>
          <w:rFonts w:ascii="TimesNewRomanPSMT" w:eastAsia="TimesNewRomanPSMT" w:cs="TimesNewRomanPSMT"/>
          <w:sz w:val="20"/>
        </w:rPr>
        <w:t xml:space="preserve">LENGTH field </w:t>
      </w:r>
      <w:r w:rsidRPr="000F3204">
        <w:rPr>
          <w:rFonts w:ascii="TimesNewRomanPSMT" w:eastAsia="TimesNewRomanPSMT" w:cs="TimesNewRomanPSMT"/>
          <w:color w:val="FF0000"/>
          <w:sz w:val="20"/>
          <w:u w:val="single"/>
        </w:rPr>
        <w:t>of the SIGNAL field</w:t>
      </w:r>
      <w:r>
        <w:rPr>
          <w:rFonts w:ascii="TimesNewRomanPSMT" w:eastAsia="TimesNewRomanPSMT" w:cs="TimesNewRomanPSMT"/>
          <w:sz w:val="20"/>
        </w:rPr>
        <w:t xml:space="preserve">, the receiver shall be returned to the RX IDLE state, as shown in Figure 17-19 (Receive </w:t>
      </w:r>
      <w:proofErr w:type="gramStart"/>
      <w:r>
        <w:rPr>
          <w:rFonts w:ascii="TimesNewRomanPSMT" w:eastAsia="TimesNewRomanPSMT" w:cs="TimesNewRomanPSMT"/>
          <w:sz w:val="20"/>
        </w:rPr>
        <w:t>PHY(</w:t>
      </w:r>
      <w:proofErr w:type="gramEnd"/>
      <w:r>
        <w:rPr>
          <w:rFonts w:ascii="TimesNewRomanPSMT" w:eastAsia="TimesNewRomanPSMT" w:cs="TimesNewRomanPSMT"/>
          <w:sz w:val="20"/>
        </w:rPr>
        <w:t>#1002)). A PHY-</w:t>
      </w:r>
      <w:proofErr w:type="spellStart"/>
      <w:r>
        <w:rPr>
          <w:rFonts w:ascii="TimesNewRomanPSMT" w:eastAsia="TimesNewRomanPSMT" w:cs="TimesNewRomanPSMT"/>
          <w:sz w:val="20"/>
        </w:rPr>
        <w:t>RXEND.indication</w:t>
      </w:r>
      <w:proofErr w:type="spellEnd"/>
      <w:r>
        <w:rPr>
          <w:rFonts w:ascii="TimesNewRomanPSMT" w:eastAsia="TimesNewRomanPSMT" w:cs="TimesNewRomanPSMT"/>
          <w:sz w:val="20"/>
        </w:rPr>
        <w:t>(</w:t>
      </w:r>
      <w:proofErr w:type="spellStart"/>
      <w:r>
        <w:rPr>
          <w:rFonts w:ascii="TimesNewRomanPSMT" w:eastAsia="TimesNewRomanPSMT" w:cs="TimesNewRomanPSMT"/>
          <w:sz w:val="20"/>
        </w:rPr>
        <w:t>NoError</w:t>
      </w:r>
      <w:proofErr w:type="spellEnd"/>
      <w:r>
        <w:rPr>
          <w:rFonts w:ascii="TimesNewRomanPSMT" w:eastAsia="TimesNewRomanPSMT" w:cs="TimesNewRomanPSMT"/>
          <w:sz w:val="20"/>
        </w:rPr>
        <w:t>) primitive shall be issued.</w:t>
      </w:r>
    </w:p>
    <w:p w:rsidR="00C728EE" w:rsidRPr="00545651" w:rsidRDefault="00C728EE" w:rsidP="00C728EE"/>
    <w:p w:rsidR="00545651" w:rsidRDefault="00545651" w:rsidP="00831D8C">
      <w:bookmarkStart w:id="0" w:name="_GoBack"/>
      <w:bookmarkEnd w:id="0"/>
    </w:p>
    <w:sectPr w:rsidR="00545651">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38A6" w:rsidRDefault="002F38A6">
      <w:r>
        <w:separator/>
      </w:r>
    </w:p>
  </w:endnote>
  <w:endnote w:type="continuationSeparator" w:id="0">
    <w:p w:rsidR="002F38A6" w:rsidRDefault="002F3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Arial-Bold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E31410">
    <w:pPr>
      <w:pStyle w:val="Footer"/>
      <w:tabs>
        <w:tab w:val="clear" w:pos="6480"/>
        <w:tab w:val="center" w:pos="4680"/>
        <w:tab w:val="right" w:pos="9360"/>
      </w:tabs>
    </w:pPr>
    <w:fldSimple w:instr=" SUBJECT  \* MERGEFORMAT ">
      <w:r w:rsidR="00416CC2">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831D8C">
      <w:t>Sigurd Schelstraete, Quantenna</w:t>
    </w:r>
    <w:r w:rsidR="00B904CD">
      <w:fldChar w:fldCharType="begin"/>
    </w:r>
    <w:r w:rsidR="00B904CD">
      <w:instrText xml:space="preserve"> COMMENTS  \* MERGEFORMAT </w:instrText>
    </w:r>
    <w:r w:rsidR="00B904CD">
      <w:fldChar w:fldCharType="end"/>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38A6" w:rsidRDefault="002F38A6">
      <w:r>
        <w:separator/>
      </w:r>
    </w:p>
  </w:footnote>
  <w:footnote w:type="continuationSeparator" w:id="0">
    <w:p w:rsidR="002F38A6" w:rsidRDefault="002F3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583F99">
    <w:pPr>
      <w:pStyle w:val="Header"/>
      <w:tabs>
        <w:tab w:val="clear" w:pos="6480"/>
        <w:tab w:val="center" w:pos="4680"/>
        <w:tab w:val="right" w:pos="9360"/>
      </w:tabs>
    </w:pPr>
    <w:r>
      <w:t>March 2019</w:t>
    </w:r>
    <w:r w:rsidR="0029020B">
      <w:tab/>
    </w:r>
    <w:r w:rsidR="0029020B">
      <w:tab/>
    </w:r>
    <w:fldSimple w:instr=" TITLE  \* MERGEFORMAT ">
      <w:r w:rsidR="00416CC2">
        <w:t>doc.: IEEE 802.11-</w:t>
      </w:r>
      <w:r>
        <w:t>19/</w:t>
      </w:r>
      <w:r w:rsidR="0049014E">
        <w:t>0336</w:t>
      </w:r>
    </w:fldSimple>
    <w:r w:rsidR="000371D8">
      <w:t>r1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43F7B"/>
    <w:multiLevelType w:val="hybridMultilevel"/>
    <w:tmpl w:val="92D68AC4"/>
    <w:lvl w:ilvl="0" w:tplc="55480F2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44A7C93"/>
    <w:multiLevelType w:val="hybridMultilevel"/>
    <w:tmpl w:val="32E4D760"/>
    <w:lvl w:ilvl="0" w:tplc="A798DF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CC2"/>
    <w:rsid w:val="00010B01"/>
    <w:rsid w:val="000371D8"/>
    <w:rsid w:val="000A21DD"/>
    <w:rsid w:val="0011718A"/>
    <w:rsid w:val="00171E11"/>
    <w:rsid w:val="001D723B"/>
    <w:rsid w:val="001F7414"/>
    <w:rsid w:val="0029020B"/>
    <w:rsid w:val="002924F1"/>
    <w:rsid w:val="002944F8"/>
    <w:rsid w:val="002D44BE"/>
    <w:rsid w:val="002F38A6"/>
    <w:rsid w:val="0030740B"/>
    <w:rsid w:val="003D01A0"/>
    <w:rsid w:val="00416CC2"/>
    <w:rsid w:val="00442037"/>
    <w:rsid w:val="0049014E"/>
    <w:rsid w:val="004B064B"/>
    <w:rsid w:val="005177C3"/>
    <w:rsid w:val="00545651"/>
    <w:rsid w:val="00583F99"/>
    <w:rsid w:val="005B3B79"/>
    <w:rsid w:val="005F0F37"/>
    <w:rsid w:val="0062440B"/>
    <w:rsid w:val="006C0727"/>
    <w:rsid w:val="006D2AE3"/>
    <w:rsid w:val="006E145F"/>
    <w:rsid w:val="007224D2"/>
    <w:rsid w:val="00770572"/>
    <w:rsid w:val="007960DA"/>
    <w:rsid w:val="00831D8C"/>
    <w:rsid w:val="008455D1"/>
    <w:rsid w:val="008525A0"/>
    <w:rsid w:val="00877143"/>
    <w:rsid w:val="009821D0"/>
    <w:rsid w:val="009B0EE5"/>
    <w:rsid w:val="009F2FBC"/>
    <w:rsid w:val="00A27F48"/>
    <w:rsid w:val="00A94B8C"/>
    <w:rsid w:val="00AA427C"/>
    <w:rsid w:val="00AC07E1"/>
    <w:rsid w:val="00AC1EC0"/>
    <w:rsid w:val="00B62461"/>
    <w:rsid w:val="00B904CD"/>
    <w:rsid w:val="00BE2CE9"/>
    <w:rsid w:val="00BE68C2"/>
    <w:rsid w:val="00C60928"/>
    <w:rsid w:val="00C728EE"/>
    <w:rsid w:val="00CA09B2"/>
    <w:rsid w:val="00D91E61"/>
    <w:rsid w:val="00DC5A7B"/>
    <w:rsid w:val="00E31410"/>
    <w:rsid w:val="00E46598"/>
    <w:rsid w:val="00E51A0C"/>
    <w:rsid w:val="00E5698E"/>
    <w:rsid w:val="00EA770A"/>
    <w:rsid w:val="00EC4F04"/>
    <w:rsid w:val="00ED663C"/>
    <w:rsid w:val="00F63E2A"/>
    <w:rsid w:val="00FB2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87DCD4"/>
  <w15:chartTrackingRefBased/>
  <w15:docId w15:val="{21CF9DB8-A398-4E42-A6EC-BF4ACF972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uiPriority w:val="39"/>
    <w:rsid w:val="00E51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0B01"/>
    <w:pPr>
      <w:ind w:left="720"/>
    </w:pPr>
    <w:rPr>
      <w:rFonts w:ascii="Calibri" w:eastAsiaTheme="minorHAnsi" w:hAnsi="Calibri" w:cs="Calibr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148308">
      <w:bodyDiv w:val="1"/>
      <w:marLeft w:val="0"/>
      <w:marRight w:val="0"/>
      <w:marTop w:val="0"/>
      <w:marBottom w:val="0"/>
      <w:divBdr>
        <w:top w:val="none" w:sz="0" w:space="0" w:color="auto"/>
        <w:left w:val="none" w:sz="0" w:space="0" w:color="auto"/>
        <w:bottom w:val="none" w:sz="0" w:space="0" w:color="auto"/>
        <w:right w:val="none" w:sz="0" w:space="0" w:color="auto"/>
      </w:divBdr>
    </w:div>
    <w:div w:id="612904132">
      <w:bodyDiv w:val="1"/>
      <w:marLeft w:val="0"/>
      <w:marRight w:val="0"/>
      <w:marTop w:val="0"/>
      <w:marBottom w:val="0"/>
      <w:divBdr>
        <w:top w:val="none" w:sz="0" w:space="0" w:color="auto"/>
        <w:left w:val="none" w:sz="0" w:space="0" w:color="auto"/>
        <w:bottom w:val="none" w:sz="0" w:space="0" w:color="auto"/>
        <w:right w:val="none" w:sz="0" w:space="0" w:color="auto"/>
      </w:divBdr>
    </w:div>
    <w:div w:id="915936665">
      <w:bodyDiv w:val="1"/>
      <w:marLeft w:val="0"/>
      <w:marRight w:val="0"/>
      <w:marTop w:val="0"/>
      <w:marBottom w:val="0"/>
      <w:divBdr>
        <w:top w:val="none" w:sz="0" w:space="0" w:color="auto"/>
        <w:left w:val="none" w:sz="0" w:space="0" w:color="auto"/>
        <w:bottom w:val="none" w:sz="0" w:space="0" w:color="auto"/>
        <w:right w:val="none" w:sz="0" w:space="0" w:color="auto"/>
      </w:divBdr>
    </w:div>
    <w:div w:id="1569221110">
      <w:bodyDiv w:val="1"/>
      <w:marLeft w:val="0"/>
      <w:marRight w:val="0"/>
      <w:marTop w:val="0"/>
      <w:marBottom w:val="0"/>
      <w:divBdr>
        <w:top w:val="none" w:sz="0" w:space="0" w:color="auto"/>
        <w:left w:val="none" w:sz="0" w:space="0" w:color="auto"/>
        <w:bottom w:val="none" w:sz="0" w:space="0" w:color="auto"/>
        <w:right w:val="none" w:sz="0" w:space="0" w:color="auto"/>
      </w:divBdr>
    </w:div>
    <w:div w:id="1712605284">
      <w:bodyDiv w:val="1"/>
      <w:marLeft w:val="0"/>
      <w:marRight w:val="0"/>
      <w:marTop w:val="0"/>
      <w:marBottom w:val="0"/>
      <w:divBdr>
        <w:top w:val="none" w:sz="0" w:space="0" w:color="auto"/>
        <w:left w:val="none" w:sz="0" w:space="0" w:color="auto"/>
        <w:bottom w:val="none" w:sz="0" w:space="0" w:color="auto"/>
        <w:right w:val="none" w:sz="0" w:space="0" w:color="auto"/>
      </w:divBdr>
    </w:div>
    <w:div w:id="172506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1\AppData\Local\Tem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5</TotalTime>
  <Pages>7</Pages>
  <Words>1207</Words>
  <Characters>6882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Quantenna Communications</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Sigurd Schelstraete</dc:creator>
  <cp:keywords>Month Year</cp:keywords>
  <dc:description/>
  <cp:lastModifiedBy>Sigurd Schelstraete</cp:lastModifiedBy>
  <cp:revision>6</cp:revision>
  <cp:lastPrinted>1900-01-01T08:00:00Z</cp:lastPrinted>
  <dcterms:created xsi:type="dcterms:W3CDTF">2019-03-06T08:01:00Z</dcterms:created>
  <dcterms:modified xsi:type="dcterms:W3CDTF">2019-03-12T16:19:00Z</dcterms:modified>
</cp:coreProperties>
</file>