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C17E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25"/>
        <w:gridCol w:w="1455"/>
        <w:gridCol w:w="1080"/>
        <w:gridCol w:w="3641"/>
      </w:tblGrid>
      <w:tr w:rsidR="00CA09B2" w14:paraId="5F854C65" w14:textId="77777777" w:rsidTr="00606E3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7CBDAC" w14:textId="3EEC3682" w:rsidR="00CA09B2" w:rsidRDefault="00D6244A">
            <w:pPr>
              <w:pStyle w:val="T2"/>
            </w:pPr>
            <w:r>
              <w:t xml:space="preserve">CID </w:t>
            </w:r>
            <w:r w:rsidR="00B33D2B">
              <w:t>3579</w:t>
            </w:r>
            <w:r w:rsidR="005E742E">
              <w:t xml:space="preserve"> Reso</w:t>
            </w:r>
            <w:r w:rsidR="002B5F98">
              <w:t>l</w:t>
            </w:r>
            <w:r w:rsidR="005E742E">
              <w:t>ution</w:t>
            </w:r>
            <w:r w:rsidR="00A5531A">
              <w:t xml:space="preserve"> - ACI</w:t>
            </w:r>
          </w:p>
        </w:tc>
      </w:tr>
      <w:tr w:rsidR="00CA09B2" w14:paraId="39D15B8F" w14:textId="77777777" w:rsidTr="00606E3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7D0A186" w14:textId="18F27A08" w:rsidR="00CA09B2" w:rsidRDefault="00CA09B2" w:rsidP="0023342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20C58">
              <w:rPr>
                <w:b w:val="0"/>
                <w:sz w:val="20"/>
                <w:lang w:val="en-US"/>
              </w:rPr>
              <w:t>201</w:t>
            </w:r>
            <w:r w:rsidR="00B55D22">
              <w:rPr>
                <w:b w:val="0"/>
                <w:sz w:val="20"/>
                <w:lang w:val="en-US"/>
              </w:rPr>
              <w:t>9</w:t>
            </w:r>
            <w:r w:rsidR="00F20C58">
              <w:rPr>
                <w:b w:val="0"/>
                <w:sz w:val="20"/>
                <w:lang w:val="en-US"/>
              </w:rPr>
              <w:t>-</w:t>
            </w:r>
            <w:r w:rsidR="00B55D22">
              <w:rPr>
                <w:b w:val="0"/>
                <w:sz w:val="20"/>
                <w:lang w:val="en-US"/>
              </w:rPr>
              <w:t>January</w:t>
            </w:r>
            <w:r w:rsidR="00F20C58">
              <w:rPr>
                <w:b w:val="0"/>
                <w:sz w:val="20"/>
                <w:lang w:val="en-US"/>
              </w:rPr>
              <w:t>-</w:t>
            </w:r>
            <w:r w:rsidR="00B55D22">
              <w:rPr>
                <w:b w:val="0"/>
                <w:sz w:val="20"/>
                <w:lang w:val="en-US"/>
              </w:rPr>
              <w:t>14</w:t>
            </w:r>
          </w:p>
        </w:tc>
      </w:tr>
      <w:tr w:rsidR="00CA09B2" w14:paraId="68480E96" w14:textId="77777777" w:rsidTr="00606E3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FB25A8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4696822" w14:textId="77777777" w:rsidTr="00802100">
        <w:trPr>
          <w:jc w:val="center"/>
        </w:trPr>
        <w:tc>
          <w:tcPr>
            <w:tcW w:w="1975" w:type="dxa"/>
            <w:vAlign w:val="center"/>
          </w:tcPr>
          <w:p w14:paraId="2F6482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25" w:type="dxa"/>
            <w:vAlign w:val="center"/>
          </w:tcPr>
          <w:p w14:paraId="3DDC67A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4B8280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80" w:type="dxa"/>
            <w:vAlign w:val="center"/>
          </w:tcPr>
          <w:p w14:paraId="6877B7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641" w:type="dxa"/>
            <w:vAlign w:val="center"/>
          </w:tcPr>
          <w:p w14:paraId="53C129B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02100" w14:paraId="35957E8D" w14:textId="77777777" w:rsidTr="00802100">
        <w:trPr>
          <w:jc w:val="center"/>
        </w:trPr>
        <w:tc>
          <w:tcPr>
            <w:tcW w:w="1975" w:type="dxa"/>
          </w:tcPr>
          <w:p w14:paraId="66844851" w14:textId="4A497DA0" w:rsidR="00802100" w:rsidRDefault="00802100" w:rsidP="00A527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02100">
              <w:rPr>
                <w:b w:val="0"/>
                <w:sz w:val="20"/>
              </w:rPr>
              <w:t>Alecsander Eitan</w:t>
            </w:r>
          </w:p>
        </w:tc>
        <w:tc>
          <w:tcPr>
            <w:tcW w:w="1425" w:type="dxa"/>
          </w:tcPr>
          <w:p w14:paraId="7BD73D8A" w14:textId="00653507" w:rsidR="00802100" w:rsidRDefault="00802100" w:rsidP="00A527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02100">
              <w:rPr>
                <w:b w:val="0"/>
                <w:sz w:val="20"/>
              </w:rPr>
              <w:t>Qualcomm</w:t>
            </w:r>
          </w:p>
        </w:tc>
        <w:tc>
          <w:tcPr>
            <w:tcW w:w="1455" w:type="dxa"/>
          </w:tcPr>
          <w:p w14:paraId="0B60C97A" w14:textId="77777777" w:rsidR="00802100" w:rsidRPr="00802100" w:rsidRDefault="00802100" w:rsidP="00A527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080" w:type="dxa"/>
          </w:tcPr>
          <w:p w14:paraId="1B1E07FE" w14:textId="77777777" w:rsidR="00802100" w:rsidRDefault="00802100" w:rsidP="00A527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641" w:type="dxa"/>
          </w:tcPr>
          <w:p w14:paraId="6A25575D" w14:textId="45AFEF1C" w:rsidR="00802100" w:rsidRPr="00802100" w:rsidRDefault="00802100" w:rsidP="00A527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02100">
              <w:rPr>
                <w:b w:val="0"/>
                <w:sz w:val="20"/>
              </w:rPr>
              <w:t>eitana@qti.qualcomm.com</w:t>
            </w:r>
          </w:p>
        </w:tc>
      </w:tr>
      <w:tr w:rsidR="00802100" w14:paraId="7F126A66" w14:textId="77777777" w:rsidTr="00802100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070A" w14:textId="0974ED67" w:rsidR="00802100" w:rsidRDefault="00802100" w:rsidP="00A527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02100">
              <w:rPr>
                <w:b w:val="0"/>
                <w:sz w:val="20"/>
              </w:rPr>
              <w:t>Assaf Kasher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C288" w14:textId="65C43D51" w:rsidR="00802100" w:rsidRDefault="00802100" w:rsidP="00A527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02100">
              <w:rPr>
                <w:b w:val="0"/>
                <w:sz w:val="20"/>
              </w:rPr>
              <w:t>Qualcomm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A237" w14:textId="78B37842" w:rsidR="00802100" w:rsidRDefault="00802100" w:rsidP="00A527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E467" w14:textId="2B65BA94" w:rsidR="00802100" w:rsidRDefault="00802100" w:rsidP="00A527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4E1C" w14:textId="34712F68" w:rsidR="00802100" w:rsidRPr="00802100" w:rsidRDefault="00802100" w:rsidP="00A527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02100">
              <w:rPr>
                <w:b w:val="0"/>
                <w:sz w:val="20"/>
              </w:rPr>
              <w:t>akasher@qti.qualcomm.com</w:t>
            </w:r>
          </w:p>
        </w:tc>
      </w:tr>
      <w:tr w:rsidR="00802100" w14:paraId="1B280423" w14:textId="77777777" w:rsidTr="00802100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05B" w14:textId="75348098" w:rsidR="00802100" w:rsidRDefault="00802100" w:rsidP="00A527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02100">
              <w:rPr>
                <w:b w:val="0"/>
                <w:sz w:val="20"/>
              </w:rPr>
              <w:t>Solomon Trainin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EBEF" w14:textId="7A3642EC" w:rsidR="00802100" w:rsidRDefault="00802100" w:rsidP="00A527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02100">
              <w:rPr>
                <w:b w:val="0"/>
                <w:sz w:val="20"/>
              </w:rPr>
              <w:t>Qualcomm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DE21" w14:textId="77777777" w:rsidR="00802100" w:rsidRDefault="00802100" w:rsidP="00A527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8712" w14:textId="77777777" w:rsidR="00802100" w:rsidRDefault="00802100" w:rsidP="00A527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8F23" w14:textId="0EB253BE" w:rsidR="00802100" w:rsidRPr="00802100" w:rsidRDefault="00802100" w:rsidP="00A527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02100">
              <w:rPr>
                <w:b w:val="0"/>
                <w:sz w:val="20"/>
              </w:rPr>
              <w:t>strainin@qti.qualcomm.com</w:t>
            </w:r>
          </w:p>
        </w:tc>
      </w:tr>
    </w:tbl>
    <w:p w14:paraId="4324B30D" w14:textId="77777777" w:rsidR="00CA09B2" w:rsidRDefault="00383E8F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6C08E5" wp14:editId="149E1FC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76D81" w14:textId="77777777" w:rsidR="007A6E0B" w:rsidRDefault="007A6E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47DF76" w14:textId="5EE084F0" w:rsidR="007A6E0B" w:rsidRDefault="007A6E0B" w:rsidP="00DF5DA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 comment</w:t>
                            </w:r>
                            <w:r>
                              <w:rPr>
                                <w:lang w:eastAsia="ko-KR"/>
                              </w:rPr>
                              <w:t xml:space="preserve"> 35</w:t>
                            </w:r>
                            <w:r w:rsidR="00A5531A">
                              <w:rPr>
                                <w:lang w:eastAsia="ko-KR"/>
                              </w:rPr>
                              <w:t>79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received from TGa</w:t>
                            </w:r>
                            <w:r>
                              <w:rPr>
                                <w:lang w:eastAsia="ko-KR"/>
                              </w:rPr>
                              <w:t>y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LB2</w:t>
                            </w:r>
                            <w:r>
                              <w:rPr>
                                <w:lang w:eastAsia="ko-KR"/>
                              </w:rPr>
                              <w:t xml:space="preserve">34. </w:t>
                            </w:r>
                          </w:p>
                          <w:p w14:paraId="5C7CA239" w14:textId="77777777" w:rsidR="007A6E0B" w:rsidRDefault="007A6E0B" w:rsidP="005B5901">
                            <w:pPr>
                              <w:jc w:val="both"/>
                            </w:pPr>
                          </w:p>
                          <w:p w14:paraId="0F36FBE9" w14:textId="4AFA2D4F" w:rsidR="007A6E0B" w:rsidRDefault="007A6E0B" w:rsidP="005B5901">
                            <w:pPr>
                              <w:jc w:val="both"/>
                            </w:pPr>
                            <w:r>
                              <w:t>The resolutions are in reference to Draft IEEE P802.11ay/D2.</w:t>
                            </w:r>
                            <w:r w:rsidR="008F241F">
                              <w:t>2</w:t>
                            </w:r>
                            <w:r>
                              <w:t xml:space="preserve"> and IEEE 802.11-2016.</w:t>
                            </w:r>
                          </w:p>
                          <w:p w14:paraId="66DF4F4B" w14:textId="77777777" w:rsidR="007A6E0B" w:rsidRDefault="007A6E0B" w:rsidP="007F7EE4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7841602" w14:textId="5AD0B433" w:rsidR="007A6E0B" w:rsidRDefault="007A6E0B" w:rsidP="00A051B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C08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26D76D81" w14:textId="77777777" w:rsidR="007A6E0B" w:rsidRDefault="007A6E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47DF76" w14:textId="5EE084F0" w:rsidR="007A6E0B" w:rsidRDefault="007A6E0B" w:rsidP="00DF5DAE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 comment</w:t>
                      </w:r>
                      <w:r>
                        <w:rPr>
                          <w:lang w:eastAsia="ko-KR"/>
                        </w:rPr>
                        <w:t xml:space="preserve"> 35</w:t>
                      </w:r>
                      <w:r w:rsidR="00A5531A">
                        <w:rPr>
                          <w:lang w:eastAsia="ko-KR"/>
                        </w:rPr>
                        <w:t>79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received from TGa</w:t>
                      </w:r>
                      <w:r>
                        <w:rPr>
                          <w:lang w:eastAsia="ko-KR"/>
                        </w:rPr>
                        <w:t>y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LB2</w:t>
                      </w:r>
                      <w:r>
                        <w:rPr>
                          <w:lang w:eastAsia="ko-KR"/>
                        </w:rPr>
                        <w:t xml:space="preserve">34. </w:t>
                      </w:r>
                    </w:p>
                    <w:p w14:paraId="5C7CA239" w14:textId="77777777" w:rsidR="007A6E0B" w:rsidRDefault="007A6E0B" w:rsidP="005B5901">
                      <w:pPr>
                        <w:jc w:val="both"/>
                      </w:pPr>
                    </w:p>
                    <w:p w14:paraId="0F36FBE9" w14:textId="4AFA2D4F" w:rsidR="007A6E0B" w:rsidRDefault="007A6E0B" w:rsidP="005B5901">
                      <w:pPr>
                        <w:jc w:val="both"/>
                      </w:pPr>
                      <w:r>
                        <w:t>The resolutions are in reference to Draft IEEE P802.11ay/D2.</w:t>
                      </w:r>
                      <w:r w:rsidR="008F241F">
                        <w:t>2</w:t>
                      </w:r>
                      <w:r>
                        <w:t xml:space="preserve"> and IEEE 802.11-2016.</w:t>
                      </w:r>
                    </w:p>
                    <w:p w14:paraId="66DF4F4B" w14:textId="77777777" w:rsidR="007A6E0B" w:rsidRDefault="007A6E0B" w:rsidP="007F7EE4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7841602" w14:textId="5AD0B433" w:rsidR="007A6E0B" w:rsidRDefault="007A6E0B" w:rsidP="00A051B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C1185AD" w14:textId="47BB7A27" w:rsidR="00C32AD8" w:rsidRDefault="00CA09B2" w:rsidP="009D6203">
      <w:r>
        <w:br w:type="page"/>
      </w:r>
    </w:p>
    <w:tbl>
      <w:tblPr>
        <w:tblW w:w="7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14"/>
        <w:gridCol w:w="1156"/>
        <w:gridCol w:w="2625"/>
        <w:gridCol w:w="2628"/>
      </w:tblGrid>
      <w:tr w:rsidR="00D6244A" w:rsidRPr="00A22C39" w14:paraId="118AEBF8" w14:textId="77777777" w:rsidTr="00DF5DAE">
        <w:trPr>
          <w:trHeight w:val="600"/>
        </w:trPr>
        <w:tc>
          <w:tcPr>
            <w:tcW w:w="663" w:type="dxa"/>
            <w:shd w:val="clear" w:color="auto" w:fill="auto"/>
            <w:hideMark/>
          </w:tcPr>
          <w:p w14:paraId="09747E7B" w14:textId="4DE41B5E" w:rsidR="00D6244A" w:rsidRDefault="00A527BC" w:rsidP="00D6244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35</w:t>
            </w:r>
            <w:r w:rsidR="005B6056">
              <w:rPr>
                <w:rFonts w:ascii="Calibri" w:hAnsi="Calibri" w:cs="Calibri" w:hint="cs"/>
                <w:color w:val="000000"/>
                <w:szCs w:val="22"/>
                <w:rtl/>
                <w:lang w:bidi="he-IL"/>
              </w:rPr>
              <w:t>79</w:t>
            </w:r>
          </w:p>
          <w:p w14:paraId="4298EDC0" w14:textId="2F753457" w:rsidR="00D6244A" w:rsidRPr="00A22C39" w:rsidRDefault="00D6244A" w:rsidP="00D6244A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914" w:type="dxa"/>
            <w:shd w:val="clear" w:color="auto" w:fill="auto"/>
            <w:hideMark/>
          </w:tcPr>
          <w:p w14:paraId="7FE5B4B0" w14:textId="77777777" w:rsidR="00D6244A" w:rsidRPr="00A22C39" w:rsidRDefault="00D6244A" w:rsidP="00A527BC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1156" w:type="dxa"/>
            <w:shd w:val="clear" w:color="auto" w:fill="auto"/>
            <w:hideMark/>
          </w:tcPr>
          <w:p w14:paraId="2A51D141" w14:textId="72FDCEF8" w:rsidR="00D6244A" w:rsidRPr="00A22C39" w:rsidRDefault="00D6244A" w:rsidP="00A527BC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2625" w:type="dxa"/>
            <w:shd w:val="clear" w:color="auto" w:fill="auto"/>
            <w:hideMark/>
          </w:tcPr>
          <w:p w14:paraId="0265D793" w14:textId="4192C7A6" w:rsidR="00D6244A" w:rsidRPr="00A22C39" w:rsidRDefault="005B7AA7" w:rsidP="00D6244A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5B7AA7">
              <w:rPr>
                <w:rFonts w:ascii="Calibri" w:hAnsi="Calibri" w:cs="Calibri"/>
                <w:color w:val="000000"/>
                <w:szCs w:val="22"/>
              </w:rPr>
              <w:t>DMG is missing adjacent channel rejection (ACR) requirements</w:t>
            </w:r>
          </w:p>
        </w:tc>
        <w:tc>
          <w:tcPr>
            <w:tcW w:w="2628" w:type="dxa"/>
            <w:shd w:val="clear" w:color="auto" w:fill="auto"/>
            <w:hideMark/>
          </w:tcPr>
          <w:p w14:paraId="180BC612" w14:textId="6A067014" w:rsidR="00D6244A" w:rsidRPr="00A22C39" w:rsidRDefault="005B7AA7" w:rsidP="00D6244A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5B7AA7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As far as commenter can tell, all 802.11 PHYs have defined adjacent channel rejection (ACR) requirements, except DMG; define ACR requirements and decide </w:t>
            </w:r>
            <w:proofErr w:type="spellStart"/>
            <w:r w:rsidRPr="005B7AA7">
              <w:rPr>
                <w:rFonts w:ascii="Calibri" w:hAnsi="Calibri"/>
                <w:color w:val="000000"/>
                <w:szCs w:val="22"/>
                <w:lang w:val="en-US" w:bidi="he-IL"/>
              </w:rPr>
              <w:t>applicabiliy</w:t>
            </w:r>
            <w:proofErr w:type="spellEnd"/>
            <w:r w:rsidRPr="005B7AA7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. Suggested </w:t>
            </w:r>
            <w:proofErr w:type="spellStart"/>
            <w:r w:rsidRPr="005B7AA7">
              <w:rPr>
                <w:rFonts w:ascii="Calibri" w:hAnsi="Calibri"/>
                <w:color w:val="000000"/>
                <w:szCs w:val="22"/>
                <w:lang w:val="en-US" w:bidi="he-IL"/>
              </w:rPr>
              <w:t>applicabiliy</w:t>
            </w:r>
            <w:proofErr w:type="spellEnd"/>
            <w:r w:rsidRPr="005B7AA7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is to make the ACR requirements mandatory for all EDMG (covering channel bonding and </w:t>
            </w:r>
            <w:proofErr w:type="spellStart"/>
            <w:r w:rsidRPr="005B7AA7">
              <w:rPr>
                <w:rFonts w:ascii="Calibri" w:hAnsi="Calibri"/>
                <w:color w:val="000000"/>
                <w:szCs w:val="22"/>
                <w:lang w:val="en-US" w:bidi="he-IL"/>
              </w:rPr>
              <w:t>agregation</w:t>
            </w:r>
            <w:proofErr w:type="spellEnd"/>
            <w:r w:rsidRPr="005B7AA7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combinations), mandatory for DMG devices operating in TDD mode, and recommended for remaining DMG devices.</w:t>
            </w:r>
          </w:p>
        </w:tc>
      </w:tr>
    </w:tbl>
    <w:p w14:paraId="6EE230F7" w14:textId="77777777" w:rsidR="00300A60" w:rsidRDefault="00300A60" w:rsidP="009D6203"/>
    <w:p w14:paraId="68FB2A54" w14:textId="77777777" w:rsidR="00F93041" w:rsidRDefault="00F93041" w:rsidP="009D6203"/>
    <w:p w14:paraId="55226572" w14:textId="697C84AF" w:rsidR="001061A2" w:rsidRPr="00F93041" w:rsidRDefault="00A601C7" w:rsidP="009D6203">
      <w:pPr>
        <w:rPr>
          <w:b/>
          <w:bCs/>
          <w:u w:val="single"/>
        </w:rPr>
      </w:pPr>
      <w:r w:rsidRPr="00F93041">
        <w:rPr>
          <w:b/>
          <w:bCs/>
          <w:u w:val="single"/>
        </w:rPr>
        <w:t>Discussion:</w:t>
      </w:r>
    </w:p>
    <w:p w14:paraId="69FE61DA" w14:textId="77777777" w:rsidR="00584689" w:rsidRDefault="00584689" w:rsidP="009D6203"/>
    <w:p w14:paraId="7E81679F" w14:textId="506093E2" w:rsidR="005B7AA7" w:rsidRDefault="00584689" w:rsidP="009D6203">
      <w:r>
        <w:t>Most</w:t>
      </w:r>
      <w:r w:rsidR="005B7AA7">
        <w:t xml:space="preserve"> PHYs </w:t>
      </w:r>
      <w:r>
        <w:t xml:space="preserve">in 802.11 </w:t>
      </w:r>
      <w:r w:rsidR="005B7AA7">
        <w:t>have ACI specifications</w:t>
      </w:r>
      <w:r>
        <w:t>, only DMG doesn’t.</w:t>
      </w:r>
    </w:p>
    <w:p w14:paraId="253BDBF2" w14:textId="77777777" w:rsidR="00584689" w:rsidRDefault="00584689" w:rsidP="009D6203"/>
    <w:p w14:paraId="12C2CB6F" w14:textId="4A7A5726" w:rsidR="00D868C1" w:rsidRDefault="005B7AA7" w:rsidP="009D6203">
      <w:r>
        <w:t xml:space="preserve">The ACI was discussed </w:t>
      </w:r>
      <w:r w:rsidR="006D042A">
        <w:t>in May 2018 meeting</w:t>
      </w:r>
      <w:r w:rsidR="00FF65D3">
        <w:t>, doc 18/0777r0.</w:t>
      </w:r>
    </w:p>
    <w:p w14:paraId="179E5E0E" w14:textId="77777777" w:rsidR="00584689" w:rsidRDefault="00584689" w:rsidP="009D6203"/>
    <w:p w14:paraId="5FA697EA" w14:textId="77178AD9" w:rsidR="00584689" w:rsidRDefault="00584689" w:rsidP="009D6203">
      <w:r>
        <w:t xml:space="preserve">Defining a good </w:t>
      </w:r>
      <w:r w:rsidR="00B33D2B">
        <w:t xml:space="preserve">ACI </w:t>
      </w:r>
      <w:r>
        <w:t xml:space="preserve">specification for </w:t>
      </w:r>
      <w:r w:rsidR="00B33D2B">
        <w:t xml:space="preserve">60GHz </w:t>
      </w:r>
      <w:r>
        <w:t xml:space="preserve">(DMG and EDMG) is more challenging </w:t>
      </w:r>
      <w:r w:rsidR="00AE1539">
        <w:t xml:space="preserve">for 60GHz PHY </w:t>
      </w:r>
      <w:r>
        <w:t>than for sub 6GHz PHYs</w:t>
      </w:r>
      <w:r w:rsidR="00AE1539">
        <w:t>:</w:t>
      </w:r>
    </w:p>
    <w:p w14:paraId="7C374CFB" w14:textId="7D3785A9" w:rsidR="00584689" w:rsidRDefault="00584689" w:rsidP="00584689">
      <w:pPr>
        <w:pStyle w:val="ListParagraph"/>
        <w:numPr>
          <w:ilvl w:val="0"/>
          <w:numId w:val="16"/>
        </w:numPr>
      </w:pPr>
      <w:r>
        <w:t xml:space="preserve">The beamforming is </w:t>
      </w:r>
      <w:proofErr w:type="spellStart"/>
      <w:r>
        <w:t>analog</w:t>
      </w:r>
      <w:proofErr w:type="spellEnd"/>
      <w:r>
        <w:t xml:space="preserve"> and various architectures are used. High ACR (</w:t>
      </w:r>
      <w:r w:rsidRPr="00584689">
        <w:t>adjacent channel rejection</w:t>
      </w:r>
      <w:r>
        <w:t xml:space="preserve">) impose challenging and architectures dependent requirements on the </w:t>
      </w:r>
      <w:proofErr w:type="spellStart"/>
      <w:r>
        <w:t>analog</w:t>
      </w:r>
      <w:proofErr w:type="spellEnd"/>
      <w:r>
        <w:t xml:space="preserve"> combiner.</w:t>
      </w:r>
    </w:p>
    <w:p w14:paraId="560FACD7" w14:textId="526712C0" w:rsidR="00584689" w:rsidRDefault="00584689" w:rsidP="00584689">
      <w:pPr>
        <w:pStyle w:val="ListParagraph"/>
        <w:numPr>
          <w:ilvl w:val="0"/>
          <w:numId w:val="16"/>
        </w:numPr>
      </w:pPr>
      <w:r>
        <w:t xml:space="preserve">RF technology is very challenging for commercial mmWave and therefore the receiver dynamic range is very limited. </w:t>
      </w:r>
      <w:r w:rsidR="00635310">
        <w:t xml:space="preserve">The channel filtering is usually performed in Low-IF or Base-Band. </w:t>
      </w:r>
      <w:r>
        <w:t>High ACR</w:t>
      </w:r>
      <w:r w:rsidR="00635310">
        <w:t xml:space="preserve"> (above few </w:t>
      </w:r>
      <w:bookmarkStart w:id="0" w:name="_GoBack"/>
      <w:r w:rsidR="00635310">
        <w:t>dB) require proportional DR increase.</w:t>
      </w:r>
    </w:p>
    <w:bookmarkEnd w:id="0"/>
    <w:p w14:paraId="574736A0" w14:textId="64F07E1D" w:rsidR="00635310" w:rsidRDefault="00635310" w:rsidP="00584689">
      <w:pPr>
        <w:pStyle w:val="ListParagraph"/>
        <w:numPr>
          <w:ilvl w:val="0"/>
          <w:numId w:val="16"/>
        </w:numPr>
      </w:pPr>
      <w:r>
        <w:t xml:space="preserve">The beamforming is </w:t>
      </w:r>
      <w:proofErr w:type="spellStart"/>
      <w:r>
        <w:t>analog</w:t>
      </w:r>
      <w:proofErr w:type="spellEnd"/>
      <w:r>
        <w:t xml:space="preserve"> and therefore the ACR is sector (AoA) dependent</w:t>
      </w:r>
      <w:r w:rsidR="006E4149">
        <w:t xml:space="preserve"> in </w:t>
      </w:r>
      <w:r w:rsidR="006E4149" w:rsidRPr="006E4149">
        <w:t>some implementations</w:t>
      </w:r>
      <w:r>
        <w:t>.</w:t>
      </w:r>
    </w:p>
    <w:p w14:paraId="64E1CFBA" w14:textId="39D256F4" w:rsidR="00FF65D3" w:rsidRDefault="00FF65D3" w:rsidP="00584689">
      <w:pPr>
        <w:pStyle w:val="ListParagraph"/>
        <w:numPr>
          <w:ilvl w:val="0"/>
          <w:numId w:val="16"/>
        </w:numPr>
      </w:pPr>
      <w:r>
        <w:t xml:space="preserve">Some DMG/EDMG devices are designed for short range communication, where expected received signal is very high and therefore low ACR (relative value) is </w:t>
      </w:r>
      <w:proofErr w:type="gramStart"/>
      <w:r>
        <w:t>sufficient</w:t>
      </w:r>
      <w:proofErr w:type="gramEnd"/>
      <w:r>
        <w:t>.</w:t>
      </w:r>
    </w:p>
    <w:p w14:paraId="555EAE9F" w14:textId="65A7DE0F" w:rsidR="00FF65D3" w:rsidRDefault="00FF65D3" w:rsidP="00584689">
      <w:pPr>
        <w:pStyle w:val="ListParagraph"/>
        <w:numPr>
          <w:ilvl w:val="0"/>
          <w:numId w:val="16"/>
        </w:numPr>
      </w:pPr>
      <w:r>
        <w:t xml:space="preserve">Some DMG/EDMG devices are designed to use high gain beamforming and very narrow beams. In this case the device can overcome ACI by using the beamforming, thus low ACR </w:t>
      </w:r>
      <w:r w:rsidR="006E4149">
        <w:t>might be</w:t>
      </w:r>
      <w:r>
        <w:t xml:space="preserve"> </w:t>
      </w:r>
      <w:proofErr w:type="gramStart"/>
      <w:r>
        <w:t>sufficient</w:t>
      </w:r>
      <w:proofErr w:type="gramEnd"/>
      <w:r>
        <w:t>.</w:t>
      </w:r>
    </w:p>
    <w:p w14:paraId="0B737DD3" w14:textId="77777777" w:rsidR="00584689" w:rsidRDefault="00584689" w:rsidP="009D6203"/>
    <w:p w14:paraId="391705C0" w14:textId="1BF49ABE" w:rsidR="00B33D2B" w:rsidRDefault="00B33D2B" w:rsidP="009D6203">
      <w:r>
        <w:t xml:space="preserve">A mild value, which we may agree to, </w:t>
      </w:r>
      <w:r w:rsidR="00FF65D3">
        <w:t>is significantly different than the ARC values presented in 18/0777r0</w:t>
      </w:r>
      <w:r>
        <w:t>.</w:t>
      </w:r>
    </w:p>
    <w:p w14:paraId="5A003756" w14:textId="77777777" w:rsidR="00584689" w:rsidRDefault="00584689" w:rsidP="009D6203"/>
    <w:p w14:paraId="2AF019CA" w14:textId="2F269F03" w:rsidR="00B33D2B" w:rsidRDefault="00B33D2B" w:rsidP="009D6203">
      <w:r>
        <w:t>FCC doesn’t have such requirement, while ETSI (EN 302 567</w:t>
      </w:r>
      <w:r w:rsidR="006E4149">
        <w:t xml:space="preserve"> V2.1.10</w:t>
      </w:r>
      <w:r>
        <w:t xml:space="preserve">) </w:t>
      </w:r>
      <w:r w:rsidR="00FA6A0F">
        <w:t>requires 2dB (ACI stronger than wanted signal by 2dB, tested in boresight only)</w:t>
      </w:r>
      <w:r>
        <w:t>.</w:t>
      </w:r>
    </w:p>
    <w:p w14:paraId="537CD12A" w14:textId="77777777" w:rsidR="00FA6A0F" w:rsidRDefault="00FA6A0F" w:rsidP="009D6203"/>
    <w:p w14:paraId="50AA1D53" w14:textId="03EE6CCB" w:rsidR="00B33D2B" w:rsidRDefault="00B33D2B" w:rsidP="009D6203">
      <w:r>
        <w:t xml:space="preserve">It is clear </w:t>
      </w:r>
      <w:r w:rsidR="00FA6A0F">
        <w:t>that</w:t>
      </w:r>
      <w:r>
        <w:t xml:space="preserve"> high end </w:t>
      </w:r>
      <w:r w:rsidR="00FA6A0F">
        <w:t xml:space="preserve">stations, like stations supporting </w:t>
      </w:r>
      <w:r>
        <w:t>TDD mode</w:t>
      </w:r>
      <w:r w:rsidR="00FF65D3">
        <w:t xml:space="preserve"> and used in distributed </w:t>
      </w:r>
      <w:proofErr w:type="spellStart"/>
      <w:r w:rsidR="00FF65D3">
        <w:t>netweorks</w:t>
      </w:r>
      <w:proofErr w:type="spellEnd"/>
      <w:r w:rsidR="00FA6A0F">
        <w:t>,</w:t>
      </w:r>
      <w:r>
        <w:t xml:space="preserve"> </w:t>
      </w:r>
      <w:r w:rsidR="00B55D22">
        <w:t>may</w:t>
      </w:r>
      <w:r>
        <w:t xml:space="preserve"> ha</w:t>
      </w:r>
      <w:r w:rsidR="00FA6A0F">
        <w:t>ve</w:t>
      </w:r>
      <w:r>
        <w:t xml:space="preserve"> a good AC</w:t>
      </w:r>
      <w:r w:rsidR="00FA6A0F">
        <w:t>R.</w:t>
      </w:r>
      <w:r>
        <w:t xml:space="preserve"> </w:t>
      </w:r>
      <w:r w:rsidR="00FA6A0F">
        <w:t>H</w:t>
      </w:r>
      <w:r>
        <w:t>ence it is suggested to add such ACI requirement to the vendor specific requirements.</w:t>
      </w:r>
    </w:p>
    <w:p w14:paraId="45880ED5" w14:textId="77777777" w:rsidR="00EE32F3" w:rsidRDefault="00EE32F3" w:rsidP="009D6203"/>
    <w:p w14:paraId="500D6748" w14:textId="77777777" w:rsidR="00F93041" w:rsidRDefault="00F93041" w:rsidP="009D6203"/>
    <w:p w14:paraId="4DE97F76" w14:textId="6CA28623" w:rsidR="00023A31" w:rsidRDefault="00023A31" w:rsidP="00023A31">
      <w:r>
        <w:rPr>
          <w:b/>
        </w:rPr>
        <w:t>Proposed resolution</w:t>
      </w:r>
      <w:r>
        <w:t xml:space="preserve">: </w:t>
      </w:r>
      <w:r w:rsidR="00B33D2B" w:rsidRPr="008F241F">
        <w:rPr>
          <w:b/>
          <w:bCs/>
        </w:rPr>
        <w:t>Reject</w:t>
      </w:r>
      <w:r w:rsidR="008F241F">
        <w:t xml:space="preserve"> - </w:t>
      </w:r>
      <w:r w:rsidR="008F241F" w:rsidRPr="008F241F">
        <w:rPr>
          <w:u w:val="single"/>
        </w:rPr>
        <w:t>needs more study</w:t>
      </w:r>
    </w:p>
    <w:p w14:paraId="0CD622CF" w14:textId="77777777" w:rsidR="002D50EC" w:rsidRDefault="002D50EC" w:rsidP="009D6203"/>
    <w:sectPr w:rsidR="002D50EC" w:rsidSect="00D95CAF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ACE5F" w14:textId="77777777" w:rsidR="00ED7A8B" w:rsidRDefault="00ED7A8B">
      <w:r>
        <w:separator/>
      </w:r>
    </w:p>
  </w:endnote>
  <w:endnote w:type="continuationSeparator" w:id="0">
    <w:p w14:paraId="6C31B232" w14:textId="77777777" w:rsidR="00ED7A8B" w:rsidRDefault="00ED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8BBA9" w14:textId="4265A06F" w:rsidR="007A6E0B" w:rsidRDefault="00ED7A8B" w:rsidP="007F7EE4">
    <w:pPr>
      <w:pStyle w:val="Footer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A6E0B">
      <w:t>Submission</w:t>
    </w:r>
    <w:r>
      <w:fldChar w:fldCharType="end"/>
    </w:r>
    <w:r w:rsidR="007A6E0B">
      <w:tab/>
      <w:t xml:space="preserve">page </w:t>
    </w:r>
    <w:r w:rsidR="007A6E0B">
      <w:fldChar w:fldCharType="begin"/>
    </w:r>
    <w:r w:rsidR="007A6E0B">
      <w:instrText xml:space="preserve">page </w:instrText>
    </w:r>
    <w:r w:rsidR="007A6E0B">
      <w:fldChar w:fldCharType="separate"/>
    </w:r>
    <w:r w:rsidR="007A6E0B">
      <w:rPr>
        <w:noProof/>
      </w:rPr>
      <w:t>2</w:t>
    </w:r>
    <w:r w:rsidR="007A6E0B">
      <w:fldChar w:fldCharType="end"/>
    </w:r>
    <w:r w:rsidR="007A6E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7A6E0B">
      <w:t>Alecsander Eitan (</w:t>
    </w:r>
    <w:r>
      <w:fldChar w:fldCharType="end"/>
    </w:r>
    <w:r w:rsidR="007A6E0B">
      <w:t>Qualcomm)</w:t>
    </w:r>
  </w:p>
  <w:p w14:paraId="10443DCE" w14:textId="77777777" w:rsidR="007A6E0B" w:rsidRDefault="007A6E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C1185" w14:textId="77777777" w:rsidR="00ED7A8B" w:rsidRDefault="00ED7A8B">
      <w:r>
        <w:separator/>
      </w:r>
    </w:p>
  </w:footnote>
  <w:footnote w:type="continuationSeparator" w:id="0">
    <w:p w14:paraId="404C7D5D" w14:textId="77777777" w:rsidR="00ED7A8B" w:rsidRDefault="00ED7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39E81" w14:textId="76A794E3" w:rsidR="007A6E0B" w:rsidRDefault="00B55D22" w:rsidP="00A21D41">
    <w:pPr>
      <w:pStyle w:val="Header"/>
      <w:tabs>
        <w:tab w:val="clear" w:pos="6480"/>
        <w:tab w:val="center" w:pos="4680"/>
        <w:tab w:val="right" w:pos="9990"/>
      </w:tabs>
    </w:pPr>
    <w:r>
      <w:t>January</w:t>
    </w:r>
    <w:r w:rsidR="007A6E0B">
      <w:t xml:space="preserve"> 201</w:t>
    </w:r>
    <w:r>
      <w:t>9</w:t>
    </w:r>
    <w:r w:rsidR="007A6E0B">
      <w:tab/>
    </w:r>
    <w:r w:rsidR="007A6E0B">
      <w:tab/>
    </w:r>
    <w:r w:rsidR="00ED7A8B">
      <w:fldChar w:fldCharType="begin"/>
    </w:r>
    <w:r w:rsidR="00ED7A8B">
      <w:instrText xml:space="preserve"> TITLE  \* MERGEFORMAT </w:instrText>
    </w:r>
    <w:r w:rsidR="00ED7A8B">
      <w:fldChar w:fldCharType="separate"/>
    </w:r>
    <w:r w:rsidR="007A6E0B">
      <w:t>doc: IEEE 802.</w:t>
    </w:r>
    <w:r w:rsidR="007A6E0B" w:rsidRPr="00023A31">
      <w:t xml:space="preserve"> </w:t>
    </w:r>
    <w:r w:rsidR="007A6E0B">
      <w:rPr>
        <w:rStyle w:val="highlight"/>
      </w:rPr>
      <w:t>11-18-</w:t>
    </w:r>
    <w:r w:rsidR="00FC2F7D">
      <w:rPr>
        <w:rStyle w:val="highlight"/>
      </w:rPr>
      <w:t>2121</w:t>
    </w:r>
    <w:r w:rsidR="007A6E0B">
      <w:rPr>
        <w:rStyle w:val="highlight"/>
      </w:rPr>
      <w:t>-0</w:t>
    </w:r>
    <w:r w:rsidR="0079159D">
      <w:rPr>
        <w:rStyle w:val="highlight"/>
      </w:rPr>
      <w:t>1</w:t>
    </w:r>
    <w:r w:rsidR="007A6E0B">
      <w:rPr>
        <w:rStyle w:val="highlight"/>
      </w:rPr>
      <w:t>-00ay</w:t>
    </w:r>
    <w:r w:rsidR="007A6E0B">
      <w:t xml:space="preserve"> </w:t>
    </w:r>
    <w:r w:rsidR="00ED7A8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1757"/>
    <w:multiLevelType w:val="hybridMultilevel"/>
    <w:tmpl w:val="65F62776"/>
    <w:lvl w:ilvl="0" w:tplc="ED580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4E2"/>
    <w:multiLevelType w:val="multilevel"/>
    <w:tmpl w:val="B5645416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8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315E1E24"/>
    <w:multiLevelType w:val="hybridMultilevel"/>
    <w:tmpl w:val="559E0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84E80"/>
    <w:multiLevelType w:val="hybridMultilevel"/>
    <w:tmpl w:val="A3186368"/>
    <w:lvl w:ilvl="0" w:tplc="2BDE4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B8C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C0F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C47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92B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DA5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886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6CA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7A6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2B96892"/>
    <w:multiLevelType w:val="singleLevel"/>
    <w:tmpl w:val="1452D34C"/>
    <w:lvl w:ilvl="0">
      <w:start w:val="3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9" w15:restartNumberingAfterBreak="0">
    <w:nsid w:val="472F1BAD"/>
    <w:multiLevelType w:val="hybridMultilevel"/>
    <w:tmpl w:val="031486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062C7"/>
    <w:multiLevelType w:val="hybridMultilevel"/>
    <w:tmpl w:val="88C4342E"/>
    <w:lvl w:ilvl="0" w:tplc="101EB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7CB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85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CAB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E2A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E1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3E0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A41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0D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" w15:restartNumberingAfterBreak="0">
    <w:nsid w:val="6F956C21"/>
    <w:multiLevelType w:val="multilevel"/>
    <w:tmpl w:val="C4E2BF6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4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" w15:restartNumberingAfterBreak="0">
    <w:nsid w:val="78C317E7"/>
    <w:multiLevelType w:val="multilevel"/>
    <w:tmpl w:val="62D4BB66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1050" w:hanging="8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90" w:hanging="81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53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4" w15:restartNumberingAfterBreak="0">
    <w:nsid w:val="7F1512B5"/>
    <w:multiLevelType w:val="hybridMultilevel"/>
    <w:tmpl w:val="7F2E9E34"/>
    <w:lvl w:ilvl="0" w:tplc="E2F0BBB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2"/>
  </w:num>
  <w:num w:numId="5">
    <w:abstractNumId w:val="3"/>
  </w:num>
  <w:num w:numId="6">
    <w:abstractNumId w:val="8"/>
  </w:num>
  <w:num w:numId="7">
    <w:abstractNumId w:val="6"/>
  </w:num>
  <w:num w:numId="8">
    <w:abstractNumId w:val="11"/>
  </w:num>
  <w:num w:numId="9">
    <w:abstractNumId w:val="1"/>
  </w:num>
  <w:num w:numId="10">
    <w:abstractNumId w:val="13"/>
  </w:num>
  <w:num w:numId="11">
    <w:abstractNumId w:val="9"/>
  </w:num>
  <w:num w:numId="12">
    <w:abstractNumId w:val="4"/>
  </w:num>
  <w:num w:numId="13">
    <w:abstractNumId w:val="10"/>
  </w:num>
  <w:num w:numId="14">
    <w:abstractNumId w:val="7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E8F"/>
    <w:rsid w:val="00000A03"/>
    <w:rsid w:val="00023294"/>
    <w:rsid w:val="00023A31"/>
    <w:rsid w:val="000240CC"/>
    <w:rsid w:val="00031E79"/>
    <w:rsid w:val="00033815"/>
    <w:rsid w:val="00035180"/>
    <w:rsid w:val="00041DAD"/>
    <w:rsid w:val="00047EEF"/>
    <w:rsid w:val="0006210F"/>
    <w:rsid w:val="000740A7"/>
    <w:rsid w:val="00090AFC"/>
    <w:rsid w:val="000A0B81"/>
    <w:rsid w:val="000A0D93"/>
    <w:rsid w:val="000A16F5"/>
    <w:rsid w:val="000A2C5C"/>
    <w:rsid w:val="000B0C8D"/>
    <w:rsid w:val="000B7B6E"/>
    <w:rsid w:val="000C1D25"/>
    <w:rsid w:val="000C7DC5"/>
    <w:rsid w:val="000D68E5"/>
    <w:rsid w:val="000E1124"/>
    <w:rsid w:val="000F05B7"/>
    <w:rsid w:val="000F44D1"/>
    <w:rsid w:val="000F76FB"/>
    <w:rsid w:val="001061A2"/>
    <w:rsid w:val="00107397"/>
    <w:rsid w:val="00110706"/>
    <w:rsid w:val="00112810"/>
    <w:rsid w:val="001133D1"/>
    <w:rsid w:val="00122C87"/>
    <w:rsid w:val="00123B4E"/>
    <w:rsid w:val="00123DB1"/>
    <w:rsid w:val="00124AA6"/>
    <w:rsid w:val="001272A5"/>
    <w:rsid w:val="00134B09"/>
    <w:rsid w:val="001547FE"/>
    <w:rsid w:val="0016706C"/>
    <w:rsid w:val="00167532"/>
    <w:rsid w:val="0017068D"/>
    <w:rsid w:val="00171892"/>
    <w:rsid w:val="00176B6A"/>
    <w:rsid w:val="001812E2"/>
    <w:rsid w:val="00182B9E"/>
    <w:rsid w:val="00194584"/>
    <w:rsid w:val="001A12F7"/>
    <w:rsid w:val="001A13EF"/>
    <w:rsid w:val="001A3F83"/>
    <w:rsid w:val="001B2E1F"/>
    <w:rsid w:val="001B544B"/>
    <w:rsid w:val="001B553B"/>
    <w:rsid w:val="001C1387"/>
    <w:rsid w:val="001C2420"/>
    <w:rsid w:val="001C5726"/>
    <w:rsid w:val="001D06A1"/>
    <w:rsid w:val="001D723B"/>
    <w:rsid w:val="001F5D7F"/>
    <w:rsid w:val="001F7ABA"/>
    <w:rsid w:val="002026A3"/>
    <w:rsid w:val="00212D2D"/>
    <w:rsid w:val="00213F2A"/>
    <w:rsid w:val="00223BEA"/>
    <w:rsid w:val="002276CF"/>
    <w:rsid w:val="00227DD7"/>
    <w:rsid w:val="0023342B"/>
    <w:rsid w:val="00235C08"/>
    <w:rsid w:val="00240F87"/>
    <w:rsid w:val="002479BB"/>
    <w:rsid w:val="00250978"/>
    <w:rsid w:val="002537A7"/>
    <w:rsid w:val="00270110"/>
    <w:rsid w:val="002754D0"/>
    <w:rsid w:val="00277419"/>
    <w:rsid w:val="0028212A"/>
    <w:rsid w:val="00282E1A"/>
    <w:rsid w:val="0029020B"/>
    <w:rsid w:val="002A2F98"/>
    <w:rsid w:val="002A661B"/>
    <w:rsid w:val="002B5F98"/>
    <w:rsid w:val="002B7BC3"/>
    <w:rsid w:val="002B7ED5"/>
    <w:rsid w:val="002C7151"/>
    <w:rsid w:val="002D0355"/>
    <w:rsid w:val="002D0729"/>
    <w:rsid w:val="002D44BE"/>
    <w:rsid w:val="002D50EC"/>
    <w:rsid w:val="002F7EA7"/>
    <w:rsid w:val="00300A60"/>
    <w:rsid w:val="003040EB"/>
    <w:rsid w:val="00320884"/>
    <w:rsid w:val="003265C7"/>
    <w:rsid w:val="003375F0"/>
    <w:rsid w:val="00345B61"/>
    <w:rsid w:val="0037488D"/>
    <w:rsid w:val="003774FD"/>
    <w:rsid w:val="003808E6"/>
    <w:rsid w:val="003813C9"/>
    <w:rsid w:val="00383E8F"/>
    <w:rsid w:val="00394B5F"/>
    <w:rsid w:val="003A6392"/>
    <w:rsid w:val="003B00D8"/>
    <w:rsid w:val="003B2A61"/>
    <w:rsid w:val="003D095B"/>
    <w:rsid w:val="003E06FA"/>
    <w:rsid w:val="003F4583"/>
    <w:rsid w:val="003F6608"/>
    <w:rsid w:val="00400B6A"/>
    <w:rsid w:val="004251CE"/>
    <w:rsid w:val="00431F39"/>
    <w:rsid w:val="00442037"/>
    <w:rsid w:val="00451DEB"/>
    <w:rsid w:val="00457259"/>
    <w:rsid w:val="00457AB1"/>
    <w:rsid w:val="004606F9"/>
    <w:rsid w:val="00461F87"/>
    <w:rsid w:val="0046488F"/>
    <w:rsid w:val="004670DB"/>
    <w:rsid w:val="00467361"/>
    <w:rsid w:val="00481270"/>
    <w:rsid w:val="0048141B"/>
    <w:rsid w:val="00481577"/>
    <w:rsid w:val="00484612"/>
    <w:rsid w:val="004863DC"/>
    <w:rsid w:val="0049763D"/>
    <w:rsid w:val="004A1040"/>
    <w:rsid w:val="004B064B"/>
    <w:rsid w:val="004B21C4"/>
    <w:rsid w:val="004B4777"/>
    <w:rsid w:val="004B68F3"/>
    <w:rsid w:val="004C0029"/>
    <w:rsid w:val="004E225E"/>
    <w:rsid w:val="004E5232"/>
    <w:rsid w:val="004E7D6E"/>
    <w:rsid w:val="004F12C9"/>
    <w:rsid w:val="004F2314"/>
    <w:rsid w:val="005114A4"/>
    <w:rsid w:val="00511B1F"/>
    <w:rsid w:val="00521471"/>
    <w:rsid w:val="00525DA4"/>
    <w:rsid w:val="00540FAF"/>
    <w:rsid w:val="00557812"/>
    <w:rsid w:val="00560BF8"/>
    <w:rsid w:val="0056515D"/>
    <w:rsid w:val="00567CF7"/>
    <w:rsid w:val="0057568C"/>
    <w:rsid w:val="00576746"/>
    <w:rsid w:val="00582228"/>
    <w:rsid w:val="00584689"/>
    <w:rsid w:val="00584F7F"/>
    <w:rsid w:val="005876D4"/>
    <w:rsid w:val="00590EBB"/>
    <w:rsid w:val="00590FE7"/>
    <w:rsid w:val="005A3060"/>
    <w:rsid w:val="005B3FDB"/>
    <w:rsid w:val="005B4264"/>
    <w:rsid w:val="005B5901"/>
    <w:rsid w:val="005B6056"/>
    <w:rsid w:val="005B7AA7"/>
    <w:rsid w:val="005D11A1"/>
    <w:rsid w:val="005D1482"/>
    <w:rsid w:val="005D4518"/>
    <w:rsid w:val="005E47D8"/>
    <w:rsid w:val="005E6BBD"/>
    <w:rsid w:val="005E742E"/>
    <w:rsid w:val="005F2901"/>
    <w:rsid w:val="005F3123"/>
    <w:rsid w:val="005F542C"/>
    <w:rsid w:val="005F5BFC"/>
    <w:rsid w:val="006066D9"/>
    <w:rsid w:val="00606E3D"/>
    <w:rsid w:val="00610328"/>
    <w:rsid w:val="00613AD4"/>
    <w:rsid w:val="00615ECB"/>
    <w:rsid w:val="0061646F"/>
    <w:rsid w:val="0062440B"/>
    <w:rsid w:val="00632073"/>
    <w:rsid w:val="00632ED6"/>
    <w:rsid w:val="00635310"/>
    <w:rsid w:val="00635E42"/>
    <w:rsid w:val="006406D1"/>
    <w:rsid w:val="006428E9"/>
    <w:rsid w:val="00645768"/>
    <w:rsid w:val="00665B5C"/>
    <w:rsid w:val="00666F26"/>
    <w:rsid w:val="006722D5"/>
    <w:rsid w:val="00677FC5"/>
    <w:rsid w:val="006809DB"/>
    <w:rsid w:val="00681C7F"/>
    <w:rsid w:val="00682D0E"/>
    <w:rsid w:val="00694EBF"/>
    <w:rsid w:val="0069654D"/>
    <w:rsid w:val="006A031A"/>
    <w:rsid w:val="006A07C3"/>
    <w:rsid w:val="006B1FAD"/>
    <w:rsid w:val="006B604E"/>
    <w:rsid w:val="006C0727"/>
    <w:rsid w:val="006C7818"/>
    <w:rsid w:val="006D042A"/>
    <w:rsid w:val="006D45E8"/>
    <w:rsid w:val="006E145F"/>
    <w:rsid w:val="006E1B79"/>
    <w:rsid w:val="006E4149"/>
    <w:rsid w:val="006E57BF"/>
    <w:rsid w:val="006E62D2"/>
    <w:rsid w:val="006F3830"/>
    <w:rsid w:val="006F72E5"/>
    <w:rsid w:val="00712C41"/>
    <w:rsid w:val="00714300"/>
    <w:rsid w:val="00714C98"/>
    <w:rsid w:val="007237BF"/>
    <w:rsid w:val="00727646"/>
    <w:rsid w:val="00736264"/>
    <w:rsid w:val="00744015"/>
    <w:rsid w:val="00761E17"/>
    <w:rsid w:val="0076272B"/>
    <w:rsid w:val="00770572"/>
    <w:rsid w:val="00772633"/>
    <w:rsid w:val="00773EB5"/>
    <w:rsid w:val="00780C4E"/>
    <w:rsid w:val="007833E8"/>
    <w:rsid w:val="00785BE9"/>
    <w:rsid w:val="0079159D"/>
    <w:rsid w:val="007925FD"/>
    <w:rsid w:val="007A5B87"/>
    <w:rsid w:val="007A6E0B"/>
    <w:rsid w:val="007B0994"/>
    <w:rsid w:val="007B3AE0"/>
    <w:rsid w:val="007C1ACC"/>
    <w:rsid w:val="007C587A"/>
    <w:rsid w:val="007C6EEB"/>
    <w:rsid w:val="007E1671"/>
    <w:rsid w:val="007E1CE9"/>
    <w:rsid w:val="007E4F70"/>
    <w:rsid w:val="007E6E07"/>
    <w:rsid w:val="007F7EE4"/>
    <w:rsid w:val="00802100"/>
    <w:rsid w:val="00811220"/>
    <w:rsid w:val="008121FB"/>
    <w:rsid w:val="00830450"/>
    <w:rsid w:val="00833AEA"/>
    <w:rsid w:val="00842919"/>
    <w:rsid w:val="00843E4A"/>
    <w:rsid w:val="00853725"/>
    <w:rsid w:val="00872636"/>
    <w:rsid w:val="00873CD5"/>
    <w:rsid w:val="008A655D"/>
    <w:rsid w:val="008A6DF8"/>
    <w:rsid w:val="008B1BCD"/>
    <w:rsid w:val="008B2719"/>
    <w:rsid w:val="008C0EB4"/>
    <w:rsid w:val="008C3EAE"/>
    <w:rsid w:val="008C5274"/>
    <w:rsid w:val="008D1780"/>
    <w:rsid w:val="008D602A"/>
    <w:rsid w:val="008E2783"/>
    <w:rsid w:val="008F077B"/>
    <w:rsid w:val="008F241F"/>
    <w:rsid w:val="008F6792"/>
    <w:rsid w:val="00905992"/>
    <w:rsid w:val="00907FF8"/>
    <w:rsid w:val="009142D2"/>
    <w:rsid w:val="00915C32"/>
    <w:rsid w:val="00922066"/>
    <w:rsid w:val="00927860"/>
    <w:rsid w:val="009308B0"/>
    <w:rsid w:val="009419B2"/>
    <w:rsid w:val="0095112C"/>
    <w:rsid w:val="00954E84"/>
    <w:rsid w:val="00956721"/>
    <w:rsid w:val="00962E68"/>
    <w:rsid w:val="00986918"/>
    <w:rsid w:val="0099593D"/>
    <w:rsid w:val="00996CF3"/>
    <w:rsid w:val="009A12CB"/>
    <w:rsid w:val="009A4A93"/>
    <w:rsid w:val="009B5570"/>
    <w:rsid w:val="009C7387"/>
    <w:rsid w:val="009D445F"/>
    <w:rsid w:val="009D6203"/>
    <w:rsid w:val="009D6594"/>
    <w:rsid w:val="009E350A"/>
    <w:rsid w:val="009E71DB"/>
    <w:rsid w:val="009F2FBC"/>
    <w:rsid w:val="00A03288"/>
    <w:rsid w:val="00A051BF"/>
    <w:rsid w:val="00A075A0"/>
    <w:rsid w:val="00A07FD9"/>
    <w:rsid w:val="00A10620"/>
    <w:rsid w:val="00A12902"/>
    <w:rsid w:val="00A21D41"/>
    <w:rsid w:val="00A22C39"/>
    <w:rsid w:val="00A34747"/>
    <w:rsid w:val="00A35B60"/>
    <w:rsid w:val="00A47EAD"/>
    <w:rsid w:val="00A527BC"/>
    <w:rsid w:val="00A5291C"/>
    <w:rsid w:val="00A5531A"/>
    <w:rsid w:val="00A601C7"/>
    <w:rsid w:val="00A6609A"/>
    <w:rsid w:val="00A85803"/>
    <w:rsid w:val="00AA427C"/>
    <w:rsid w:val="00AB41B2"/>
    <w:rsid w:val="00AB4EB6"/>
    <w:rsid w:val="00AB7504"/>
    <w:rsid w:val="00AC5CCF"/>
    <w:rsid w:val="00AC64D9"/>
    <w:rsid w:val="00AD18A8"/>
    <w:rsid w:val="00AD2DAC"/>
    <w:rsid w:val="00AE0442"/>
    <w:rsid w:val="00AE1539"/>
    <w:rsid w:val="00AF05F5"/>
    <w:rsid w:val="00AF3336"/>
    <w:rsid w:val="00AF4793"/>
    <w:rsid w:val="00AF74C9"/>
    <w:rsid w:val="00B00CF3"/>
    <w:rsid w:val="00B0316B"/>
    <w:rsid w:val="00B05F60"/>
    <w:rsid w:val="00B14F4F"/>
    <w:rsid w:val="00B15678"/>
    <w:rsid w:val="00B33043"/>
    <w:rsid w:val="00B330E6"/>
    <w:rsid w:val="00B33D2B"/>
    <w:rsid w:val="00B41DB9"/>
    <w:rsid w:val="00B4204E"/>
    <w:rsid w:val="00B55D22"/>
    <w:rsid w:val="00B62722"/>
    <w:rsid w:val="00B628A9"/>
    <w:rsid w:val="00B64D99"/>
    <w:rsid w:val="00B74F3E"/>
    <w:rsid w:val="00B75E4E"/>
    <w:rsid w:val="00B76007"/>
    <w:rsid w:val="00B80F40"/>
    <w:rsid w:val="00B90B9D"/>
    <w:rsid w:val="00BA08A4"/>
    <w:rsid w:val="00BA1B58"/>
    <w:rsid w:val="00BC12AF"/>
    <w:rsid w:val="00BC2A60"/>
    <w:rsid w:val="00BD3314"/>
    <w:rsid w:val="00BE68C2"/>
    <w:rsid w:val="00BF5604"/>
    <w:rsid w:val="00C04B71"/>
    <w:rsid w:val="00C06EBB"/>
    <w:rsid w:val="00C13F6E"/>
    <w:rsid w:val="00C2619C"/>
    <w:rsid w:val="00C26CAF"/>
    <w:rsid w:val="00C308C3"/>
    <w:rsid w:val="00C327D2"/>
    <w:rsid w:val="00C32AD8"/>
    <w:rsid w:val="00C3692A"/>
    <w:rsid w:val="00C811E6"/>
    <w:rsid w:val="00C81F93"/>
    <w:rsid w:val="00CA09B2"/>
    <w:rsid w:val="00CA2292"/>
    <w:rsid w:val="00CB41FC"/>
    <w:rsid w:val="00CE30DD"/>
    <w:rsid w:val="00CF5769"/>
    <w:rsid w:val="00CF71C1"/>
    <w:rsid w:val="00CF792D"/>
    <w:rsid w:val="00D030D4"/>
    <w:rsid w:val="00D04026"/>
    <w:rsid w:val="00D30DC2"/>
    <w:rsid w:val="00D32134"/>
    <w:rsid w:val="00D34FAF"/>
    <w:rsid w:val="00D4053E"/>
    <w:rsid w:val="00D5164E"/>
    <w:rsid w:val="00D60CD3"/>
    <w:rsid w:val="00D6244A"/>
    <w:rsid w:val="00D77993"/>
    <w:rsid w:val="00D868C1"/>
    <w:rsid w:val="00D87AB4"/>
    <w:rsid w:val="00D906BE"/>
    <w:rsid w:val="00D90C83"/>
    <w:rsid w:val="00D95CAF"/>
    <w:rsid w:val="00DA32A2"/>
    <w:rsid w:val="00DC5A7B"/>
    <w:rsid w:val="00DD681E"/>
    <w:rsid w:val="00DD71AC"/>
    <w:rsid w:val="00DE5028"/>
    <w:rsid w:val="00DF5DAE"/>
    <w:rsid w:val="00E068DD"/>
    <w:rsid w:val="00E2291A"/>
    <w:rsid w:val="00E236C1"/>
    <w:rsid w:val="00E507AE"/>
    <w:rsid w:val="00E519E4"/>
    <w:rsid w:val="00E52177"/>
    <w:rsid w:val="00E52FCC"/>
    <w:rsid w:val="00E6284C"/>
    <w:rsid w:val="00E73E29"/>
    <w:rsid w:val="00E81497"/>
    <w:rsid w:val="00E82C11"/>
    <w:rsid w:val="00E9223A"/>
    <w:rsid w:val="00E929C1"/>
    <w:rsid w:val="00E93892"/>
    <w:rsid w:val="00EA4538"/>
    <w:rsid w:val="00EA5521"/>
    <w:rsid w:val="00EB7F9B"/>
    <w:rsid w:val="00EC72D9"/>
    <w:rsid w:val="00ED0A73"/>
    <w:rsid w:val="00ED7A8B"/>
    <w:rsid w:val="00EE202D"/>
    <w:rsid w:val="00EE275D"/>
    <w:rsid w:val="00EE32F3"/>
    <w:rsid w:val="00EE3F57"/>
    <w:rsid w:val="00EF1149"/>
    <w:rsid w:val="00EF7203"/>
    <w:rsid w:val="00F035D9"/>
    <w:rsid w:val="00F041E9"/>
    <w:rsid w:val="00F049A1"/>
    <w:rsid w:val="00F04E97"/>
    <w:rsid w:val="00F14818"/>
    <w:rsid w:val="00F20A7C"/>
    <w:rsid w:val="00F20C58"/>
    <w:rsid w:val="00F24BB5"/>
    <w:rsid w:val="00F3039E"/>
    <w:rsid w:val="00F442F8"/>
    <w:rsid w:val="00F470F9"/>
    <w:rsid w:val="00F51D4C"/>
    <w:rsid w:val="00F55598"/>
    <w:rsid w:val="00F63531"/>
    <w:rsid w:val="00F67244"/>
    <w:rsid w:val="00F743D9"/>
    <w:rsid w:val="00F75849"/>
    <w:rsid w:val="00F86CA0"/>
    <w:rsid w:val="00F8709E"/>
    <w:rsid w:val="00F93041"/>
    <w:rsid w:val="00F96153"/>
    <w:rsid w:val="00FA1B9B"/>
    <w:rsid w:val="00FA2845"/>
    <w:rsid w:val="00FA330C"/>
    <w:rsid w:val="00FA49AB"/>
    <w:rsid w:val="00FA55C3"/>
    <w:rsid w:val="00FA6A0F"/>
    <w:rsid w:val="00FB338B"/>
    <w:rsid w:val="00FB3B01"/>
    <w:rsid w:val="00FC2F7D"/>
    <w:rsid w:val="00FD21BB"/>
    <w:rsid w:val="00FD31F5"/>
    <w:rsid w:val="00FD47C3"/>
    <w:rsid w:val="00FD6EA4"/>
    <w:rsid w:val="00FE5B22"/>
    <w:rsid w:val="00FE71F6"/>
    <w:rsid w:val="00FE7FC6"/>
    <w:rsid w:val="00FF638C"/>
    <w:rsid w:val="00FF65D3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BA78C2"/>
  <w15:chartTrackingRefBased/>
  <w15:docId w15:val="{EFEAD2C8-A310-42AA-BC82-DB234222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6E3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606E3D"/>
    <w:pPr>
      <w:spacing w:after="240"/>
      <w:jc w:val="both"/>
    </w:pPr>
    <w:rPr>
      <w:lang w:eastAsia="ja-JP" w:bidi="ar-SA"/>
    </w:rPr>
  </w:style>
  <w:style w:type="paragraph" w:customStyle="1" w:styleId="IEEEStdsTableData-Center">
    <w:name w:val="IEEEStds Table Data - Center"/>
    <w:basedOn w:val="IEEEStdsParagraph"/>
    <w:rsid w:val="00606E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06E3D"/>
    <w:pPr>
      <w:keepNext/>
      <w:keepLines/>
      <w:numPr>
        <w:numId w:val="3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606E3D"/>
    <w:rPr>
      <w:lang w:eastAsia="ja-JP" w:bidi="ar-SA"/>
    </w:rPr>
  </w:style>
  <w:style w:type="paragraph" w:customStyle="1" w:styleId="IEEEStdsTableColumnHead">
    <w:name w:val="IEEEStds Table Column Head"/>
    <w:basedOn w:val="IEEEStdsParagraph"/>
    <w:rsid w:val="00606E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06E3D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BalloonText">
    <w:name w:val="Balloon Text"/>
    <w:basedOn w:val="Normal"/>
    <w:link w:val="BalloonTextChar"/>
    <w:rsid w:val="00606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6E3D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rsid w:val="0060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606E3D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EEEStdsTableData-Left">
    <w:name w:val="IEEEStds Table Data - Left"/>
    <w:basedOn w:val="IEEEStdsParagraph"/>
    <w:rsid w:val="00606E3D"/>
    <w:pPr>
      <w:keepNext/>
      <w:keepLines/>
      <w:spacing w:after="0"/>
      <w:jc w:val="left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606E3D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606E3D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606E3D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606E3D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606E3D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606E3D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606E3D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606E3D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606E3D"/>
    <w:pPr>
      <w:numPr>
        <w:ilvl w:val="8"/>
      </w:numPr>
      <w:outlineLvl w:val="8"/>
    </w:pPr>
  </w:style>
  <w:style w:type="paragraph" w:customStyle="1" w:styleId="Default">
    <w:name w:val="Default"/>
    <w:rsid w:val="00785B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F743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43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43D9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F74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43D9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F743D9"/>
    <w:rPr>
      <w:sz w:val="22"/>
      <w:lang w:val="en-GB" w:bidi="ar-SA"/>
    </w:rPr>
  </w:style>
  <w:style w:type="paragraph" w:customStyle="1" w:styleId="IEEEStdsMultipleNotes">
    <w:name w:val="IEEEStds Multiple Notes"/>
    <w:basedOn w:val="Normal"/>
    <w:rsid w:val="000240CC"/>
    <w:pPr>
      <w:keepLines/>
      <w:numPr>
        <w:numId w:val="6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F3336"/>
    <w:pPr>
      <w:keepLines/>
      <w:numPr>
        <w:numId w:val="8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Sans-Serif">
    <w:name w:val="IEEEStds Sans-Serif"/>
    <w:rsid w:val="001A12F7"/>
    <w:pPr>
      <w:jc w:val="both"/>
    </w:pPr>
    <w:rPr>
      <w:rFonts w:ascii="Arial" w:hAnsi="Arial"/>
      <w:lang w:eastAsia="ja-JP" w:bidi="ar-SA"/>
    </w:rPr>
  </w:style>
  <w:style w:type="character" w:styleId="PlaceholderText">
    <w:name w:val="Placeholder Text"/>
    <w:basedOn w:val="DefaultParagraphFont"/>
    <w:uiPriority w:val="99"/>
    <w:semiHidden/>
    <w:rsid w:val="001A13EF"/>
    <w:rPr>
      <w:color w:val="808080"/>
    </w:rPr>
  </w:style>
  <w:style w:type="character" w:customStyle="1" w:styleId="highlight">
    <w:name w:val="highlight"/>
    <w:basedOn w:val="DefaultParagraphFont"/>
    <w:rsid w:val="00023A31"/>
  </w:style>
  <w:style w:type="character" w:styleId="UnresolvedMention">
    <w:name w:val="Unresolved Mention"/>
    <w:basedOn w:val="DefaultParagraphFont"/>
    <w:uiPriority w:val="99"/>
    <w:semiHidden/>
    <w:unhideWhenUsed/>
    <w:rsid w:val="00457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49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32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6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86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DAE47-2863-4159-8E9E-935B51B1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Qualcomm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Assaf Kasher</dc:creator>
  <cp:keywords>January 2017</cp:keywords>
  <dc:description/>
  <cp:lastModifiedBy>Alecsander Eitan</cp:lastModifiedBy>
  <cp:revision>4</cp:revision>
  <dcterms:created xsi:type="dcterms:W3CDTF">2019-01-14T20:42:00Z</dcterms:created>
  <dcterms:modified xsi:type="dcterms:W3CDTF">2019-01-14T20:46:00Z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-326758243</vt:i4>
  </property>
  <property fmtid="{D5CDD505-2E9C-101B-9397-08002B2CF9AE}" pid="3" name="_NewReviewCycle">
    <vt:lpwstr/>
  </property>
  <property fmtid="{D5CDD505-2E9C-101B-9397-08002B2CF9AE}" pid="4" name="_EmailSubject">
    <vt:lpwstr>mask comment resolution</vt:lpwstr>
  </property>
  <property fmtid="{D5CDD505-2E9C-101B-9397-08002B2CF9AE}" pid="5" name="_AuthorEmail">
    <vt:lpwstr>akasher@qti.qualcomm.com</vt:lpwstr>
  </property>
  <property fmtid="{D5CDD505-2E9C-101B-9397-08002B2CF9AE}" pid="6" name="_AuthorEmailDisplayName">
    <vt:lpwstr>Assaf Kasher</vt:lpwstr>
  </property>
  <property fmtid="{D5CDD505-2E9C-101B-9397-08002B2CF9AE}" pid="7" name="_ReviewingToolsShownOnce">
    <vt:lpwstr/>
  </property>
</Properties>
</file>