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496FC9">
            <w:pPr>
              <w:pStyle w:val="T2"/>
            </w:pPr>
            <w:r>
              <w:t xml:space="preserve">Liaison from </w:t>
            </w:r>
            <w:r w:rsidR="004A1CFC">
              <w:t>SAE DSRC TC</w:t>
            </w:r>
            <w:r>
              <w:t xml:space="preserve">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4A1CFC">
              <w:rPr>
                <w:b w:val="0"/>
                <w:sz w:val="20"/>
              </w:rPr>
              <w:t>2018-12-04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90469D">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 xml:space="preserve">the </w:t>
                            </w:r>
                            <w:r w:rsidR="004A1CFC">
                              <w:t>SAE D</w:t>
                            </w:r>
                            <w:r w:rsidR="00E626B9">
                              <w:t xml:space="preserve">edicated </w:t>
                            </w:r>
                            <w:r w:rsidR="004A1CFC">
                              <w:t>S</w:t>
                            </w:r>
                            <w:r w:rsidR="00E626B9">
                              <w:t xml:space="preserve">hort </w:t>
                            </w:r>
                            <w:r w:rsidR="004A1CFC">
                              <w:t>R</w:t>
                            </w:r>
                            <w:r w:rsidR="00E626B9">
                              <w:t xml:space="preserve">ange </w:t>
                            </w:r>
                            <w:r w:rsidR="004A1CFC">
                              <w:t>C</w:t>
                            </w:r>
                            <w:r w:rsidR="00E626B9">
                              <w:t>ommunications (DSRC)</w:t>
                            </w:r>
                            <w:bookmarkStart w:id="0" w:name="_GoBack"/>
                            <w:bookmarkEnd w:id="0"/>
                            <w:r w:rsidR="004A1CFC">
                              <w:t xml:space="preserve"> Technical Committee (TC)</w:t>
                            </w:r>
                            <w:r>
                              <w:t xml:space="preserve">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bookmarkStart w:id="1" w:name="_MON_1605423054"/>
                          <w:bookmarkEnd w:id="1"/>
                          <w:p w:rsidR="00701FAE" w:rsidRDefault="004A1CFC" w:rsidP="00701FAE">
                            <w:pPr>
                              <w:jc w:val="both"/>
                            </w:pPr>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9" o:title=""/>
                                </v:shape>
                                <o:OLEObject Type="Embed" ProgID="Word.Document.8" ShapeID="_x0000_i1025" DrawAspect="Icon" ObjectID="_1605424731" r:id="rId10">
                                  <o:FieldCodes>\s</o:FieldCodes>
                                </o:OLEObject>
                              </w:object>
                            </w: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 xml:space="preserve">the </w:t>
                      </w:r>
                      <w:r w:rsidR="004A1CFC">
                        <w:t>SAE D</w:t>
                      </w:r>
                      <w:r w:rsidR="00E626B9">
                        <w:t xml:space="preserve">edicated </w:t>
                      </w:r>
                      <w:r w:rsidR="004A1CFC">
                        <w:t>S</w:t>
                      </w:r>
                      <w:r w:rsidR="00E626B9">
                        <w:t xml:space="preserve">hort </w:t>
                      </w:r>
                      <w:r w:rsidR="004A1CFC">
                        <w:t>R</w:t>
                      </w:r>
                      <w:r w:rsidR="00E626B9">
                        <w:t xml:space="preserve">ange </w:t>
                      </w:r>
                      <w:r w:rsidR="004A1CFC">
                        <w:t>C</w:t>
                      </w:r>
                      <w:r w:rsidR="00E626B9">
                        <w:t>ommunications (DSRC)</w:t>
                      </w:r>
                      <w:bookmarkStart w:id="2" w:name="_GoBack"/>
                      <w:bookmarkEnd w:id="2"/>
                      <w:r w:rsidR="004A1CFC">
                        <w:t xml:space="preserve"> Technical Committee (TC)</w:t>
                      </w:r>
                      <w:r>
                        <w:t xml:space="preserve">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bookmarkStart w:id="3" w:name="_MON_1605423054"/>
                    <w:bookmarkEnd w:id="3"/>
                    <w:p w:rsidR="00701FAE" w:rsidRDefault="004A1CFC" w:rsidP="00701FAE">
                      <w:pPr>
                        <w:jc w:val="both"/>
                      </w:pPr>
                      <w:r>
                        <w:object w:dxaOrig="1499" w:dyaOrig="981">
                          <v:shape id="_x0000_i1025" type="#_x0000_t75" style="width:75pt;height:48.85pt" o:ole="">
                            <v:imagedata r:id="rId9" o:title=""/>
                          </v:shape>
                          <o:OLEObject Type="Embed" ProgID="Word.Document.8" ShapeID="_x0000_i1025" DrawAspect="Icon" ObjectID="_1605424731" r:id="rId12">
                            <o:FieldCodes>\s</o:FieldCodes>
                          </o:OLEObject>
                        </w:object>
                      </w:r>
                    </w:p>
                    <w:p w:rsidR="00701FAE" w:rsidRDefault="00701FAE" w:rsidP="003A7C41">
                      <w:pPr>
                        <w:jc w:val="both"/>
                      </w:pPr>
                    </w:p>
                  </w:txbxContent>
                </v:textbox>
              </v:shape>
            </w:pict>
          </mc:Fallback>
        </mc:AlternateContent>
      </w:r>
    </w:p>
    <w:p w:rsidR="00CA09B2" w:rsidRDefault="00CA09B2" w:rsidP="009F50A1">
      <w:r>
        <w:br w:type="page"/>
      </w:r>
    </w:p>
    <w:p w:rsidR="004A1CFC" w:rsidRDefault="004A1CFC" w:rsidP="004A1CFC">
      <w:pPr>
        <w:pStyle w:val="Header"/>
        <w:tabs>
          <w:tab w:val="right" w:pos="7088"/>
          <w:tab w:val="right" w:pos="9781"/>
        </w:tabs>
        <w:rPr>
          <w:rFonts w:ascii="Arial" w:hAnsi="Arial" w:cs="Arial" w:hint="eastAsia"/>
          <w:b w:val="0"/>
          <w:bCs/>
          <w:sz w:val="22"/>
          <w:lang w:eastAsia="ko-KR"/>
        </w:rPr>
      </w:pPr>
      <w:r>
        <w:rPr>
          <w:noProof/>
          <w:lang w:eastAsia="en-GB"/>
        </w:rPr>
        <w:lastRenderedPageBreak/>
        <w:drawing>
          <wp:anchor distT="0" distB="0" distL="114300" distR="114300" simplePos="0" relativeHeight="251659776" behindDoc="0" locked="0" layoutInCell="1" allowOverlap="1">
            <wp:simplePos x="0" y="0"/>
            <wp:positionH relativeFrom="column">
              <wp:posOffset>5559970</wp:posOffset>
            </wp:positionH>
            <wp:positionV relativeFrom="page">
              <wp:posOffset>554718</wp:posOffset>
            </wp:positionV>
            <wp:extent cx="1371600" cy="876935"/>
            <wp:effectExtent l="0" t="0" r="0" b="0"/>
            <wp:wrapNone/>
            <wp:docPr id="2" name="Picture 2" descr="sae_r_vrt_dbl_rgb_pos_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ae_r_vrt_dbl_rgb_pos_m copy"/>
                    <pic:cNvPicPr>
                      <a:picLocks noChangeAspect="1" noChangeArrowheads="1"/>
                    </pic:cNvPicPr>
                  </pic:nvPicPr>
                  <pic:blipFill>
                    <a:blip r:embed="rId13">
                      <a:extLst>
                        <a:ext uri="{28A0092B-C50C-407E-A947-70E740481C1C}">
                          <a14:useLocalDpi xmlns:a14="http://schemas.microsoft.com/office/drawing/2010/main" val="0"/>
                        </a:ext>
                      </a:extLst>
                    </a:blip>
                    <a:srcRect t="16808"/>
                    <a:stretch>
                      <a:fillRect/>
                    </a:stretch>
                  </pic:blipFill>
                  <pic:spPr bwMode="auto">
                    <a:xfrm>
                      <a:off x="0" y="0"/>
                      <a:ext cx="137160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val="0"/>
          <w:bCs/>
          <w:sz w:val="22"/>
          <w:szCs w:val="24"/>
        </w:rPr>
        <w:t>SAE DSRC Technical Committee</w:t>
      </w:r>
      <w:r>
        <w:rPr>
          <w:rFonts w:ascii="Arial" w:hAnsi="Arial" w:cs="Arial"/>
          <w:b w:val="0"/>
          <w:bCs/>
          <w:sz w:val="22"/>
        </w:rPr>
        <w:tab/>
      </w:r>
      <w:r>
        <w:rPr>
          <w:rFonts w:ascii="Arial" w:hAnsi="Arial" w:cs="Arial"/>
          <w:b w:val="0"/>
          <w:bCs/>
          <w:sz w:val="22"/>
        </w:rPr>
        <w:tab/>
      </w:r>
      <w:r>
        <w:rPr>
          <w:rFonts w:ascii="Arial" w:hAnsi="Arial" w:cs="Arial"/>
          <w:b w:val="0"/>
          <w:bCs/>
          <w:sz w:val="22"/>
        </w:rPr>
        <w:tab/>
      </w:r>
    </w:p>
    <w:p w:rsidR="004A1CFC" w:rsidRDefault="004A1CFC" w:rsidP="004A1CFC">
      <w:pPr>
        <w:pStyle w:val="Header"/>
        <w:tabs>
          <w:tab w:val="right" w:pos="9639"/>
        </w:tabs>
        <w:rPr>
          <w:rFonts w:ascii="Arial" w:hAnsi="Arial" w:cs="Arial"/>
          <w:b w:val="0"/>
          <w:bCs/>
          <w:sz w:val="22"/>
          <w:szCs w:val="24"/>
          <w:lang w:eastAsia="ko-KR"/>
        </w:rPr>
      </w:pPr>
      <w:r>
        <w:rPr>
          <w:rFonts w:ascii="Arial" w:hAnsi="Arial" w:cs="Arial"/>
          <w:b w:val="0"/>
          <w:bCs/>
          <w:sz w:val="22"/>
          <w:szCs w:val="24"/>
          <w:lang w:eastAsia="ko-KR"/>
        </w:rPr>
        <w:t xml:space="preserve">November 28, </w:t>
      </w:r>
      <w:r>
        <w:rPr>
          <w:rFonts w:ascii="Arial" w:hAnsi="Arial" w:cs="Arial" w:hint="eastAsia"/>
          <w:b w:val="0"/>
          <w:bCs/>
          <w:sz w:val="22"/>
          <w:szCs w:val="24"/>
          <w:lang w:eastAsia="ko-KR"/>
        </w:rPr>
        <w:t>201</w:t>
      </w:r>
      <w:r>
        <w:rPr>
          <w:rFonts w:ascii="Arial" w:hAnsi="Arial" w:cs="Arial"/>
          <w:b w:val="0"/>
          <w:bCs/>
          <w:sz w:val="22"/>
          <w:szCs w:val="24"/>
          <w:lang w:eastAsia="ko-KR"/>
        </w:rPr>
        <w:t>8</w:t>
      </w:r>
    </w:p>
    <w:p w:rsidR="004A1CFC" w:rsidRDefault="004A1CFC" w:rsidP="004A1CFC">
      <w:pPr>
        <w:pStyle w:val="Header"/>
        <w:tabs>
          <w:tab w:val="right" w:pos="9639"/>
        </w:tabs>
        <w:rPr>
          <w:rFonts w:ascii="Arial" w:hAnsi="Arial" w:cs="Arial"/>
          <w:b w:val="0"/>
          <w:bCs/>
          <w:sz w:val="22"/>
          <w:szCs w:val="24"/>
          <w:lang w:eastAsia="ko-KR"/>
        </w:rPr>
      </w:pPr>
    </w:p>
    <w:p w:rsidR="004A1CFC" w:rsidRDefault="004A1CFC" w:rsidP="004A1CFC">
      <w:pPr>
        <w:pStyle w:val="Header"/>
        <w:tabs>
          <w:tab w:val="right" w:pos="9639"/>
        </w:tabs>
        <w:rPr>
          <w:rFonts w:ascii="Arial" w:hAnsi="Arial" w:cs="Arial"/>
          <w:b w:val="0"/>
          <w:bCs/>
          <w:sz w:val="22"/>
          <w:szCs w:val="24"/>
          <w:lang w:eastAsia="ko-KR"/>
        </w:rPr>
      </w:pPr>
    </w:p>
    <w:p w:rsidR="004A1CFC" w:rsidRPr="00586281" w:rsidRDefault="004A1CFC" w:rsidP="004A1CFC">
      <w:pPr>
        <w:pStyle w:val="Header"/>
        <w:tabs>
          <w:tab w:val="right" w:pos="9639"/>
        </w:tabs>
        <w:rPr>
          <w:rFonts w:ascii="Arial" w:hAnsi="Arial" w:cs="Arial"/>
          <w:b w:val="0"/>
          <w:bCs/>
          <w:sz w:val="18"/>
        </w:rPr>
      </w:pPr>
    </w:p>
    <w:p w:rsidR="004A1CFC" w:rsidRDefault="004A1CFC" w:rsidP="004A1CFC">
      <w:pPr>
        <w:spacing w:after="60"/>
        <w:ind w:left="1985" w:hanging="1985"/>
        <w:rPr>
          <w:rFonts w:ascii="Arial" w:hAnsi="Arial" w:cs="Arial"/>
          <w:bCs/>
        </w:rPr>
      </w:pPr>
      <w:r>
        <w:rPr>
          <w:rFonts w:ascii="Arial" w:hAnsi="Arial" w:cs="Arial"/>
          <w:b/>
        </w:rPr>
        <w:t>Title:</w:t>
      </w:r>
      <w:r>
        <w:rPr>
          <w:rFonts w:ascii="Arial" w:hAnsi="Arial" w:cs="Arial"/>
          <w:b/>
        </w:rPr>
        <w:tab/>
        <w:t xml:space="preserve">Response to IEEE 802.11 Next Generation V2X Study Group (NGV SG) Liaison Request </w:t>
      </w:r>
    </w:p>
    <w:p w:rsidR="004A1CFC" w:rsidRPr="006A0068" w:rsidRDefault="004A1CFC" w:rsidP="004A1CFC">
      <w:pPr>
        <w:spacing w:after="60"/>
        <w:ind w:left="1985" w:hanging="1985"/>
        <w:rPr>
          <w:rFonts w:ascii="Arial" w:hAnsi="Arial" w:cs="Arial" w:hint="eastAsia"/>
          <w:bCs/>
          <w:lang w:eastAsia="ko-KR"/>
        </w:rPr>
      </w:pPr>
      <w:r w:rsidRPr="006A0068">
        <w:rPr>
          <w:rFonts w:ascii="Arial" w:hAnsi="Arial" w:cs="Arial"/>
          <w:b/>
        </w:rPr>
        <w:t>Source:</w:t>
      </w:r>
      <w:r w:rsidRPr="006A0068">
        <w:rPr>
          <w:rFonts w:ascii="Arial" w:hAnsi="Arial" w:cs="Arial"/>
          <w:b/>
          <w:bCs/>
          <w:color w:val="FF0000"/>
        </w:rPr>
        <w:tab/>
      </w:r>
      <w:r>
        <w:rPr>
          <w:rFonts w:ascii="Arial" w:hAnsi="Arial" w:cs="Arial"/>
          <w:bCs/>
        </w:rPr>
        <w:t>SAE DSRC Technical Committee</w:t>
      </w:r>
    </w:p>
    <w:p w:rsidR="004A1CFC" w:rsidRPr="001F1F49" w:rsidRDefault="004A1CFC" w:rsidP="004A1CFC">
      <w:pPr>
        <w:spacing w:after="60"/>
        <w:ind w:left="1985" w:hanging="1985"/>
        <w:rPr>
          <w:rFonts w:ascii="Arial" w:hAnsi="Arial" w:cs="Arial"/>
          <w:bCs/>
        </w:rPr>
      </w:pPr>
      <w:r w:rsidRPr="006A0068">
        <w:rPr>
          <w:rFonts w:ascii="Arial" w:hAnsi="Arial" w:cs="Arial"/>
          <w:b/>
        </w:rPr>
        <w:t>To:</w:t>
      </w:r>
      <w:r w:rsidRPr="006A0068">
        <w:rPr>
          <w:rFonts w:ascii="Arial" w:hAnsi="Arial" w:cs="Arial"/>
          <w:b/>
          <w:bCs/>
        </w:rPr>
        <w:tab/>
      </w:r>
      <w:r>
        <w:rPr>
          <w:rFonts w:ascii="Arial" w:hAnsi="Arial" w:cs="Arial"/>
          <w:bCs/>
        </w:rPr>
        <w:t>IEEE 802.11 NGV SG</w:t>
      </w:r>
    </w:p>
    <w:p w:rsidR="004A1CFC" w:rsidRPr="001F1F49" w:rsidRDefault="004A1CFC" w:rsidP="004A1CFC">
      <w:pPr>
        <w:spacing w:after="60"/>
        <w:ind w:left="1985" w:hanging="1985"/>
        <w:rPr>
          <w:rFonts w:ascii="Arial" w:hAnsi="Arial" w:cs="Arial" w:hint="eastAsia"/>
          <w:bCs/>
        </w:rPr>
      </w:pPr>
      <w:r>
        <w:rPr>
          <w:rFonts w:ascii="Arial" w:hAnsi="Arial" w:cs="Arial"/>
          <w:b/>
          <w:bCs/>
        </w:rPr>
        <w:t>Status:</w:t>
      </w:r>
      <w:r>
        <w:rPr>
          <w:rFonts w:ascii="Arial" w:hAnsi="Arial" w:cs="Arial"/>
          <w:b/>
          <w:bCs/>
        </w:rPr>
        <w:tab/>
      </w:r>
      <w:r>
        <w:rPr>
          <w:rFonts w:ascii="Arial" w:hAnsi="Arial" w:cs="Arial"/>
          <w:bCs/>
        </w:rPr>
        <w:t>For information</w:t>
      </w:r>
    </w:p>
    <w:p w:rsidR="004A1CFC" w:rsidRDefault="004A1CFC" w:rsidP="004A1CFC">
      <w:pPr>
        <w:tabs>
          <w:tab w:val="left" w:pos="2268"/>
        </w:tabs>
        <w:rPr>
          <w:rFonts w:ascii="Arial" w:hAnsi="Arial" w:cs="Arial"/>
          <w:bCs/>
        </w:rPr>
      </w:pPr>
      <w:r>
        <w:rPr>
          <w:rFonts w:ascii="Arial" w:hAnsi="Arial" w:cs="Arial"/>
          <w:b/>
        </w:rPr>
        <w:t>Contact Person:</w:t>
      </w:r>
      <w:r>
        <w:rPr>
          <w:rFonts w:ascii="Arial" w:hAnsi="Arial" w:cs="Arial"/>
          <w:bCs/>
        </w:rPr>
        <w:tab/>
      </w:r>
    </w:p>
    <w:p w:rsidR="004A1CFC" w:rsidRPr="0096268C" w:rsidRDefault="004A1CFC" w:rsidP="004A1CFC">
      <w:pPr>
        <w:pStyle w:val="Heading4"/>
        <w:tabs>
          <w:tab w:val="left" w:pos="2268"/>
        </w:tabs>
        <w:ind w:left="567"/>
        <w:rPr>
          <w:rFonts w:cs="Arial" w:hint="eastAsia"/>
          <w:b/>
          <w:bCs/>
          <w:lang w:eastAsia="ko-KR"/>
        </w:rPr>
      </w:pPr>
      <w:r>
        <w:rPr>
          <w:rFonts w:cs="Arial"/>
        </w:rPr>
        <w:t>Name:</w:t>
      </w:r>
      <w:r>
        <w:rPr>
          <w:rFonts w:cs="Arial"/>
          <w:b/>
          <w:bCs/>
        </w:rPr>
        <w:tab/>
      </w:r>
      <w:r>
        <w:rPr>
          <w:rFonts w:cs="Arial" w:hint="eastAsia"/>
          <w:b/>
          <w:bCs/>
          <w:color w:val="000000"/>
          <w:lang w:eastAsia="ko-KR"/>
        </w:rPr>
        <w:t>Sue Bai</w:t>
      </w:r>
      <w:r>
        <w:rPr>
          <w:rFonts w:cs="Arial"/>
          <w:b/>
          <w:bCs/>
          <w:color w:val="000000"/>
          <w:lang w:eastAsia="ko-KR"/>
        </w:rPr>
        <w:t>, SAE DSRC Technical Committee Chair</w:t>
      </w:r>
    </w:p>
    <w:p w:rsidR="004A1CFC" w:rsidRPr="001F1F49" w:rsidRDefault="004A1CFC" w:rsidP="004A1CFC">
      <w:pPr>
        <w:pStyle w:val="Heading7"/>
        <w:tabs>
          <w:tab w:val="left" w:pos="2268"/>
        </w:tabs>
        <w:ind w:left="567"/>
        <w:rPr>
          <w:rFonts w:cs="Arial" w:hint="eastAsia"/>
          <w:b/>
          <w:bCs/>
          <w:color w:val="auto"/>
          <w:lang w:val="de-DE" w:eastAsia="ko-KR"/>
        </w:rPr>
      </w:pPr>
      <w:r w:rsidRPr="001F1F49">
        <w:rPr>
          <w:rFonts w:cs="Arial"/>
          <w:color w:val="auto"/>
          <w:lang w:val="de-DE"/>
        </w:rPr>
        <w:t>E-mail Address:</w:t>
      </w:r>
      <w:r w:rsidRPr="001F1F49">
        <w:rPr>
          <w:rFonts w:cs="Arial"/>
          <w:b/>
          <w:bCs/>
          <w:color w:val="auto"/>
          <w:lang w:val="de-DE"/>
        </w:rPr>
        <w:tab/>
      </w:r>
      <w:r w:rsidRPr="001F1F49">
        <w:rPr>
          <w:rFonts w:cs="Arial" w:hint="eastAsia"/>
          <w:b/>
          <w:bCs/>
          <w:color w:val="auto"/>
          <w:lang w:val="de-DE" w:eastAsia="ko-KR"/>
        </w:rPr>
        <w:t>sbai</w:t>
      </w:r>
      <w:r w:rsidRPr="001F1F49">
        <w:rPr>
          <w:rFonts w:cs="Arial"/>
          <w:b/>
          <w:bCs/>
          <w:color w:val="auto"/>
          <w:lang w:val="de-DE" w:eastAsia="ko-KR"/>
        </w:rPr>
        <w:t>@hra.com</w:t>
      </w:r>
    </w:p>
    <w:p w:rsidR="004A1CFC" w:rsidRDefault="004A1CFC" w:rsidP="004A1CFC">
      <w:pPr>
        <w:tabs>
          <w:tab w:val="left" w:pos="2268"/>
        </w:tabs>
        <w:rPr>
          <w:rFonts w:ascii="Arial" w:hAnsi="Arial" w:cs="Arial" w:hint="eastAsia"/>
          <w:b/>
          <w:lang w:val="de-DE" w:eastAsia="ko-KR"/>
        </w:rPr>
      </w:pPr>
    </w:p>
    <w:p w:rsidR="004A1CFC" w:rsidRDefault="004A1CFC" w:rsidP="004A1CFC">
      <w:pPr>
        <w:pBdr>
          <w:bottom w:val="single" w:sz="4" w:space="1" w:color="auto"/>
        </w:pBdr>
        <w:rPr>
          <w:rFonts w:ascii="Arial" w:hAnsi="Arial" w:cs="Arial"/>
        </w:rPr>
      </w:pPr>
    </w:p>
    <w:p w:rsidR="004A1CFC" w:rsidRPr="00786A40" w:rsidRDefault="004A1CFC" w:rsidP="004A1CFC">
      <w:pPr>
        <w:spacing w:after="120"/>
        <w:rPr>
          <w:rFonts w:ascii="Arial" w:hAnsi="Arial" w:cs="Arial"/>
          <w:sz w:val="20"/>
        </w:rPr>
      </w:pPr>
      <w:r w:rsidRPr="00786A40">
        <w:rPr>
          <w:rFonts w:ascii="Arial" w:hAnsi="Arial" w:cs="Arial"/>
          <w:sz w:val="20"/>
        </w:rPr>
        <w:t xml:space="preserve">The SAE DSRC Technical Committee (TC) is pleased to respond to the IEEE 802.11 Next Generation V2X Study Group (NGV SG) liaison request. The SAE DSRC TC standardizes DSRC message sets and DSRC application system requirements.  </w:t>
      </w:r>
    </w:p>
    <w:p w:rsidR="004A1CFC" w:rsidRPr="00786A40" w:rsidRDefault="004A1CFC" w:rsidP="004A1CFC">
      <w:pPr>
        <w:spacing w:after="120"/>
        <w:rPr>
          <w:rFonts w:ascii="Arial" w:hAnsi="Arial" w:cs="Arial"/>
          <w:sz w:val="20"/>
        </w:rPr>
      </w:pPr>
      <w:r w:rsidRPr="00786A40">
        <w:rPr>
          <w:rFonts w:ascii="Arial" w:hAnsi="Arial" w:cs="Arial"/>
          <w:sz w:val="20"/>
        </w:rPr>
        <w:t xml:space="preserve">We applaud the IEEE 802.11 Working Group (WG) for forming the NGV SG. With regard to use cases that can be supported by short range communication in 10 MHz channels, we believe that IEEE 802.11p (DSRC) is capable of meeting the requirements of planned safety, mobility, environmental sustainability, and automation use cases (for example, those supported by our SAE J2735 and SAE J2945/x standards). Therefore, we view the benefit of new PHY and MAC features that may be introduced in an NGV amendment to be primarily for improving the communication performance of those use cases, and secondarily for supporting new use cases like positioning or high capacity </w:t>
      </w:r>
      <w:proofErr w:type="spellStart"/>
      <w:r w:rsidRPr="00786A40">
        <w:rPr>
          <w:rFonts w:ascii="Arial" w:hAnsi="Arial" w:cs="Arial"/>
          <w:sz w:val="20"/>
        </w:rPr>
        <w:t>mmWave</w:t>
      </w:r>
      <w:proofErr w:type="spellEnd"/>
      <w:r w:rsidRPr="00786A40">
        <w:rPr>
          <w:rFonts w:ascii="Arial" w:hAnsi="Arial" w:cs="Arial"/>
          <w:sz w:val="20"/>
        </w:rPr>
        <w:t xml:space="preserve"> data transfers.</w:t>
      </w:r>
    </w:p>
    <w:p w:rsidR="004A1CFC" w:rsidRPr="00786A40" w:rsidRDefault="004A1CFC" w:rsidP="004A1CFC">
      <w:pPr>
        <w:spacing w:after="120"/>
        <w:rPr>
          <w:rFonts w:ascii="Arial" w:hAnsi="Arial" w:cs="Arial"/>
          <w:sz w:val="20"/>
        </w:rPr>
      </w:pPr>
      <w:r w:rsidRPr="00786A40">
        <w:rPr>
          <w:rFonts w:ascii="Arial" w:hAnsi="Arial" w:cs="Arial"/>
          <w:sz w:val="20"/>
        </w:rPr>
        <w:t>For ad hoc V2X communication we think interoperable communication among devices is of primary importance. In the future, IEEE 802.11p</w:t>
      </w:r>
      <w:r w:rsidRPr="00786A40">
        <w:rPr>
          <w:rFonts w:ascii="Arial" w:hAnsi="Arial" w:cs="Arial"/>
          <w:sz w:val="20"/>
        </w:rPr>
        <w:footnoteReference w:id="1"/>
      </w:r>
      <w:r w:rsidRPr="00786A40">
        <w:rPr>
          <w:rFonts w:ascii="Arial" w:hAnsi="Arial" w:cs="Arial"/>
          <w:sz w:val="20"/>
        </w:rPr>
        <w:t xml:space="preserve"> and IEEE 802.11NGV devices will need to communicate directly to interoperate, i.e. to decode each other’s packets. Therefore, we advise the IEEE NGV SG to require that all IEEE 802.11NGV devices be capable of interoperating directly with IEEE 802.11p devices (i.e., capable of decoding all IEEE 802.11p packets and </w:t>
      </w:r>
      <w:r w:rsidRPr="00786A40">
        <w:rPr>
          <w:rFonts w:ascii="Arial" w:hAnsi="Arial" w:cs="Arial"/>
          <w:noProof/>
          <w:sz w:val="20"/>
        </w:rPr>
        <w:t>of at</w:t>
      </w:r>
      <w:r w:rsidRPr="00786A40">
        <w:rPr>
          <w:rFonts w:ascii="Arial" w:hAnsi="Arial" w:cs="Arial"/>
          <w:sz w:val="20"/>
        </w:rPr>
        <w:t xml:space="preserve"> least one mode of transmission that can be decoded by IEEE 802.11p receivers).  We also advise the IEEE NGV SG to require that all IEEE 802.11NGV devices are able to share the channel they occupy fairly with IEEE 802.11p devices, e.g. by using a preamble that can be detected by IEEE 802.11p CCA-carrier sensing functions and by adopting sensing requirements and channel access priorities that are on par with those of IEEE 802.11p.  Finally, we suggest that the IEEE NGV SG consider standardizing a means by which IEEE 802.11NGV devices can identify each other, for example with an explicit capability indication that accompanies all IEEE 802.11NGV packets, even those that follow the IEEE 802.11p standard.  We think that the combination of these three characteristics: </w:t>
      </w:r>
    </w:p>
    <w:p w:rsidR="004A1CFC" w:rsidRPr="00786A40" w:rsidRDefault="004A1CFC" w:rsidP="004A1CFC">
      <w:pPr>
        <w:spacing w:after="120"/>
        <w:rPr>
          <w:rFonts w:ascii="Arial" w:hAnsi="Arial" w:cs="Arial"/>
          <w:sz w:val="20"/>
        </w:rPr>
      </w:pPr>
      <w:r w:rsidRPr="00786A40">
        <w:rPr>
          <w:rFonts w:ascii="Arial" w:hAnsi="Arial" w:cs="Arial"/>
          <w:sz w:val="20"/>
        </w:rPr>
        <w:t xml:space="preserve">(a) At least one mode of direct interoperability, </w:t>
      </w:r>
    </w:p>
    <w:p w:rsidR="004A1CFC" w:rsidRPr="00786A40" w:rsidRDefault="004A1CFC" w:rsidP="004A1CFC">
      <w:pPr>
        <w:spacing w:after="120"/>
        <w:rPr>
          <w:rFonts w:ascii="Arial" w:hAnsi="Arial" w:cs="Arial"/>
          <w:sz w:val="20"/>
        </w:rPr>
      </w:pPr>
      <w:r w:rsidRPr="00786A40">
        <w:rPr>
          <w:rFonts w:ascii="Arial" w:hAnsi="Arial" w:cs="Arial"/>
          <w:sz w:val="20"/>
        </w:rPr>
        <w:t xml:space="preserve">(b) Same-channel fair co-existence, and </w:t>
      </w:r>
    </w:p>
    <w:p w:rsidR="004A1CFC" w:rsidRPr="00786A40" w:rsidRDefault="004A1CFC" w:rsidP="004A1CFC">
      <w:pPr>
        <w:spacing w:after="120"/>
        <w:rPr>
          <w:rFonts w:ascii="Arial" w:hAnsi="Arial" w:cs="Arial"/>
          <w:sz w:val="20"/>
        </w:rPr>
      </w:pPr>
      <w:r w:rsidRPr="00786A40">
        <w:rPr>
          <w:rFonts w:ascii="Arial" w:hAnsi="Arial" w:cs="Arial"/>
          <w:sz w:val="20"/>
        </w:rPr>
        <w:t xml:space="preserve">(c) Capability identification, </w:t>
      </w:r>
    </w:p>
    <w:p w:rsidR="004A1CFC" w:rsidRPr="00786A40" w:rsidRDefault="004A1CFC" w:rsidP="004A1CFC">
      <w:pPr>
        <w:spacing w:after="120"/>
        <w:rPr>
          <w:rFonts w:ascii="Arial" w:hAnsi="Arial" w:cs="Arial"/>
          <w:sz w:val="20"/>
        </w:rPr>
      </w:pPr>
      <w:proofErr w:type="gramStart"/>
      <w:r w:rsidRPr="00786A40">
        <w:rPr>
          <w:rFonts w:ascii="Arial" w:hAnsi="Arial" w:cs="Arial"/>
          <w:sz w:val="20"/>
        </w:rPr>
        <w:t>form</w:t>
      </w:r>
      <w:proofErr w:type="gramEnd"/>
      <w:r w:rsidRPr="00786A40">
        <w:rPr>
          <w:rFonts w:ascii="Arial" w:hAnsi="Arial" w:cs="Arial"/>
          <w:sz w:val="20"/>
        </w:rPr>
        <w:t xml:space="preserve"> the basis for a seamless evolution strategy from IEEE 802.11p to IEEE 802.11NGV and beyond.  Such a seamless evolution strategy will be important now and in the future to encourage IEEE 802.11p deployments while the IEEE 802.11NGV amendment is being developed and tested, and will encourage IEEE 802.11NGV deployments when they are fully ready.</w:t>
      </w:r>
    </w:p>
    <w:p w:rsidR="004A1CFC" w:rsidRPr="00786A40" w:rsidRDefault="004A1CFC" w:rsidP="004A1CFC">
      <w:pPr>
        <w:spacing w:after="120"/>
        <w:rPr>
          <w:rFonts w:ascii="Arial" w:hAnsi="Arial" w:cs="Arial"/>
          <w:sz w:val="20"/>
        </w:rPr>
      </w:pPr>
      <w:r w:rsidRPr="00786A40">
        <w:rPr>
          <w:rFonts w:ascii="Arial" w:hAnsi="Arial" w:cs="Arial"/>
          <w:sz w:val="20"/>
        </w:rPr>
        <w:t>We look forward to continued correspondence with the IEEE 802.11 NGV Study Group/Task Group to help realize our mutual goals. We generally meet monthly by teleconference, and also hold regular face-to-face meetings.</w:t>
      </w:r>
    </w:p>
    <w:p w:rsidR="004A1CFC" w:rsidRDefault="004A1CFC" w:rsidP="004A1CFC">
      <w:pPr>
        <w:spacing w:after="120"/>
        <w:rPr>
          <w:rFonts w:ascii="Arial" w:hAnsi="Arial" w:cs="Arial"/>
        </w:rPr>
      </w:pPr>
    </w:p>
    <w:p w:rsidR="009F50A1" w:rsidRDefault="009F50A1" w:rsidP="009F50A1">
      <w:pPr>
        <w:rPr>
          <w:rFonts w:ascii="Arial" w:hAnsi="Arial" w:cs="Arial"/>
          <w:bCs/>
          <w:sz w:val="20"/>
        </w:rPr>
      </w:pPr>
    </w:p>
    <w:p w:rsidR="00CA09B2" w:rsidRPr="0092720F" w:rsidRDefault="00CA09B2">
      <w:pPr>
        <w:rPr>
          <w:b/>
          <w:sz w:val="28"/>
        </w:rPr>
      </w:pPr>
      <w:r w:rsidRPr="0092720F">
        <w:rPr>
          <w:b/>
          <w:sz w:val="28"/>
        </w:rPr>
        <w:t>References:</w:t>
      </w:r>
    </w:p>
    <w:p w:rsidR="00CA09B2" w:rsidRDefault="00CA09B2"/>
    <w:p w:rsidR="0092720F" w:rsidRPr="0092720F" w:rsidRDefault="0090469D">
      <w:pPr>
        <w:rPr>
          <w:sz w:val="28"/>
        </w:rPr>
      </w:pPr>
      <w:hyperlink r:id="rId14" w:history="1">
        <w:r w:rsidR="0092720F" w:rsidRPr="0092720F">
          <w:rPr>
            <w:rStyle w:val="Hyperlink"/>
            <w:sz w:val="28"/>
          </w:rPr>
          <w:t>https://mentor.ieee.org/802.11/dcn/18/11-18-1303-02-0ngv-liaison-requesting-feedback-on-ngv-usage-scenarios.docx</w:t>
        </w:r>
      </w:hyperlink>
    </w:p>
    <w:sectPr w:rsidR="0092720F" w:rsidRPr="0092720F">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9D" w:rsidRDefault="0090469D">
      <w:r>
        <w:separator/>
      </w:r>
    </w:p>
  </w:endnote>
  <w:endnote w:type="continuationSeparator" w:id="0">
    <w:p w:rsidR="0090469D" w:rsidRDefault="0090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469D">
    <w:pPr>
      <w:pStyle w:val="Footer"/>
      <w:tabs>
        <w:tab w:val="clear" w:pos="6480"/>
        <w:tab w:val="center" w:pos="4680"/>
        <w:tab w:val="right" w:pos="9360"/>
      </w:tabs>
    </w:pPr>
    <w:r>
      <w:fldChar w:fldCharType="begin"/>
    </w:r>
    <w:r>
      <w:instrText xml:space="preserve"> SUBJECT  \* MERGEFORMAT </w:instrText>
    </w:r>
    <w:r>
      <w:fldChar w:fldCharType="separate"/>
    </w:r>
    <w:r w:rsidR="006A4F55">
      <w:t>Submission</w:t>
    </w:r>
    <w:r>
      <w:fldChar w:fldCharType="end"/>
    </w:r>
    <w:r w:rsidR="0029020B">
      <w:tab/>
      <w:t xml:space="preserve">page </w:t>
    </w:r>
    <w:r w:rsidR="0029020B">
      <w:fldChar w:fldCharType="begin"/>
    </w:r>
    <w:r w:rsidR="0029020B">
      <w:instrText xml:space="preserve">page </w:instrText>
    </w:r>
    <w:r w:rsidR="0029020B">
      <w:fldChar w:fldCharType="separate"/>
    </w:r>
    <w:r w:rsidR="00E626B9">
      <w:rPr>
        <w:noProof/>
      </w:rPr>
      <w:t>3</w:t>
    </w:r>
    <w:r w:rsidR="0029020B">
      <w:fldChar w:fldCharType="end"/>
    </w:r>
    <w:r w:rsidR="0029020B">
      <w:tab/>
    </w:r>
    <w:r>
      <w:fldChar w:fldCharType="begin"/>
    </w:r>
    <w:r>
      <w:instrText xml:space="preserve"> COMMENTS  \* MERGEFORMAT </w:instrText>
    </w:r>
    <w:r>
      <w:fldChar w:fldCharType="separate"/>
    </w:r>
    <w:r w:rsidR="009F50A1">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9D" w:rsidRDefault="0090469D">
      <w:r>
        <w:separator/>
      </w:r>
    </w:p>
  </w:footnote>
  <w:footnote w:type="continuationSeparator" w:id="0">
    <w:p w:rsidR="0090469D" w:rsidRDefault="0090469D">
      <w:r>
        <w:continuationSeparator/>
      </w:r>
    </w:p>
  </w:footnote>
  <w:footnote w:id="1">
    <w:p w:rsidR="004A1CFC" w:rsidRDefault="004A1CFC" w:rsidP="004A1CFC">
      <w:pPr>
        <w:pStyle w:val="FootnoteText"/>
      </w:pPr>
      <w:r>
        <w:rPr>
          <w:rStyle w:val="FootnoteReference"/>
        </w:rPr>
        <w:footnoteRef/>
      </w:r>
      <w:r>
        <w:t xml:space="preserve"> We use “IEEE 802.11p” as short hand for 10 MHz OFDM communication outside the context of a BSS (OCB).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469D">
    <w:pPr>
      <w:pStyle w:val="Header"/>
      <w:tabs>
        <w:tab w:val="clear" w:pos="6480"/>
        <w:tab w:val="center" w:pos="4680"/>
        <w:tab w:val="right" w:pos="9360"/>
      </w:tabs>
    </w:pPr>
    <w:r>
      <w:fldChar w:fldCharType="begin"/>
    </w:r>
    <w:r>
      <w:instrText xml:space="preserve"> KEYWORDS  \* </w:instrText>
    </w:r>
    <w:r>
      <w:instrText xml:space="preserve">MERGEFORMAT </w:instrText>
    </w:r>
    <w:r>
      <w:fldChar w:fldCharType="separate"/>
    </w:r>
    <w:r w:rsidR="004A1CFC">
      <w:t>December</w:t>
    </w:r>
    <w:r w:rsidR="003A7C41">
      <w:t xml:space="preserve"> 2018</w:t>
    </w:r>
    <w:r>
      <w:fldChar w:fldCharType="end"/>
    </w:r>
    <w:r w:rsidR="0029020B">
      <w:tab/>
    </w:r>
    <w:r w:rsidR="0029020B">
      <w:tab/>
    </w:r>
    <w:r>
      <w:fldChar w:fldCharType="begin"/>
    </w:r>
    <w:r>
      <w:instrText xml:space="preserve"> TITLE  \* MERGEFORMAT </w:instrText>
    </w:r>
    <w:r>
      <w:fldChar w:fldCharType="separate"/>
    </w:r>
    <w:r w:rsidR="003A7C41">
      <w:t>doc.: IEEE 802.11-18</w:t>
    </w:r>
    <w:r w:rsidR="006A4F55">
      <w:t>/</w:t>
    </w:r>
    <w:r w:rsidR="004A1CFC">
      <w:t>2097</w:t>
    </w:r>
    <w:r w:rsidR="006A4F55">
      <w:t>r</w:t>
    </w:r>
    <w:r w:rsidR="005808C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B465F"/>
    <w:rsid w:val="000C0C57"/>
    <w:rsid w:val="00116D59"/>
    <w:rsid w:val="00134D3F"/>
    <w:rsid w:val="001A7A32"/>
    <w:rsid w:val="001C17AC"/>
    <w:rsid w:val="001D723B"/>
    <w:rsid w:val="001E0EEE"/>
    <w:rsid w:val="001F739D"/>
    <w:rsid w:val="0029020B"/>
    <w:rsid w:val="0029767B"/>
    <w:rsid w:val="002D44BE"/>
    <w:rsid w:val="002E3057"/>
    <w:rsid w:val="00351998"/>
    <w:rsid w:val="0036795E"/>
    <w:rsid w:val="003A7C41"/>
    <w:rsid w:val="003B5888"/>
    <w:rsid w:val="00442037"/>
    <w:rsid w:val="00496FC9"/>
    <w:rsid w:val="004A1CFC"/>
    <w:rsid w:val="004B064B"/>
    <w:rsid w:val="005333E9"/>
    <w:rsid w:val="005808CA"/>
    <w:rsid w:val="0062440B"/>
    <w:rsid w:val="006A4F55"/>
    <w:rsid w:val="006C0727"/>
    <w:rsid w:val="006E145F"/>
    <w:rsid w:val="00701FAE"/>
    <w:rsid w:val="00770572"/>
    <w:rsid w:val="00786A40"/>
    <w:rsid w:val="007A4764"/>
    <w:rsid w:val="007E45E8"/>
    <w:rsid w:val="00802256"/>
    <w:rsid w:val="008A70E3"/>
    <w:rsid w:val="008E26DB"/>
    <w:rsid w:val="0090469D"/>
    <w:rsid w:val="0092720F"/>
    <w:rsid w:val="009F2FBC"/>
    <w:rsid w:val="009F50A1"/>
    <w:rsid w:val="00A17443"/>
    <w:rsid w:val="00AA427C"/>
    <w:rsid w:val="00B7675B"/>
    <w:rsid w:val="00BE68C2"/>
    <w:rsid w:val="00CA09B2"/>
    <w:rsid w:val="00DC5A7B"/>
    <w:rsid w:val="00E23D98"/>
    <w:rsid w:val="00E626B9"/>
    <w:rsid w:val="00EF0534"/>
    <w:rsid w:val="00F0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oleObject" Target="embeddings/Microsoft_Word_97_-_2003_Document2.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mentor.ieee.org/802.11/dcn/18/11-18-1303-02-0ngv-liaison-requesting-feedback-on-ngv-usage-scenari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802.11-18/2097r0</vt:lpstr>
    </vt:vector>
  </TitlesOfParts>
  <Company>HP Enterprise</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802.11-18/2097r0</dc:title>
  <dc:subject>Liaison SAE DSRC TC</dc:subject>
  <dc:creator>Dorothy Stanley</dc:creator>
  <cp:keywords>December 2018</cp:keywords>
  <dc:description>D. Stanley, HP Enterprise</dc:description>
  <cp:lastModifiedBy>Stanley, Dorothy</cp:lastModifiedBy>
  <cp:revision>4</cp:revision>
  <cp:lastPrinted>2018-10-10T14:47:00Z</cp:lastPrinted>
  <dcterms:created xsi:type="dcterms:W3CDTF">2018-12-04T18:08:00Z</dcterms:created>
  <dcterms:modified xsi:type="dcterms:W3CDTF">2018-12-04T18:32:00Z</dcterms:modified>
</cp:coreProperties>
</file>