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77777777" w:rsidR="006803D3" w:rsidRDefault="009A4BA8" w:rsidP="002D7D0B">
            <w:pPr>
              <w:pStyle w:val="T2"/>
            </w:pPr>
            <w:r>
              <w:t>Resolution to CID</w:t>
            </w:r>
            <w:r w:rsidR="003F446F">
              <w:t xml:space="preserve">s related to </w:t>
            </w:r>
            <w:r w:rsidR="00FE39C1">
              <w:t>TPC</w:t>
            </w:r>
          </w:p>
        </w:tc>
      </w:tr>
      <w:tr w:rsidR="006803D3" w14:paraId="21A1F986" w14:textId="77777777" w:rsidTr="0078286B">
        <w:trPr>
          <w:trHeight w:val="359"/>
          <w:jc w:val="center"/>
        </w:trPr>
        <w:tc>
          <w:tcPr>
            <w:tcW w:w="5000" w:type="pct"/>
            <w:gridSpan w:val="5"/>
            <w:vAlign w:val="center"/>
          </w:tcPr>
          <w:p w14:paraId="3E10B2A3" w14:textId="7579BD6B"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A259CA">
              <w:rPr>
                <w:b w:val="0"/>
                <w:sz w:val="20"/>
              </w:rPr>
              <w:t>January</w:t>
            </w:r>
            <w:r w:rsidR="005546B6">
              <w:rPr>
                <w:b w:val="0"/>
                <w:sz w:val="20"/>
              </w:rPr>
              <w:t>-</w:t>
            </w:r>
            <w:r w:rsidR="00F46A97">
              <w:rPr>
                <w:b w:val="0"/>
                <w:sz w:val="20"/>
              </w:rPr>
              <w:t>14</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bookmarkStart w:id="0" w:name="_GoBack"/>
                            <w:bookmarkEnd w:id="0"/>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bookmarkStart w:id="1" w:name="_GoBack"/>
                      <w:bookmarkEnd w:id="1"/>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77777777" w:rsidR="008A1FB5" w:rsidRDefault="008A1FB5" w:rsidP="000306AE">
            <w:r>
              <w:t>3094</w:t>
            </w:r>
          </w:p>
        </w:tc>
        <w:tc>
          <w:tcPr>
            <w:tcW w:w="1219" w:type="dxa"/>
          </w:tcPr>
          <w:p w14:paraId="3E158A4E" w14:textId="77777777" w:rsidR="008A1FB5" w:rsidRDefault="008A1FB5" w:rsidP="000306AE"/>
        </w:tc>
        <w:tc>
          <w:tcPr>
            <w:tcW w:w="3789" w:type="dxa"/>
          </w:tcPr>
          <w:p w14:paraId="5B67B65D" w14:textId="77777777" w:rsidR="008A1FB5" w:rsidRPr="00CB0134" w:rsidRDefault="008A1FB5" w:rsidP="000306AE">
            <w:pPr>
              <w:rPr>
                <w:color w:val="000000"/>
              </w:rPr>
            </w:pPr>
            <w:r w:rsidRPr="0085727D">
              <w:rPr>
                <w:color w:val="000000"/>
              </w:rPr>
              <w:t>There should be a MIB defined to enable transmit power control (TPC)</w:t>
            </w:r>
          </w:p>
        </w:tc>
        <w:tc>
          <w:tcPr>
            <w:tcW w:w="3538" w:type="dxa"/>
          </w:tcPr>
          <w:p w14:paraId="34CBFA6F" w14:textId="77777777" w:rsidR="008A1FB5" w:rsidRPr="00CB0134" w:rsidRDefault="008A1FB5" w:rsidP="000306AE">
            <w:pPr>
              <w:rPr>
                <w:color w:val="000000"/>
              </w:rPr>
            </w:pPr>
            <w:r w:rsidRPr="0085727D">
              <w:rPr>
                <w:color w:val="000000"/>
              </w:rPr>
              <w:t>Define a MIB defined to enable transmit power control (TPC)</w:t>
            </w:r>
          </w:p>
        </w:tc>
      </w:tr>
      <w:tr w:rsidR="008A1FB5" w:rsidRPr="00D90530" w14:paraId="03670DA5" w14:textId="77777777" w:rsidTr="000306AE">
        <w:trPr>
          <w:trHeight w:val="584"/>
        </w:trPr>
        <w:tc>
          <w:tcPr>
            <w:tcW w:w="663" w:type="dxa"/>
          </w:tcPr>
          <w:p w14:paraId="63585C0E" w14:textId="77777777" w:rsidR="008A1FB5" w:rsidRDefault="008A1FB5" w:rsidP="000306AE">
            <w:r>
              <w:t>3095</w:t>
            </w:r>
          </w:p>
        </w:tc>
        <w:tc>
          <w:tcPr>
            <w:tcW w:w="1219" w:type="dxa"/>
          </w:tcPr>
          <w:p w14:paraId="4FD0649E" w14:textId="77777777" w:rsidR="008A1FB5" w:rsidRDefault="008A1FB5" w:rsidP="000306AE"/>
        </w:tc>
        <w:tc>
          <w:tcPr>
            <w:tcW w:w="3789" w:type="dxa"/>
          </w:tcPr>
          <w:p w14:paraId="08B0F1F2" w14:textId="77777777" w:rsidR="008A1FB5" w:rsidRPr="0085727D" w:rsidRDefault="008A1FB5" w:rsidP="000306AE">
            <w:pPr>
              <w:rPr>
                <w:color w:val="000000"/>
              </w:rPr>
            </w:pPr>
            <w:r w:rsidRPr="0085727D">
              <w:rPr>
                <w:color w:val="000000"/>
              </w:rPr>
              <w:t>The TPC MIB should be made mandatory for TDD networks</w:t>
            </w:r>
          </w:p>
        </w:tc>
        <w:tc>
          <w:tcPr>
            <w:tcW w:w="3538" w:type="dxa"/>
          </w:tcPr>
          <w:p w14:paraId="073E7DA6" w14:textId="77777777" w:rsidR="008A1FB5" w:rsidRPr="0085727D" w:rsidRDefault="008A1FB5" w:rsidP="000306AE">
            <w:pPr>
              <w:rPr>
                <w:color w:val="000000"/>
              </w:rPr>
            </w:pPr>
            <w:r w:rsidRPr="0085727D">
              <w:rPr>
                <w:color w:val="000000"/>
              </w:rPr>
              <w:t>Make TPC MIB mandatory for TDD networks</w:t>
            </w:r>
          </w:p>
        </w:tc>
      </w:tr>
      <w:tr w:rsidR="008A1FB5" w:rsidRPr="00D90530" w14:paraId="5F2A880E" w14:textId="77777777" w:rsidTr="000306AE">
        <w:trPr>
          <w:trHeight w:val="584"/>
        </w:trPr>
        <w:tc>
          <w:tcPr>
            <w:tcW w:w="663" w:type="dxa"/>
          </w:tcPr>
          <w:p w14:paraId="2383193B" w14:textId="77777777" w:rsidR="008A1FB5" w:rsidRDefault="008A1FB5" w:rsidP="000306AE">
            <w:r>
              <w:t>309</w:t>
            </w:r>
            <w:r w:rsidR="001E6B55">
              <w:t>8</w:t>
            </w:r>
          </w:p>
        </w:tc>
        <w:tc>
          <w:tcPr>
            <w:tcW w:w="1219" w:type="dxa"/>
          </w:tcPr>
          <w:p w14:paraId="776BBF4D" w14:textId="77777777" w:rsidR="008A1FB5" w:rsidRDefault="008A1FB5" w:rsidP="000306AE"/>
        </w:tc>
        <w:tc>
          <w:tcPr>
            <w:tcW w:w="3789" w:type="dxa"/>
          </w:tcPr>
          <w:p w14:paraId="7B96E920" w14:textId="77777777" w:rsidR="008A1FB5" w:rsidRPr="0085727D" w:rsidRDefault="008A1FB5" w:rsidP="000306AE">
            <w:pPr>
              <w:rPr>
                <w:color w:val="000000"/>
              </w:rPr>
            </w:pPr>
            <w:r w:rsidRPr="0085727D">
              <w:rPr>
                <w:color w:val="000000"/>
              </w:rPr>
              <w:t xml:space="preserve">Several contributions in 11ay discussed the impact of TDD network on SRD operation, which cannot be ignored for proper operation of the SRD. We cannot simply rely on </w:t>
            </w:r>
            <w:proofErr w:type="spellStart"/>
            <w:r w:rsidRPr="0085727D">
              <w:rPr>
                <w:color w:val="000000"/>
              </w:rPr>
              <w:t>edeployment</w:t>
            </w:r>
            <w:proofErr w:type="spellEnd"/>
            <w:r w:rsidRPr="0085727D">
              <w:rPr>
                <w:color w:val="000000"/>
              </w:rPr>
              <w:t xml:space="preserve"> to take care of the co-existence. Rather analysis has shown that TPC is very helpful for TDD </w:t>
            </w:r>
            <w:proofErr w:type="spellStart"/>
            <w:r w:rsidRPr="0085727D">
              <w:rPr>
                <w:color w:val="000000"/>
              </w:rPr>
              <w:t>netwrok</w:t>
            </w:r>
            <w:proofErr w:type="spellEnd"/>
            <w:r w:rsidRPr="0085727D">
              <w:rPr>
                <w:color w:val="000000"/>
              </w:rPr>
              <w:t xml:space="preserve"> to protect not only STAs in the TDD network but also to SRDs in the its vicinity.  Straw poll results (see IEEE 802.11-18/0877r0.) also indicated strong support to mandate TPC for TDD network.</w:t>
            </w:r>
          </w:p>
        </w:tc>
        <w:tc>
          <w:tcPr>
            <w:tcW w:w="3538" w:type="dxa"/>
          </w:tcPr>
          <w:p w14:paraId="677A7013" w14:textId="77777777" w:rsidR="008A1FB5" w:rsidRPr="0085727D" w:rsidRDefault="008A1FB5" w:rsidP="000306AE">
            <w:pPr>
              <w:rPr>
                <w:color w:val="000000"/>
              </w:rPr>
            </w:pPr>
            <w:r w:rsidRPr="0085727D">
              <w:rPr>
                <w:color w:val="000000"/>
              </w:rPr>
              <w:t xml:space="preserve">Add the </w:t>
            </w:r>
            <w:proofErr w:type="spellStart"/>
            <w:r w:rsidRPr="0085727D">
              <w:rPr>
                <w:color w:val="000000"/>
              </w:rPr>
              <w:t>relevent</w:t>
            </w:r>
            <w:proofErr w:type="spellEnd"/>
            <w:r w:rsidRPr="0085727D">
              <w:rPr>
                <w:color w:val="000000"/>
              </w:rPr>
              <w:t xml:space="preserve"> text to mandate the TPC support for TDD devices.</w:t>
            </w:r>
          </w:p>
        </w:tc>
      </w:tr>
      <w:tr w:rsidR="0065307E" w:rsidRPr="00D90530" w14:paraId="68EC44E9" w14:textId="77777777" w:rsidTr="000306AE">
        <w:trPr>
          <w:trHeight w:val="584"/>
        </w:trPr>
        <w:tc>
          <w:tcPr>
            <w:tcW w:w="663" w:type="dxa"/>
          </w:tcPr>
          <w:p w14:paraId="7C96912D" w14:textId="3EB53415" w:rsidR="0065307E" w:rsidRDefault="0065307E" w:rsidP="0065307E">
            <w:r>
              <w:t>3588</w:t>
            </w:r>
          </w:p>
        </w:tc>
        <w:tc>
          <w:tcPr>
            <w:tcW w:w="1219" w:type="dxa"/>
          </w:tcPr>
          <w:p w14:paraId="374C554C" w14:textId="77777777" w:rsidR="0065307E" w:rsidRDefault="0065307E" w:rsidP="0065307E"/>
        </w:tc>
        <w:tc>
          <w:tcPr>
            <w:tcW w:w="3789" w:type="dxa"/>
          </w:tcPr>
          <w:p w14:paraId="06711875" w14:textId="489BD8FA" w:rsidR="0065307E" w:rsidRPr="0085727D" w:rsidRDefault="0065307E" w:rsidP="0065307E">
            <w:pPr>
              <w:rPr>
                <w:color w:val="000000"/>
              </w:rPr>
            </w:pPr>
            <w:r w:rsidRPr="007A2327">
              <w:rPr>
                <w:color w:val="000000"/>
              </w:rPr>
              <w:t>It is not clear how to run the transmit power control (TPC) when both transmit side and receive side are capable and intend to run TPC.</w:t>
            </w:r>
          </w:p>
        </w:tc>
        <w:tc>
          <w:tcPr>
            <w:tcW w:w="3538" w:type="dxa"/>
          </w:tcPr>
          <w:p w14:paraId="3BC3FDCC" w14:textId="1DDFD660" w:rsidR="0065307E" w:rsidRPr="0085727D" w:rsidRDefault="0065307E" w:rsidP="0065307E">
            <w:pPr>
              <w:rPr>
                <w:color w:val="000000"/>
              </w:rPr>
            </w:pPr>
            <w:r w:rsidRPr="007A2327">
              <w:rPr>
                <w:color w:val="000000"/>
              </w:rPr>
              <w:t xml:space="preserve">Point to or provide a band-independent solution, such that one takes </w:t>
            </w:r>
            <w:proofErr w:type="spellStart"/>
            <w:r w:rsidRPr="007A2327">
              <w:rPr>
                <w:color w:val="000000"/>
              </w:rPr>
              <w:t>prority</w:t>
            </w:r>
            <w:proofErr w:type="spellEnd"/>
            <w:r w:rsidRPr="007A2327">
              <w:rPr>
                <w:color w:val="000000"/>
              </w:rPr>
              <w:t xml:space="preserve"> based on some metric or network roe (AP, non-AP..)</w:t>
            </w:r>
          </w:p>
        </w:tc>
      </w:tr>
      <w:tr w:rsidR="0065307E" w:rsidRPr="00D90530" w14:paraId="282E937C" w14:textId="77777777" w:rsidTr="000306AE">
        <w:trPr>
          <w:trHeight w:val="584"/>
        </w:trPr>
        <w:tc>
          <w:tcPr>
            <w:tcW w:w="663" w:type="dxa"/>
          </w:tcPr>
          <w:p w14:paraId="79371FFD" w14:textId="2F2FD567" w:rsidR="0065307E" w:rsidRDefault="0065307E" w:rsidP="0065307E">
            <w:r>
              <w:t>3571</w:t>
            </w:r>
          </w:p>
        </w:tc>
        <w:tc>
          <w:tcPr>
            <w:tcW w:w="1219" w:type="dxa"/>
          </w:tcPr>
          <w:p w14:paraId="52D322EC" w14:textId="77777777" w:rsidR="0065307E" w:rsidRDefault="0065307E" w:rsidP="0065307E"/>
        </w:tc>
        <w:tc>
          <w:tcPr>
            <w:tcW w:w="3789" w:type="dxa"/>
          </w:tcPr>
          <w:p w14:paraId="08EF94E0" w14:textId="591A908E" w:rsidR="0065307E" w:rsidRPr="0085727D" w:rsidRDefault="0065307E" w:rsidP="0065307E">
            <w:pPr>
              <w:rPr>
                <w:color w:val="000000"/>
              </w:rPr>
            </w:pPr>
            <w:r w:rsidRPr="009346FA">
              <w:rPr>
                <w:color w:val="000000"/>
              </w:rPr>
              <w:t>dot11SpectrumManagementRequired operation for DMG is underspecified</w:t>
            </w:r>
          </w:p>
        </w:tc>
        <w:tc>
          <w:tcPr>
            <w:tcW w:w="3538" w:type="dxa"/>
          </w:tcPr>
          <w:p w14:paraId="6B288401" w14:textId="77777777" w:rsidR="0065307E" w:rsidRPr="009346FA" w:rsidRDefault="0065307E" w:rsidP="0065307E">
            <w:pPr>
              <w:rPr>
                <w:color w:val="000000"/>
              </w:rPr>
            </w:pPr>
            <w:r w:rsidRPr="009346FA">
              <w:rPr>
                <w:color w:val="000000"/>
              </w:rPr>
              <w:t>Under this MIB,</w:t>
            </w:r>
          </w:p>
          <w:p w14:paraId="0C5D1433" w14:textId="77777777" w:rsidR="0065307E" w:rsidRPr="009346FA" w:rsidRDefault="0065307E" w:rsidP="0065307E">
            <w:pPr>
              <w:rPr>
                <w:color w:val="000000"/>
              </w:rPr>
            </w:pPr>
            <w:r w:rsidRPr="009346FA">
              <w:rPr>
                <w:color w:val="000000"/>
              </w:rPr>
              <w:t>- Add TPC Report IE to DMG Beacon frame</w:t>
            </w:r>
          </w:p>
          <w:p w14:paraId="6A2F0062" w14:textId="69DCA97D" w:rsidR="0065307E" w:rsidRPr="0085727D" w:rsidRDefault="0065307E" w:rsidP="0065307E">
            <w:pPr>
              <w:rPr>
                <w:color w:val="000000"/>
              </w:rPr>
            </w:pPr>
            <w:r w:rsidRPr="009346FA">
              <w:rPr>
                <w:color w:val="000000"/>
              </w:rPr>
              <w:t>- Add Country, Power Constraint, Channel Switch Announcement, Quiet and TPC Report IEs to Announce frame</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7FD21352" w14:textId="77777777" w:rsidR="009068C8" w:rsidRDefault="009068C8" w:rsidP="009068C8">
      <w:pPr>
        <w:rPr>
          <w:b/>
          <w:szCs w:val="22"/>
        </w:rPr>
      </w:pPr>
      <w:r>
        <w:rPr>
          <w:b/>
          <w:szCs w:val="22"/>
        </w:rPr>
        <w:t>Discussion:</w:t>
      </w:r>
    </w:p>
    <w:p w14:paraId="052D0CD1" w14:textId="6BE38781" w:rsidR="009068C8" w:rsidRDefault="00D46269" w:rsidP="00C541FA">
      <w:pPr>
        <w:rPr>
          <w:szCs w:val="22"/>
          <w:lang w:val="en-US" w:eastAsia="zh-CN"/>
        </w:rPr>
      </w:pPr>
      <w:r>
        <w:rPr>
          <w:szCs w:val="22"/>
          <w:lang w:val="en-US" w:eastAsia="zh-CN"/>
        </w:rPr>
        <w:t xml:space="preserve">REVmd already had a DMG TPC procedure, however it is </w:t>
      </w:r>
      <w:proofErr w:type="spellStart"/>
      <w:r>
        <w:rPr>
          <w:szCs w:val="22"/>
          <w:lang w:val="en-US" w:eastAsia="zh-CN"/>
        </w:rPr>
        <w:t>is</w:t>
      </w:r>
      <w:proofErr w:type="spellEnd"/>
      <w:r>
        <w:rPr>
          <w:szCs w:val="22"/>
          <w:lang w:val="en-US" w:eastAsia="zh-CN"/>
        </w:rPr>
        <w:t xml:space="preserve"> not based on the periodic link measurement</w:t>
      </w:r>
      <w:r w:rsidR="009068C8">
        <w:rPr>
          <w:szCs w:val="22"/>
          <w:lang w:val="en-US" w:eastAsia="zh-CN"/>
        </w:rPr>
        <w:t>.</w:t>
      </w:r>
    </w:p>
    <w:p w14:paraId="6F597E58" w14:textId="5FBC9277" w:rsidR="00D46269" w:rsidRDefault="00D46269" w:rsidP="00C541FA">
      <w:pPr>
        <w:rPr>
          <w:szCs w:val="22"/>
          <w:lang w:val="en-US" w:eastAsia="zh-CN"/>
        </w:rPr>
      </w:pPr>
      <w:r>
        <w:rPr>
          <w:szCs w:val="22"/>
          <w:lang w:val="en-US" w:eastAsia="zh-CN"/>
        </w:rPr>
        <w:t>TPC in general can implemented in two ways: computation is on the Tx side or on the R</w:t>
      </w:r>
      <w:r w:rsidR="00ED4E39">
        <w:rPr>
          <w:szCs w:val="22"/>
          <w:lang w:val="en-US" w:eastAsia="zh-CN"/>
        </w:rPr>
        <w:t>x</w:t>
      </w:r>
      <w:r>
        <w:rPr>
          <w:szCs w:val="22"/>
          <w:lang w:val="en-US" w:eastAsia="zh-CN"/>
        </w:rPr>
        <w:t xml:space="preserve"> side.</w:t>
      </w:r>
    </w:p>
    <w:p w14:paraId="19D9668C" w14:textId="77777777" w:rsidR="00ED4E39" w:rsidRDefault="00ED4E39" w:rsidP="00C541FA">
      <w:pPr>
        <w:rPr>
          <w:szCs w:val="22"/>
          <w:lang w:val="en-US" w:eastAsia="zh-CN"/>
        </w:rPr>
      </w:pPr>
    </w:p>
    <w:p w14:paraId="2516AA71" w14:textId="77777777" w:rsidR="00595BFF" w:rsidRDefault="00595BFF" w:rsidP="00595BFF">
      <w:pPr>
        <w:rPr>
          <w:szCs w:val="22"/>
          <w:lang w:val="en-US" w:eastAsia="zh-CN"/>
        </w:rPr>
      </w:pPr>
      <w:r>
        <w:rPr>
          <w:szCs w:val="22"/>
          <w:lang w:val="en-US" w:eastAsia="zh-CN"/>
        </w:rPr>
        <w:t xml:space="preserve">TPC based on link measurements from the responder requires only the reception of the Link Measurements reports from the responder.  All spec components for this mode already exist in the current spec. The resolution below adds the </w:t>
      </w:r>
      <w:r w:rsidRPr="00ED4E39">
        <w:rPr>
          <w:szCs w:val="22"/>
          <w:lang w:val="en-US" w:eastAsia="zh-CN"/>
        </w:rPr>
        <w:t>dot11PeriodicTPCEnabled</w:t>
      </w:r>
      <w:r>
        <w:rPr>
          <w:szCs w:val="22"/>
          <w:lang w:val="en-US" w:eastAsia="zh-CN"/>
        </w:rPr>
        <w:t xml:space="preserve"> MIB element to activate the functionality.</w:t>
      </w:r>
    </w:p>
    <w:p w14:paraId="71956F2A" w14:textId="28F4F741" w:rsidR="00595BFF" w:rsidRDefault="00595BFF" w:rsidP="00595BFF">
      <w:pPr>
        <w:rPr>
          <w:szCs w:val="22"/>
          <w:lang w:val="en-US" w:eastAsia="zh-CN"/>
        </w:rPr>
      </w:pPr>
      <w:r>
        <w:rPr>
          <w:szCs w:val="22"/>
          <w:lang w:val="en-US" w:eastAsia="zh-CN"/>
        </w:rPr>
        <w:t xml:space="preserve">It should be noted that in this mode, the Initiator (the transmitter) may receive the results of the </w:t>
      </w:r>
      <w:proofErr w:type="spellStart"/>
      <w:r>
        <w:rPr>
          <w:szCs w:val="22"/>
          <w:lang w:val="en-US" w:eastAsia="zh-CN"/>
        </w:rPr>
        <w:t>respodner</w:t>
      </w:r>
      <w:proofErr w:type="spellEnd"/>
      <w:r>
        <w:rPr>
          <w:szCs w:val="22"/>
          <w:lang w:val="en-US" w:eastAsia="zh-CN"/>
        </w:rPr>
        <w:t xml:space="preserve"> power commands from the Responder and it may use it as part of its TPC algorithm.</w:t>
      </w:r>
    </w:p>
    <w:p w14:paraId="0CD69BFE" w14:textId="77777777" w:rsidR="00595BFF" w:rsidRDefault="00595BFF" w:rsidP="00595BFF">
      <w:pPr>
        <w:rPr>
          <w:szCs w:val="22"/>
          <w:lang w:val="en-US" w:eastAsia="zh-CN"/>
        </w:rPr>
      </w:pPr>
    </w:p>
    <w:p w14:paraId="202B0AF5" w14:textId="58BE4650" w:rsidR="00595BFF" w:rsidRDefault="00595BFF" w:rsidP="00595BFF">
      <w:pPr>
        <w:rPr>
          <w:szCs w:val="22"/>
          <w:lang w:val="en-US" w:eastAsia="zh-CN"/>
        </w:rPr>
      </w:pPr>
      <w:r>
        <w:rPr>
          <w:szCs w:val="22"/>
          <w:lang w:val="en-US" w:eastAsia="zh-CN"/>
        </w:rPr>
        <w:t xml:space="preserve">TPC based on responder power commands is more complex. The Initiator is the transmit side of the </w:t>
      </w:r>
      <w:proofErr w:type="spellStart"/>
      <w:r>
        <w:rPr>
          <w:szCs w:val="22"/>
          <w:lang w:val="en-US" w:eastAsia="zh-CN"/>
        </w:rPr>
        <w:t>linke</w:t>
      </w:r>
      <w:proofErr w:type="spellEnd"/>
      <w:r>
        <w:rPr>
          <w:szCs w:val="22"/>
          <w:lang w:val="en-US" w:eastAsia="zh-CN"/>
        </w:rPr>
        <w:t xml:space="preserve"> and it needs to know that the Responder can generate power control commands. Therefore, we added a capability bit to the DMG Capabilities. The responder sends the results of the TPC-Rx computation via existing fields in the Link Measurement Report. The Initiator shall use these values to adjust the transmit power </w:t>
      </w:r>
      <w:proofErr w:type="gramStart"/>
      <w:r>
        <w:rPr>
          <w:szCs w:val="22"/>
          <w:lang w:val="en-US" w:eastAsia="zh-CN"/>
        </w:rPr>
        <w:t>as long as</w:t>
      </w:r>
      <w:proofErr w:type="gramEnd"/>
      <w:r>
        <w:rPr>
          <w:szCs w:val="22"/>
          <w:lang w:val="en-US" w:eastAsia="zh-CN"/>
        </w:rPr>
        <w:t xml:space="preserve"> they don’t exceed the min and max supported transmit power.</w:t>
      </w:r>
    </w:p>
    <w:p w14:paraId="5E39E91E" w14:textId="77777777" w:rsidR="00ED4E39" w:rsidRDefault="00ED4E39" w:rsidP="00C541FA">
      <w:pPr>
        <w:rPr>
          <w:szCs w:val="22"/>
          <w:lang w:val="en-US" w:eastAsia="zh-CN"/>
        </w:rPr>
      </w:pPr>
    </w:p>
    <w:p w14:paraId="7001C456" w14:textId="77777777" w:rsidR="00595BFF" w:rsidRDefault="00595BFF" w:rsidP="00595BFF">
      <w:pPr>
        <w:rPr>
          <w:szCs w:val="22"/>
          <w:lang w:val="en-US" w:eastAsia="zh-CN"/>
        </w:rPr>
      </w:pPr>
      <w:r>
        <w:rPr>
          <w:szCs w:val="22"/>
          <w:lang w:val="en-US" w:eastAsia="zh-CN"/>
        </w:rPr>
        <w:lastRenderedPageBreak/>
        <w:t xml:space="preserve">There is a need to define a new TPC based on periodic link measurements report and clearly define how the TPC based on power commands and </w:t>
      </w:r>
      <w:proofErr w:type="spellStart"/>
      <w:r>
        <w:rPr>
          <w:szCs w:val="22"/>
          <w:lang w:val="en-US" w:eastAsia="zh-CN"/>
        </w:rPr>
        <w:t>TPCbased</w:t>
      </w:r>
      <w:proofErr w:type="spellEnd"/>
      <w:r>
        <w:rPr>
          <w:szCs w:val="22"/>
          <w:lang w:val="en-US" w:eastAsia="zh-CN"/>
        </w:rPr>
        <w:t xml:space="preserve"> on link </w:t>
      </w:r>
      <w:proofErr w:type="spellStart"/>
      <w:r>
        <w:rPr>
          <w:szCs w:val="22"/>
          <w:lang w:val="en-US" w:eastAsia="zh-CN"/>
        </w:rPr>
        <w:t>measuremetns</w:t>
      </w:r>
      <w:proofErr w:type="spellEnd"/>
      <w:r>
        <w:rPr>
          <w:szCs w:val="22"/>
          <w:lang w:val="en-US" w:eastAsia="zh-CN"/>
        </w:rPr>
        <w:t xml:space="preserve"> operate.</w:t>
      </w:r>
    </w:p>
    <w:p w14:paraId="67C9BAE7" w14:textId="77777777" w:rsidR="00595BFF" w:rsidRDefault="00595BFF" w:rsidP="00595BFF">
      <w:pPr>
        <w:rPr>
          <w:szCs w:val="22"/>
          <w:lang w:val="en-US" w:eastAsia="zh-CN"/>
        </w:rPr>
      </w:pPr>
      <w:r>
        <w:rPr>
          <w:szCs w:val="22"/>
          <w:lang w:val="en-US" w:eastAsia="zh-CN"/>
        </w:rPr>
        <w:t xml:space="preserve">The DMG Periodic TPC is different than the existing DMG TPC by: </w:t>
      </w:r>
    </w:p>
    <w:p w14:paraId="0E5BC5E5" w14:textId="3A50C450" w:rsidR="00595BFF" w:rsidRDefault="00595BFF" w:rsidP="00595BFF">
      <w:pPr>
        <w:rPr>
          <w:szCs w:val="22"/>
          <w:lang w:val="en-US" w:eastAsia="zh-CN"/>
        </w:rPr>
      </w:pPr>
      <w:r>
        <w:rPr>
          <w:szCs w:val="22"/>
          <w:lang w:val="en-US" w:eastAsia="zh-CN"/>
        </w:rPr>
        <w:t>(a) it is based on the Periodic Link Measurements</w:t>
      </w:r>
    </w:p>
    <w:p w14:paraId="01955386" w14:textId="77777777" w:rsidR="00595BFF" w:rsidRDefault="00595BFF" w:rsidP="00595BFF">
      <w:pPr>
        <w:rPr>
          <w:szCs w:val="22"/>
          <w:lang w:val="en-US" w:eastAsia="zh-CN"/>
        </w:rPr>
      </w:pPr>
      <w:r>
        <w:rPr>
          <w:szCs w:val="22"/>
          <w:lang w:val="en-US" w:eastAsia="zh-CN"/>
        </w:rPr>
        <w:t>(b) no additional unsolicited Link Measurement Report is required to acknowledge the reception and execution of the transmit power or MCS change received from the Responder</w:t>
      </w:r>
    </w:p>
    <w:p w14:paraId="0ED61593" w14:textId="79565F5C" w:rsidR="00595BFF" w:rsidRDefault="00595BFF" w:rsidP="00595BFF">
      <w:pPr>
        <w:rPr>
          <w:szCs w:val="22"/>
          <w:lang w:val="en-US" w:eastAsia="zh-CN"/>
        </w:rPr>
      </w:pPr>
      <w:r>
        <w:rPr>
          <w:szCs w:val="22"/>
          <w:lang w:val="en-US" w:eastAsia="zh-CN"/>
        </w:rPr>
        <w:t xml:space="preserve">(c) DMG Periodic TPC is separate from the </w:t>
      </w:r>
      <w:r w:rsidRPr="00ED4E39">
        <w:rPr>
          <w:szCs w:val="22"/>
          <w:lang w:val="en-US" w:eastAsia="zh-CN"/>
        </w:rPr>
        <w:t>dot11SpectrumManagementRequired</w:t>
      </w:r>
      <w:r>
        <w:rPr>
          <w:szCs w:val="22"/>
          <w:lang w:val="en-US" w:eastAsia="zh-CN"/>
        </w:rPr>
        <w:t xml:space="preserve"> MIB.</w:t>
      </w:r>
    </w:p>
    <w:p w14:paraId="46066578" w14:textId="77777777" w:rsidR="00595BFF" w:rsidRDefault="00595BFF" w:rsidP="00595BFF">
      <w:pPr>
        <w:rPr>
          <w:szCs w:val="22"/>
          <w:lang w:val="en-US" w:eastAsia="zh-CN"/>
        </w:rPr>
      </w:pPr>
    </w:p>
    <w:p w14:paraId="7E6F87DA" w14:textId="77777777" w:rsidR="00595BFF" w:rsidRDefault="00595BFF" w:rsidP="00595BFF">
      <w:pPr>
        <w:rPr>
          <w:szCs w:val="22"/>
          <w:lang w:val="en-US" w:eastAsia="zh-CN"/>
        </w:rPr>
      </w:pPr>
      <w:r>
        <w:rPr>
          <w:szCs w:val="22"/>
          <w:lang w:val="en-US" w:eastAsia="zh-CN"/>
        </w:rPr>
        <w:t>The solution includes:</w:t>
      </w:r>
    </w:p>
    <w:p w14:paraId="17BBBF8B" w14:textId="77777777" w:rsidR="00595BFF" w:rsidRDefault="00595BFF" w:rsidP="00595BFF">
      <w:pPr>
        <w:pStyle w:val="ListParagraph"/>
        <w:numPr>
          <w:ilvl w:val="0"/>
          <w:numId w:val="44"/>
        </w:numPr>
        <w:ind w:firstLineChars="0"/>
        <w:rPr>
          <w:szCs w:val="22"/>
          <w:lang w:val="en-US" w:eastAsia="zh-CN"/>
        </w:rPr>
      </w:pPr>
      <w:r>
        <w:rPr>
          <w:szCs w:val="22"/>
          <w:lang w:val="en-US" w:eastAsia="zh-CN"/>
        </w:rPr>
        <w:t xml:space="preserve">A new MIB to define the DMG Periodic TPC mode {None, Rx, Tx}, named </w:t>
      </w:r>
      <w:r w:rsidRPr="00ED4E39">
        <w:rPr>
          <w:szCs w:val="22"/>
          <w:lang w:val="en-US" w:eastAsia="zh-CN"/>
        </w:rPr>
        <w:t>dot11PeriodicTPCEnabled</w:t>
      </w:r>
      <w:r>
        <w:rPr>
          <w:szCs w:val="22"/>
          <w:lang w:val="en-US" w:eastAsia="zh-CN"/>
        </w:rPr>
        <w:t xml:space="preserve"> [CID#</w:t>
      </w:r>
      <w:r>
        <w:t>3094].</w:t>
      </w:r>
      <w:r>
        <w:br/>
        <w:t>The new MIB can be made mandatory for STA in TDD mode [CID#3095]</w:t>
      </w:r>
    </w:p>
    <w:p w14:paraId="18AFE907" w14:textId="77777777" w:rsidR="00595BFF" w:rsidRDefault="00595BFF" w:rsidP="00595BFF">
      <w:pPr>
        <w:pStyle w:val="ListParagraph"/>
        <w:numPr>
          <w:ilvl w:val="0"/>
          <w:numId w:val="44"/>
        </w:numPr>
        <w:ind w:firstLineChars="0"/>
        <w:rPr>
          <w:szCs w:val="22"/>
          <w:lang w:val="en-US" w:eastAsia="zh-CN"/>
        </w:rPr>
      </w:pPr>
      <w:r>
        <w:rPr>
          <w:szCs w:val="22"/>
          <w:lang w:val="en-US" w:eastAsia="zh-CN"/>
        </w:rPr>
        <w:t>A new DMG capability for the responder to signal that it can perform his part of the DMG Periodic TPC-Rx [needed for CID#</w:t>
      </w:r>
      <w:r>
        <w:t>3588]</w:t>
      </w:r>
    </w:p>
    <w:p w14:paraId="2F8B677E" w14:textId="77777777" w:rsidR="00595BFF" w:rsidRPr="00B1521F" w:rsidRDefault="00595BFF" w:rsidP="00595BFF">
      <w:pPr>
        <w:pStyle w:val="ListParagraph"/>
        <w:numPr>
          <w:ilvl w:val="0"/>
          <w:numId w:val="44"/>
        </w:numPr>
        <w:ind w:firstLineChars="0"/>
        <w:rPr>
          <w:szCs w:val="22"/>
          <w:lang w:val="en-US" w:eastAsia="zh-CN"/>
        </w:rPr>
      </w:pPr>
      <w:r>
        <w:rPr>
          <w:szCs w:val="22"/>
          <w:lang w:val="en-US" w:eastAsia="zh-CN"/>
        </w:rPr>
        <w:t>A new section to define the MAC functionality for the DMG Periodic TPC [CID#</w:t>
      </w:r>
      <w:r>
        <w:t>3588]</w:t>
      </w:r>
    </w:p>
    <w:p w14:paraId="120E1E39" w14:textId="77777777" w:rsidR="00595BFF" w:rsidRDefault="00595BFF" w:rsidP="00595BFF">
      <w:r>
        <w:rPr>
          <w:szCs w:val="22"/>
          <w:lang w:val="en-US" w:eastAsia="zh-CN"/>
        </w:rPr>
        <w:t>All above are related to CID#</w:t>
      </w:r>
      <w:r>
        <w:t>3098, CID#3588</w:t>
      </w:r>
    </w:p>
    <w:p w14:paraId="42AA3531" w14:textId="77777777" w:rsidR="00595BFF" w:rsidRDefault="00595BFF" w:rsidP="00595BFF">
      <w:pPr>
        <w:rPr>
          <w:szCs w:val="22"/>
          <w:lang w:val="en-US" w:eastAsia="zh-CN"/>
        </w:rPr>
      </w:pPr>
      <w:r>
        <w:rPr>
          <w:szCs w:val="22"/>
          <w:lang w:val="en-US" w:eastAsia="zh-CN"/>
        </w:rPr>
        <w:t xml:space="preserve">The </w:t>
      </w:r>
      <w:r w:rsidRPr="00ED4E39">
        <w:rPr>
          <w:szCs w:val="22"/>
          <w:lang w:val="en-US" w:eastAsia="zh-CN"/>
        </w:rPr>
        <w:t xml:space="preserve">dot11SpectrumManagementRequired </w:t>
      </w:r>
      <w:r>
        <w:rPr>
          <w:szCs w:val="22"/>
          <w:lang w:val="en-US" w:eastAsia="zh-CN"/>
        </w:rPr>
        <w:t>can be also made mandatory for STA in TDD mode [CID#</w:t>
      </w:r>
      <w:r w:rsidRPr="00ED4E39">
        <w:rPr>
          <w:szCs w:val="22"/>
          <w:lang w:val="en-US" w:eastAsia="zh-CN"/>
        </w:rPr>
        <w:t>3571</w:t>
      </w:r>
      <w:r>
        <w:rPr>
          <w:szCs w:val="22"/>
          <w:lang w:val="en-US" w:eastAsia="zh-CN"/>
        </w:rPr>
        <w:t>]</w:t>
      </w:r>
    </w:p>
    <w:p w14:paraId="530C8918" w14:textId="77777777" w:rsidR="009068C8" w:rsidRPr="00595BFF" w:rsidRDefault="009068C8" w:rsidP="00C541FA">
      <w:pPr>
        <w:rPr>
          <w:b/>
          <w:szCs w:val="22"/>
          <w:lang w:val="en-US"/>
        </w:rPr>
      </w:pPr>
    </w:p>
    <w:p w14:paraId="1D67CDB7" w14:textId="590C9713" w:rsidR="00C541FA" w:rsidRDefault="00C541FA" w:rsidP="00C54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24BAE3D" w14:textId="77777777" w:rsidR="00C541FA" w:rsidRDefault="00C541FA" w:rsidP="008A1FB5">
      <w:pPr>
        <w:widowControl w:val="0"/>
        <w:autoSpaceDE w:val="0"/>
        <w:autoSpaceDN w:val="0"/>
        <w:adjustRightInd w:val="0"/>
        <w:rPr>
          <w:rFonts w:ascii="Arial-BoldMT" w:hAnsi="Arial-BoldMT" w:cs="Arial-BoldMT"/>
          <w:b/>
          <w:bCs/>
          <w:i/>
          <w:sz w:val="24"/>
          <w:szCs w:val="24"/>
          <w:lang w:val="en-US" w:eastAsia="zh-CN"/>
        </w:rPr>
      </w:pPr>
    </w:p>
    <w:p w14:paraId="33D8741E" w14:textId="77777777" w:rsidR="0065307E" w:rsidRDefault="0065307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76D6F35E" w14:textId="2F4359E8" w:rsidR="009068C8" w:rsidRDefault="009068C8" w:rsidP="009068C8">
      <w:pPr>
        <w:widowControl w:val="0"/>
        <w:autoSpaceDE w:val="0"/>
        <w:autoSpaceDN w:val="0"/>
        <w:adjustRightInd w:val="0"/>
        <w:rPr>
          <w:szCs w:val="22"/>
          <w:lang w:val="en-US" w:eastAsia="zh-CN"/>
        </w:rPr>
      </w:pPr>
    </w:p>
    <w:p w14:paraId="5E77069D" w14:textId="12DC70A1" w:rsidR="00EC7A0E" w:rsidRPr="009767B6" w:rsidRDefault="00B477A7" w:rsidP="00EC7A0E">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 xml:space="preserve">Changes to </w:t>
      </w:r>
      <w:r w:rsidR="009767B6" w:rsidRPr="009767B6">
        <w:rPr>
          <w:rFonts w:ascii="Arial-BoldMT" w:hAnsi="Arial-BoldMT" w:cs="Arial-BoldMT"/>
          <w:b/>
          <w:bCs/>
          <w:iCs/>
          <w:color w:val="00B050"/>
          <w:sz w:val="26"/>
          <w:szCs w:val="26"/>
          <w:u w:val="single"/>
          <w:lang w:val="en-US" w:eastAsia="zh-CN"/>
        </w:rPr>
        <w:t>section 6.3.32 Link Measure Request</w:t>
      </w:r>
    </w:p>
    <w:p w14:paraId="2DD983D1" w14:textId="77777777" w:rsidR="009767B6" w:rsidRPr="009767B6" w:rsidRDefault="009767B6" w:rsidP="00EC7A0E">
      <w:pPr>
        <w:widowControl w:val="0"/>
        <w:autoSpaceDE w:val="0"/>
        <w:autoSpaceDN w:val="0"/>
        <w:adjustRightInd w:val="0"/>
        <w:outlineLvl w:val="0"/>
        <w:rPr>
          <w:rFonts w:ascii="Arial-BoldMT" w:hAnsi="Arial-BoldMT" w:cs="Arial-BoldMT"/>
          <w:b/>
          <w:bCs/>
          <w:iCs/>
          <w:sz w:val="24"/>
          <w:szCs w:val="24"/>
          <w:u w:val="single"/>
          <w:lang w:val="en-US" w:eastAsia="zh-CN"/>
        </w:rPr>
      </w:pPr>
    </w:p>
    <w:p w14:paraId="66498757" w14:textId="786BF22A"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proofErr w:type="spellStart"/>
      <w:r w:rsidR="00E60089">
        <w:rPr>
          <w:rFonts w:ascii="Arial-BoldMT" w:hAnsi="Arial-BoldMT" w:cs="Arial-BoldMT"/>
          <w:b/>
          <w:bCs/>
          <w:i/>
          <w:sz w:val="24"/>
          <w:szCs w:val="24"/>
          <w:lang w:val="en-US" w:eastAsia="zh-CN"/>
        </w:rPr>
        <w:t>REVmd</w:t>
      </w:r>
      <w:proofErr w:type="spellEnd"/>
      <w:r w:rsidR="00E60089">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P45</w:t>
      </w:r>
      <w:r w:rsidR="00E64B24">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L43-44)</w:t>
      </w:r>
    </w:p>
    <w:p w14:paraId="2DD9F32B" w14:textId="77777777" w:rsidR="00CC353C" w:rsidRPr="00CC353C" w:rsidRDefault="00CC353C" w:rsidP="00CC353C">
      <w:pPr>
        <w:widowControl w:val="0"/>
        <w:autoSpaceDE w:val="0"/>
        <w:autoSpaceDN w:val="0"/>
        <w:adjustRightInd w:val="0"/>
        <w:rPr>
          <w:szCs w:val="22"/>
          <w:lang w:val="en-US" w:eastAsia="zh-CN"/>
        </w:rPr>
      </w:pPr>
      <w:r w:rsidRPr="00CC353C">
        <w:rPr>
          <w:szCs w:val="22"/>
          <w:lang w:val="en-US" w:eastAsia="zh-CN"/>
        </w:rPr>
        <w:t>The following primitives support the measurement of link path loss</w:t>
      </w:r>
      <w:r w:rsidRPr="00CC353C">
        <w:rPr>
          <w:color w:val="FF0000"/>
          <w:szCs w:val="22"/>
          <w:u w:val="single"/>
          <w:lang w:val="en-US" w:eastAsia="zh-CN"/>
        </w:rPr>
        <w:t>,</w:t>
      </w:r>
      <w:r>
        <w:rPr>
          <w:szCs w:val="22"/>
          <w:lang w:val="en-US" w:eastAsia="zh-CN"/>
        </w:rPr>
        <w:t xml:space="preserve"> </w:t>
      </w:r>
      <w:r w:rsidRPr="00CC353C">
        <w:rPr>
          <w:strike/>
          <w:color w:val="FF0000"/>
          <w:szCs w:val="22"/>
          <w:lang w:val="en-US" w:eastAsia="zh-CN"/>
        </w:rPr>
        <w:t>and</w:t>
      </w:r>
      <w:r w:rsidRPr="00CC353C">
        <w:rPr>
          <w:color w:val="FF0000"/>
          <w:szCs w:val="22"/>
          <w:lang w:val="en-US" w:eastAsia="zh-CN"/>
        </w:rPr>
        <w:t xml:space="preserve"> </w:t>
      </w:r>
      <w:r w:rsidRPr="00CC353C">
        <w:rPr>
          <w:szCs w:val="22"/>
          <w:lang w:val="en-US" w:eastAsia="zh-CN"/>
        </w:rPr>
        <w:t>the estimation of link margin</w:t>
      </w:r>
    </w:p>
    <w:p w14:paraId="1D528068" w14:textId="4B1B3AE9" w:rsidR="00CC353C" w:rsidRDefault="00CC353C" w:rsidP="00CC353C">
      <w:pPr>
        <w:widowControl w:val="0"/>
        <w:autoSpaceDE w:val="0"/>
        <w:autoSpaceDN w:val="0"/>
        <w:adjustRightInd w:val="0"/>
        <w:rPr>
          <w:szCs w:val="22"/>
          <w:lang w:val="en-US" w:eastAsia="zh-CN"/>
        </w:rPr>
      </w:pPr>
      <w:r w:rsidRPr="00CC353C">
        <w:rPr>
          <w:szCs w:val="22"/>
          <w:lang w:val="en-US" w:eastAsia="zh-CN"/>
        </w:rPr>
        <w:t xml:space="preserve">between peer entities </w:t>
      </w:r>
      <w:r w:rsidRPr="00CC353C">
        <w:rPr>
          <w:color w:val="FF0000"/>
          <w:szCs w:val="22"/>
          <w:u w:val="single"/>
          <w:lang w:val="en-US" w:eastAsia="zh-CN"/>
        </w:rPr>
        <w:t xml:space="preserve">and </w:t>
      </w:r>
      <w:r w:rsidR="000E58D6">
        <w:rPr>
          <w:color w:val="FF0000"/>
          <w:szCs w:val="22"/>
          <w:u w:val="single"/>
          <w:lang w:val="en-US" w:eastAsia="zh-CN"/>
        </w:rPr>
        <w:t>Extended</w:t>
      </w:r>
      <w:r w:rsidRPr="00CC353C">
        <w:rPr>
          <w:color w:val="FF0000"/>
          <w:szCs w:val="22"/>
          <w:u w:val="single"/>
          <w:lang w:val="en-US" w:eastAsia="zh-CN"/>
        </w:rPr>
        <w:t xml:space="preserve"> TPC</w:t>
      </w:r>
      <w:r w:rsidR="0029691B">
        <w:rPr>
          <w:color w:val="FF0000"/>
          <w:szCs w:val="22"/>
          <w:u w:val="single"/>
          <w:lang w:val="en-US" w:eastAsia="zh-CN"/>
        </w:rPr>
        <w:t xml:space="preserve"> at the Responder</w:t>
      </w:r>
      <w:r w:rsidRPr="00CC353C">
        <w:rPr>
          <w:szCs w:val="22"/>
          <w:lang w:val="en-US" w:eastAsia="zh-CN"/>
        </w:rPr>
        <w:t>.</w:t>
      </w:r>
    </w:p>
    <w:p w14:paraId="0114C9B6" w14:textId="77777777" w:rsidR="00CC353C" w:rsidRDefault="00CC353C" w:rsidP="00CC353C">
      <w:pPr>
        <w:widowControl w:val="0"/>
        <w:autoSpaceDE w:val="0"/>
        <w:autoSpaceDN w:val="0"/>
        <w:adjustRightInd w:val="0"/>
        <w:rPr>
          <w:szCs w:val="22"/>
          <w:lang w:val="en-US" w:eastAsia="zh-CN"/>
        </w:rPr>
      </w:pPr>
    </w:p>
    <w:p w14:paraId="158AF9E0" w14:textId="3C0F0128"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2</w:t>
      </w:r>
      <w:r w:rsidR="00E2353A">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proofErr w:type="spellStart"/>
      <w:r w:rsidR="00E2353A">
        <w:rPr>
          <w:rFonts w:ascii="Arial-BoldMT" w:hAnsi="Arial-BoldMT" w:cs="Arial-BoldMT"/>
          <w:b/>
          <w:bCs/>
          <w:i/>
          <w:sz w:val="24"/>
          <w:szCs w:val="24"/>
          <w:lang w:val="en-US" w:eastAsia="zh-CN"/>
        </w:rPr>
        <w:t>REVmd</w:t>
      </w:r>
      <w:proofErr w:type="spellEnd"/>
      <w:r w:rsidR="00E2353A">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P45</w:t>
      </w:r>
      <w:r w:rsidR="00E2353A">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L51-52)</w:t>
      </w:r>
    </w:p>
    <w:p w14:paraId="655B4F13" w14:textId="436DC913"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This primitive supports the measurement of link path loss</w:t>
      </w:r>
      <w:r w:rsidRPr="007D7A9E">
        <w:rPr>
          <w:szCs w:val="22"/>
          <w:u w:val="single"/>
          <w:lang w:val="en-US" w:eastAsia="zh-CN"/>
        </w:rPr>
        <w:t>,</w:t>
      </w:r>
      <w:r w:rsidRPr="007D7A9E">
        <w:rPr>
          <w:szCs w:val="22"/>
          <w:u w:val="single"/>
          <w:lang w:val="en-US" w:eastAsia="zh-CN"/>
        </w:rPr>
        <w:t xml:space="preserve"> </w:t>
      </w:r>
      <w:r w:rsidRPr="007D7A9E">
        <w:rPr>
          <w:strike/>
          <w:szCs w:val="22"/>
          <w:u w:val="single"/>
          <w:lang w:val="en-US" w:eastAsia="zh-CN"/>
        </w:rPr>
        <w:t>and</w:t>
      </w:r>
      <w:r w:rsidRPr="007D7A9E">
        <w:rPr>
          <w:szCs w:val="22"/>
          <w:lang w:val="en-US" w:eastAsia="zh-CN"/>
        </w:rPr>
        <w:t xml:space="preserve"> the estimation of link margin between peer</w:t>
      </w:r>
    </w:p>
    <w:p w14:paraId="13556454" w14:textId="3DE1F469"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E</w:t>
      </w:r>
      <w:r w:rsidRPr="007D7A9E">
        <w:rPr>
          <w:szCs w:val="22"/>
          <w:lang w:val="en-US" w:eastAsia="zh-CN"/>
        </w:rPr>
        <w:t>ntities</w:t>
      </w:r>
      <w:r w:rsidRPr="007D7A9E">
        <w:rPr>
          <w:color w:val="FF0000"/>
          <w:szCs w:val="22"/>
          <w:u w:val="single"/>
          <w:lang w:val="en-US" w:eastAsia="zh-CN"/>
        </w:rPr>
        <w:t xml:space="preserve"> </w:t>
      </w:r>
      <w:r w:rsidRPr="00CC353C">
        <w:rPr>
          <w:color w:val="FF0000"/>
          <w:szCs w:val="22"/>
          <w:u w:val="single"/>
          <w:lang w:val="en-US" w:eastAsia="zh-CN"/>
        </w:rPr>
        <w:t xml:space="preserve">and </w:t>
      </w:r>
      <w:r>
        <w:rPr>
          <w:color w:val="FF0000"/>
          <w:szCs w:val="22"/>
          <w:u w:val="single"/>
          <w:lang w:val="en-US" w:eastAsia="zh-CN"/>
        </w:rPr>
        <w:t>Extended</w:t>
      </w:r>
      <w:r w:rsidRPr="00CC353C">
        <w:rPr>
          <w:color w:val="FF0000"/>
          <w:szCs w:val="22"/>
          <w:u w:val="single"/>
          <w:lang w:val="en-US" w:eastAsia="zh-CN"/>
        </w:rPr>
        <w:t xml:space="preserve"> TPC</w:t>
      </w:r>
      <w:r w:rsidRPr="0029691B">
        <w:rPr>
          <w:color w:val="FF0000"/>
          <w:szCs w:val="22"/>
          <w:u w:val="single"/>
          <w:lang w:val="en-US" w:eastAsia="zh-CN"/>
        </w:rPr>
        <w:t xml:space="preserve"> </w:t>
      </w:r>
      <w:r>
        <w:rPr>
          <w:color w:val="FF0000"/>
          <w:szCs w:val="22"/>
          <w:u w:val="single"/>
          <w:lang w:val="en-US" w:eastAsia="zh-CN"/>
        </w:rPr>
        <w:t>at the Responder</w:t>
      </w:r>
      <w:r>
        <w:rPr>
          <w:color w:val="FF0000"/>
          <w:szCs w:val="22"/>
          <w:u w:val="single"/>
          <w:lang w:val="en-US" w:eastAsia="zh-CN"/>
        </w:rPr>
        <w:t>.</w:t>
      </w:r>
    </w:p>
    <w:p w14:paraId="020473F2" w14:textId="77777777" w:rsidR="00CC353C" w:rsidRDefault="00CC353C" w:rsidP="00CC353C">
      <w:pPr>
        <w:widowControl w:val="0"/>
        <w:autoSpaceDE w:val="0"/>
        <w:autoSpaceDN w:val="0"/>
        <w:adjustRightInd w:val="0"/>
        <w:rPr>
          <w:szCs w:val="22"/>
          <w:lang w:val="en-US" w:eastAsia="zh-CN"/>
        </w:rPr>
      </w:pPr>
    </w:p>
    <w:p w14:paraId="744ABFAC" w14:textId="11EB80F0" w:rsidR="00682E7B" w:rsidRDefault="00682E7B">
      <w:pPr>
        <w:rPr>
          <w:rFonts w:ascii="Arial-BoldMT" w:hAnsi="Arial-BoldMT" w:cs="Arial-BoldMT"/>
          <w:b/>
          <w:bCs/>
          <w:i/>
          <w:sz w:val="24"/>
          <w:szCs w:val="24"/>
          <w:lang w:val="en-US" w:eastAsia="zh-CN"/>
        </w:rPr>
      </w:pPr>
    </w:p>
    <w:p w14:paraId="47FD9A27" w14:textId="2B011668" w:rsidR="00CC09DB" w:rsidRPr="008A1FB5" w:rsidRDefault="00CC09DB" w:rsidP="00CC09DB">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Add to</w:t>
      </w:r>
      <w:r w:rsidRPr="008A1FB5">
        <w:rPr>
          <w:rFonts w:ascii="Arial-BoldMT" w:hAnsi="Arial-BoldMT" w:cs="Arial-BoldMT"/>
          <w:b/>
          <w:bCs/>
          <w:i/>
          <w:sz w:val="24"/>
          <w:szCs w:val="24"/>
          <w:lang w:val="en-US" w:eastAsia="zh-CN"/>
        </w:rPr>
        <w:t xml:space="preserve"> subclause </w:t>
      </w:r>
      <w:r>
        <w:rPr>
          <w:rFonts w:ascii="Arial-BoldMT" w:hAnsi="Arial-BoldMT" w:cs="Arial-BoldMT"/>
          <w:b/>
          <w:bCs/>
          <w:i/>
          <w:sz w:val="24"/>
          <w:szCs w:val="24"/>
          <w:lang w:val="en-US" w:eastAsia="zh-CN"/>
        </w:rPr>
        <w:t>C.3 (</w:t>
      </w:r>
      <w:proofErr w:type="spellStart"/>
      <w:r>
        <w:rPr>
          <w:rFonts w:ascii="Arial-BoldMT" w:hAnsi="Arial-BoldMT" w:cs="Arial-BoldMT"/>
          <w:b/>
          <w:bCs/>
          <w:i/>
          <w:sz w:val="24"/>
          <w:szCs w:val="24"/>
          <w:lang w:val="en-US" w:eastAsia="zh-CN"/>
        </w:rPr>
        <w:t>REVmd</w:t>
      </w:r>
      <w:proofErr w:type="spellEnd"/>
      <w:r>
        <w:rPr>
          <w:rFonts w:ascii="Arial-BoldMT" w:hAnsi="Arial-BoldMT" w:cs="Arial-BoldMT"/>
          <w:b/>
          <w:bCs/>
          <w:i/>
          <w:sz w:val="24"/>
          <w:szCs w:val="24"/>
          <w:lang w:val="en-US" w:eastAsia="zh-CN"/>
        </w:rPr>
        <w:t xml:space="preserve"> D</w:t>
      </w:r>
      <w:r w:rsidR="00F521E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 xml:space="preserve">) – at the end of </w:t>
      </w:r>
      <w:r w:rsidRPr="00F3297A">
        <w:rPr>
          <w:rFonts w:ascii="Arial-BoldMT" w:hAnsi="Arial-BoldMT" w:cs="Arial-BoldMT"/>
          <w:b/>
          <w:bCs/>
          <w:i/>
          <w:sz w:val="24"/>
          <w:szCs w:val="24"/>
          <w:lang w:val="en-US" w:eastAsia="zh-CN"/>
        </w:rPr>
        <w:t>Dot11StationConfigEntry ::= SEQUENCE</w:t>
      </w:r>
    </w:p>
    <w:p w14:paraId="670FB46A" w14:textId="5AB33091" w:rsidR="00CC09DB" w:rsidRDefault="00CC09DB" w:rsidP="00CC09DB">
      <w:pPr>
        <w:widowControl w:val="0"/>
        <w:autoSpaceDE w:val="0"/>
        <w:autoSpaceDN w:val="0"/>
        <w:adjustRightInd w:val="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       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Integer</w:t>
      </w:r>
    </w:p>
    <w:p w14:paraId="0AEC6281" w14:textId="77777777" w:rsidR="00CC09DB" w:rsidRDefault="00CC09DB" w:rsidP="00CC09DB">
      <w:pPr>
        <w:widowControl w:val="0"/>
        <w:autoSpaceDE w:val="0"/>
        <w:autoSpaceDN w:val="0"/>
        <w:adjustRightInd w:val="0"/>
        <w:ind w:firstLine="720"/>
        <w:rPr>
          <w:rFonts w:ascii="CourierNewPSMT" w:hAnsi="CourierNewPSMT" w:cs="CourierNewPSMT"/>
          <w:sz w:val="18"/>
          <w:szCs w:val="18"/>
          <w:lang w:val="en-US" w:bidi="he-IL"/>
        </w:rPr>
      </w:pPr>
    </w:p>
    <w:p w14:paraId="298B9C0C" w14:textId="57C6B106" w:rsidR="00CC09DB" w:rsidRDefault="00CC09DB" w:rsidP="00CC09DB">
      <w:pPr>
        <w:widowControl w:val="0"/>
        <w:autoSpaceDE w:val="0"/>
        <w:autoSpaceDN w:val="0"/>
        <w:adjustRightInd w:val="0"/>
        <w:rPr>
          <w:rFonts w:ascii="CourierNewPSMT" w:hAnsi="CourierNewPSMT" w:cs="CourierNewPSMT"/>
          <w:sz w:val="18"/>
          <w:szCs w:val="18"/>
          <w:lang w:val="en-US" w:bidi="he-IL"/>
        </w:rPr>
      </w:pPr>
    </w:p>
    <w:p w14:paraId="281FBD9D" w14:textId="5E3E56C9"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Changes to MIB section – add new element dot11</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TPC</w:t>
      </w:r>
      <w:r w:rsidR="005C692F">
        <w:rPr>
          <w:rFonts w:ascii="Arial-BoldMT" w:hAnsi="Arial-BoldMT" w:cs="Arial-BoldMT"/>
          <w:b/>
          <w:bCs/>
          <w:iCs/>
          <w:color w:val="00B050"/>
          <w:sz w:val="26"/>
          <w:szCs w:val="26"/>
          <w:u w:val="single"/>
          <w:lang w:val="en-US" w:eastAsia="zh-CN"/>
        </w:rPr>
        <w:t>Activated</w:t>
      </w:r>
    </w:p>
    <w:p w14:paraId="7C822704" w14:textId="77777777" w:rsidR="009767B6" w:rsidRDefault="009767B6" w:rsidP="00CC09DB">
      <w:pPr>
        <w:widowControl w:val="0"/>
        <w:autoSpaceDE w:val="0"/>
        <w:autoSpaceDN w:val="0"/>
        <w:adjustRightInd w:val="0"/>
        <w:rPr>
          <w:rFonts w:ascii="CourierNewPSMT" w:hAnsi="CourierNewPSMT" w:cs="CourierNewPSMT"/>
          <w:sz w:val="18"/>
          <w:szCs w:val="18"/>
          <w:lang w:val="en-US" w:bidi="he-IL"/>
        </w:rPr>
      </w:pPr>
    </w:p>
    <w:p w14:paraId="6BEE4023" w14:textId="29394D2A" w:rsidR="00CC09DB" w:rsidRPr="008A1FB5" w:rsidRDefault="00CC09DB" w:rsidP="00CC09DB">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Add to</w:t>
      </w:r>
      <w:r w:rsidRPr="008A1FB5">
        <w:rPr>
          <w:rFonts w:ascii="Arial-BoldMT" w:hAnsi="Arial-BoldMT" w:cs="Arial-BoldMT"/>
          <w:b/>
          <w:bCs/>
          <w:i/>
          <w:sz w:val="24"/>
          <w:szCs w:val="24"/>
          <w:lang w:val="en-US" w:eastAsia="zh-CN"/>
        </w:rPr>
        <w:t xml:space="preserve"> subclause </w:t>
      </w:r>
      <w:r>
        <w:rPr>
          <w:rFonts w:ascii="Arial-BoldMT" w:hAnsi="Arial-BoldMT" w:cs="Arial-BoldMT"/>
          <w:b/>
          <w:bCs/>
          <w:i/>
          <w:sz w:val="24"/>
          <w:szCs w:val="24"/>
          <w:lang w:val="en-US" w:eastAsia="zh-CN"/>
        </w:rPr>
        <w:t>C.3 (</w:t>
      </w:r>
      <w:proofErr w:type="spellStart"/>
      <w:r>
        <w:rPr>
          <w:rFonts w:ascii="Arial-BoldMT" w:hAnsi="Arial-BoldMT" w:cs="Arial-BoldMT"/>
          <w:b/>
          <w:bCs/>
          <w:i/>
          <w:sz w:val="24"/>
          <w:szCs w:val="24"/>
          <w:lang w:val="en-US" w:eastAsia="zh-CN"/>
        </w:rPr>
        <w:t>REVmd</w:t>
      </w:r>
      <w:proofErr w:type="spellEnd"/>
      <w:r>
        <w:rPr>
          <w:rFonts w:ascii="Arial-BoldMT" w:hAnsi="Arial-BoldMT" w:cs="Arial-BoldMT"/>
          <w:b/>
          <w:bCs/>
          <w:i/>
          <w:sz w:val="24"/>
          <w:szCs w:val="24"/>
          <w:lang w:val="en-US" w:eastAsia="zh-CN"/>
        </w:rPr>
        <w:t xml:space="preserve"> D</w:t>
      </w:r>
      <w:r w:rsidR="00F521E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 – before “</w:t>
      </w:r>
      <w:r w:rsidRPr="00A33EBE">
        <w:rPr>
          <w:rFonts w:ascii="Arial-BoldMT" w:hAnsi="Arial-BoldMT" w:cs="Arial-BoldMT"/>
          <w:b/>
          <w:bCs/>
          <w:i/>
          <w:sz w:val="24"/>
          <w:szCs w:val="24"/>
          <w:lang w:val="en-US" w:eastAsia="zh-CN"/>
        </w:rPr>
        <w:t>End of dot11StationConfig TABLE</w:t>
      </w:r>
      <w:r>
        <w:rPr>
          <w:rFonts w:ascii="Arial-BoldMT" w:hAnsi="Arial-BoldMT" w:cs="Arial-BoldMT"/>
          <w:b/>
          <w:bCs/>
          <w:i/>
          <w:sz w:val="24"/>
          <w:szCs w:val="24"/>
          <w:lang w:val="en-US" w:eastAsia="zh-CN"/>
        </w:rPr>
        <w:t>”</w:t>
      </w:r>
    </w:p>
    <w:p w14:paraId="2E1F7F5E" w14:textId="3703D269" w:rsidR="00CC09DB" w:rsidRDefault="00CC09DB" w:rsidP="00CC09DB">
      <w:pPr>
        <w:autoSpaceDE w:val="0"/>
        <w:autoSpaceDN w:val="0"/>
        <w:adjustRightInd w:val="0"/>
        <w:rPr>
          <w:rFonts w:ascii="CourierNewPSMT" w:hAnsi="CourierNewPSMT" w:cs="CourierNewPSMT"/>
          <w:sz w:val="18"/>
          <w:szCs w:val="18"/>
          <w:lang w:val="en-US" w:bidi="he-IL"/>
        </w:rPr>
      </w:pPr>
      <w:bookmarkStart w:id="2" w:name="_Hlk529110097"/>
      <w:r>
        <w:rPr>
          <w:rFonts w:ascii="CourierNewPSMT" w:hAnsi="CourierNewPSMT" w:cs="CourierNewPSMT"/>
          <w:sz w:val="18"/>
          <w:szCs w:val="18"/>
          <w:lang w:val="en-US" w:bidi="he-IL"/>
        </w:rPr>
        <w:t>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bookmarkEnd w:id="2"/>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OBJECT-TYPE</w:t>
      </w:r>
    </w:p>
    <w:p w14:paraId="09660E5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 xml:space="preserve">SYNTAX INTEGER </w:t>
      </w:r>
      <w:proofErr w:type="gramStart"/>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none</w:t>
      </w:r>
      <w:proofErr w:type="gramEnd"/>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0</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Tx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1</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Rx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2</w:t>
      </w:r>
      <w:r w:rsidRPr="005F13C4">
        <w:rPr>
          <w:rFonts w:ascii="CourierNewPSMT" w:hAnsi="CourierNewPSMT" w:cs="CourierNewPSMT"/>
          <w:sz w:val="18"/>
          <w:szCs w:val="18"/>
          <w:lang w:val="en-US" w:bidi="he-IL"/>
        </w:rPr>
        <w:t>) }</w:t>
      </w:r>
    </w:p>
    <w:p w14:paraId="2B410D9A"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MAX-ACCESS read-only</w:t>
      </w:r>
    </w:p>
    <w:p w14:paraId="79B3994B"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14:paraId="7A0CD5F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14:paraId="59797185"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"This is a control variable.</w:t>
      </w:r>
    </w:p>
    <w:p w14:paraId="2304E0D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It is written by the SME or external management entity.</w:t>
      </w:r>
    </w:p>
    <w:p w14:paraId="0D329D08" w14:textId="53465205"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Changes take effect for the next MLME-</w:t>
      </w:r>
      <w:proofErr w:type="spellStart"/>
      <w:r w:rsidR="00B832BC" w:rsidRPr="000A3ADD">
        <w:rPr>
          <w:rFonts w:ascii="CourierNewPSMT" w:hAnsi="CourierNewPSMT" w:cs="CourierNewPSMT"/>
          <w:sz w:val="18"/>
          <w:szCs w:val="18"/>
          <w:lang w:val="en-US" w:bidi="he-IL"/>
        </w:rPr>
        <w:t>LINKMEASURE</w:t>
      </w:r>
      <w:r>
        <w:rPr>
          <w:rFonts w:ascii="CourierNewPSMT" w:hAnsi="CourierNewPSMT" w:cs="CourierNewPSMT"/>
          <w:sz w:val="18"/>
          <w:szCs w:val="18"/>
          <w:lang w:val="en-US" w:bidi="he-IL"/>
        </w:rPr>
        <w:t>.request</w:t>
      </w:r>
      <w:proofErr w:type="spellEnd"/>
      <w:r>
        <w:rPr>
          <w:rFonts w:ascii="CourierNewPSMT" w:hAnsi="CourierNewPSMT" w:cs="CourierNewPSMT"/>
          <w:sz w:val="18"/>
          <w:szCs w:val="18"/>
          <w:lang w:val="en-US" w:bidi="he-IL"/>
        </w:rPr>
        <w:t xml:space="preserve"> primitive.</w:t>
      </w:r>
    </w:p>
    <w:p w14:paraId="69BEF83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p>
    <w:p w14:paraId="5E458503"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A STA uses the defined TPC procedure according to this attribute if attribute is &gt; 0;</w:t>
      </w:r>
    </w:p>
    <w:p w14:paraId="2C0CA9EB"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otherwise it does not use the defined TPC procedures."</w:t>
      </w:r>
    </w:p>
    <w:p w14:paraId="7CDF7070"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DEFVAL </w:t>
      </w:r>
      <w:proofErr w:type="gramStart"/>
      <w:r>
        <w:rPr>
          <w:rFonts w:ascii="CourierNewPSMT" w:hAnsi="CourierNewPSMT" w:cs="CourierNewPSMT"/>
          <w:sz w:val="18"/>
          <w:szCs w:val="18"/>
          <w:lang w:val="en-US" w:bidi="he-IL"/>
        </w:rPr>
        <w:t>{ 0</w:t>
      </w:r>
      <w:proofErr w:type="gramEnd"/>
      <w:r>
        <w:rPr>
          <w:rFonts w:ascii="CourierNewPSMT" w:hAnsi="CourierNewPSMT" w:cs="CourierNewPSMT"/>
          <w:sz w:val="18"/>
          <w:szCs w:val="18"/>
          <w:lang w:val="en-US" w:bidi="he-IL"/>
        </w:rPr>
        <w:t xml:space="preserve"> }</w:t>
      </w:r>
    </w:p>
    <w:p w14:paraId="22E97140" w14:textId="77777777" w:rsidR="00CC09DB" w:rsidRDefault="00CC09DB" w:rsidP="00CC09DB">
      <w:pPr>
        <w:widowControl w:val="0"/>
        <w:autoSpaceDE w:val="0"/>
        <w:autoSpaceDN w:val="0"/>
        <w:adjustRightInd w:val="0"/>
        <w:ind w:left="720"/>
        <w:rPr>
          <w:szCs w:val="22"/>
          <w:lang w:eastAsia="zh-CN"/>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 dot11StationConfigEntry 193 }</w:t>
      </w:r>
    </w:p>
    <w:p w14:paraId="70AA61C3" w14:textId="77777777" w:rsidR="00CC09DB" w:rsidRDefault="00CC09DB" w:rsidP="00CC09DB">
      <w:pPr>
        <w:widowControl w:val="0"/>
        <w:autoSpaceDE w:val="0"/>
        <w:autoSpaceDN w:val="0"/>
        <w:adjustRightInd w:val="0"/>
        <w:ind w:left="720"/>
        <w:rPr>
          <w:szCs w:val="22"/>
          <w:lang w:eastAsia="zh-CN"/>
        </w:rPr>
      </w:pPr>
    </w:p>
    <w:p w14:paraId="1CD827FC" w14:textId="77777777" w:rsidR="00DA3989" w:rsidRDefault="00DA3989" w:rsidP="00DA3989">
      <w:pPr>
        <w:rPr>
          <w:szCs w:val="22"/>
        </w:rPr>
      </w:pPr>
    </w:p>
    <w:p w14:paraId="283C869F" w14:textId="7DC9C12E" w:rsidR="00CF289E" w:rsidRDefault="00CF289E">
      <w:pPr>
        <w:rPr>
          <w:szCs w:val="22"/>
        </w:rPr>
      </w:pPr>
    </w:p>
    <w:p w14:paraId="2841E402" w14:textId="77777777" w:rsidR="00CF289E" w:rsidRDefault="00CF289E" w:rsidP="00B07D7E">
      <w:pPr>
        <w:rPr>
          <w:szCs w:val="22"/>
        </w:rPr>
      </w:pPr>
    </w:p>
    <w:p w14:paraId="4B6BB080" w14:textId="400502E3" w:rsidR="00F912A6" w:rsidRDefault="00F912A6">
      <w:pPr>
        <w:rPr>
          <w:szCs w:val="22"/>
        </w:rPr>
      </w:pPr>
      <w:r>
        <w:rPr>
          <w:szCs w:val="22"/>
        </w:rPr>
        <w:br w:type="page"/>
      </w:r>
    </w:p>
    <w:p w14:paraId="307EE9B0" w14:textId="6263294C" w:rsidR="00104B5A"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lastRenderedPageBreak/>
        <w:t>Changes to DMG STA Capability Information field</w:t>
      </w:r>
    </w:p>
    <w:p w14:paraId="6231EE58" w14:textId="77777777" w:rsidR="009767B6" w:rsidRDefault="009767B6">
      <w:pPr>
        <w:rPr>
          <w:rFonts w:ascii="Arial-BoldMT" w:hAnsi="Arial-BoldMT" w:cs="Arial-BoldMT"/>
          <w:b/>
          <w:bCs/>
          <w:i/>
          <w:sz w:val="24"/>
          <w:szCs w:val="24"/>
          <w:lang w:val="en-US" w:eastAsia="zh-CN"/>
        </w:rPr>
      </w:pPr>
    </w:p>
    <w:p w14:paraId="5E23A663" w14:textId="1DA2DC96" w:rsidR="00104B5A" w:rsidRDefault="00104B5A" w:rsidP="00104B5A">
      <w:pPr>
        <w:widowControl w:val="0"/>
        <w:autoSpaceDE w:val="0"/>
        <w:autoSpaceDN w:val="0"/>
        <w:adjustRightInd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9-543 (in REVmd_D</w:t>
      </w:r>
      <w:r w:rsidR="00841B0D">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841B0D">
        <w:rPr>
          <w:rFonts w:ascii="Arial-BoldMT" w:hAnsi="Arial-BoldMT" w:cs="Arial-BoldMT"/>
          <w:b/>
          <w:bCs/>
          <w:i/>
          <w:sz w:val="24"/>
          <w:szCs w:val="24"/>
          <w:lang w:val="en-US" w:eastAsia="zh-CN"/>
        </w:rPr>
        <w:t>0</w:t>
      </w:r>
      <w:r w:rsidR="0008610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with the following:</w:t>
      </w:r>
    </w:p>
    <w:p w14:paraId="18B3042D" w14:textId="0EE625A1" w:rsidR="00104B5A" w:rsidRDefault="000A264B" w:rsidP="00104B5A">
      <w:pPr>
        <w:widowControl w:val="0"/>
        <w:autoSpaceDE w:val="0"/>
        <w:autoSpaceDN w:val="0"/>
        <w:adjustRightInd w:val="0"/>
        <w:jc w:val="center"/>
        <w:rPr>
          <w:szCs w:val="22"/>
          <w:lang w:eastAsia="zh-CN"/>
        </w:rPr>
      </w:pPr>
      <w:r>
        <w:object w:dxaOrig="14213" w:dyaOrig="8612" w14:anchorId="2A431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83.4pt" o:ole="">
            <v:imagedata r:id="rId7" o:title=""/>
          </v:shape>
          <o:OLEObject Type="Embed" ProgID="Visio.Drawing.11" ShapeID="_x0000_i1025" DrawAspect="Content" ObjectID="_1608559498" r:id="rId8"/>
        </w:object>
      </w:r>
    </w:p>
    <w:p w14:paraId="26B3EE84" w14:textId="77777777" w:rsidR="00104B5A" w:rsidRDefault="00104B5A" w:rsidP="00104B5A">
      <w:pPr>
        <w:widowControl w:val="0"/>
        <w:autoSpaceDE w:val="0"/>
        <w:autoSpaceDN w:val="0"/>
        <w:adjustRightInd w:val="0"/>
        <w:rPr>
          <w:szCs w:val="22"/>
          <w:lang w:eastAsia="zh-CN"/>
        </w:rPr>
      </w:pPr>
    </w:p>
    <w:p w14:paraId="5FD21252" w14:textId="2E29FD61" w:rsidR="00104B5A" w:rsidRDefault="00104B5A" w:rsidP="00104B5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Pr="008A1FB5">
        <w:rPr>
          <w:rFonts w:ascii="Arial-BoldMT" w:hAnsi="Arial-BoldMT" w:cs="Arial-BoldMT"/>
          <w:b/>
          <w:bCs/>
          <w:i/>
          <w:sz w:val="24"/>
          <w:szCs w:val="24"/>
          <w:lang w:val="en-US" w:eastAsia="zh-CN"/>
        </w:rPr>
        <w:t xml:space="preserve">Insert the following paragraph </w:t>
      </w:r>
      <w:r w:rsidR="00086101">
        <w:rPr>
          <w:rFonts w:ascii="Arial-BoldMT" w:hAnsi="Arial-BoldMT" w:cs="Arial-BoldMT"/>
          <w:b/>
          <w:bCs/>
          <w:i/>
          <w:sz w:val="24"/>
          <w:szCs w:val="24"/>
          <w:lang w:val="en-US" w:eastAsia="zh-CN"/>
        </w:rPr>
        <w:t xml:space="preserve">after </w:t>
      </w:r>
      <w:r w:rsidR="00F3645C">
        <w:rPr>
          <w:rFonts w:ascii="Arial-BoldMT" w:hAnsi="Arial-BoldMT" w:cs="Arial-BoldMT"/>
          <w:b/>
          <w:bCs/>
          <w:i/>
          <w:sz w:val="24"/>
          <w:szCs w:val="24"/>
          <w:lang w:val="en-US" w:eastAsia="zh-CN"/>
        </w:rPr>
        <w:t xml:space="preserve">paragraph </w:t>
      </w:r>
      <w:r w:rsidR="00D2198A">
        <w:rPr>
          <w:rFonts w:ascii="Arial-BoldMT" w:hAnsi="Arial-BoldMT" w:cs="Arial-BoldMT"/>
          <w:b/>
          <w:bCs/>
          <w:i/>
          <w:sz w:val="24"/>
          <w:szCs w:val="24"/>
          <w:lang w:val="en-US" w:eastAsia="zh-CN"/>
        </w:rPr>
        <w:t>starting with “</w:t>
      </w:r>
      <w:r w:rsidR="00D2198A" w:rsidRPr="00D2198A">
        <w:rPr>
          <w:rFonts w:ascii="Arial-BoldMT" w:hAnsi="Arial-BoldMT" w:cs="Arial-BoldMT"/>
          <w:b/>
          <w:bCs/>
          <w:i/>
          <w:sz w:val="24"/>
          <w:szCs w:val="24"/>
          <w:lang w:val="en-US" w:eastAsia="zh-CN"/>
        </w:rPr>
        <w:t xml:space="preserve">The Code Rate 13/16 subfield specifies whether the STA supports rate 13/16. It is </w:t>
      </w:r>
      <w:proofErr w:type="gramStart"/>
      <w:r w:rsidR="00D2198A" w:rsidRPr="00D2198A">
        <w:rPr>
          <w:rFonts w:ascii="Arial-BoldMT" w:hAnsi="Arial-BoldMT" w:cs="Arial-BoldMT"/>
          <w:b/>
          <w:bCs/>
          <w:i/>
          <w:sz w:val="24"/>
          <w:szCs w:val="24"/>
          <w:lang w:val="en-US" w:eastAsia="zh-CN"/>
        </w:rPr>
        <w:t>set</w:t>
      </w:r>
      <w:r w:rsidR="00F3645C">
        <w:rPr>
          <w:rFonts w:ascii="Arial-BoldMT" w:hAnsi="Arial-BoldMT" w:cs="Arial-BoldMT"/>
          <w:b/>
          <w:bCs/>
          <w:i/>
          <w:sz w:val="24"/>
          <w:szCs w:val="24"/>
          <w:lang w:val="en-US" w:eastAsia="zh-CN"/>
        </w:rPr>
        <w:t>”(</w:t>
      </w:r>
      <w:proofErr w:type="gramEnd"/>
      <w:r w:rsidR="00F3645C">
        <w:rPr>
          <w:rFonts w:ascii="Arial-BoldMT" w:hAnsi="Arial-BoldMT" w:cs="Arial-BoldMT"/>
          <w:b/>
          <w:bCs/>
          <w:i/>
          <w:sz w:val="24"/>
          <w:szCs w:val="24"/>
          <w:lang w:val="en-US" w:eastAsia="zh-CN"/>
        </w:rPr>
        <w:t>REVmd2.0 P</w:t>
      </w:r>
      <w:r w:rsidR="00D2198A">
        <w:rPr>
          <w:rFonts w:ascii="Arial-BoldMT" w:hAnsi="Arial-BoldMT" w:cs="Arial-BoldMT"/>
          <w:b/>
          <w:bCs/>
          <w:i/>
          <w:sz w:val="24"/>
          <w:szCs w:val="24"/>
          <w:lang w:val="en-US" w:eastAsia="zh-CN"/>
        </w:rPr>
        <w:t>1275L43)</w:t>
      </w:r>
    </w:p>
    <w:p w14:paraId="1915C1DD" w14:textId="4B90655A" w:rsidR="00104B5A" w:rsidRPr="00104B5A" w:rsidRDefault="00104B5A" w:rsidP="00104B5A">
      <w:pPr>
        <w:widowControl w:val="0"/>
        <w:autoSpaceDE w:val="0"/>
        <w:autoSpaceDN w:val="0"/>
        <w:adjustRightInd w:val="0"/>
        <w:rPr>
          <w:color w:val="FF0000"/>
          <w:szCs w:val="22"/>
          <w:u w:val="single"/>
          <w:lang w:val="en-US" w:eastAsia="zh-CN"/>
        </w:rPr>
      </w:pPr>
      <w:r w:rsidRPr="00104B5A">
        <w:rPr>
          <w:color w:val="FF0000"/>
          <w:szCs w:val="22"/>
          <w:u w:val="single"/>
          <w:lang w:val="en-US" w:eastAsia="zh-CN"/>
        </w:rPr>
        <w:t xml:space="preserve">The </w:t>
      </w:r>
      <w:r w:rsidR="000E58D6">
        <w:rPr>
          <w:color w:val="FF0000"/>
          <w:szCs w:val="22"/>
          <w:u w:val="single"/>
          <w:lang w:val="en-US" w:eastAsia="zh-CN"/>
        </w:rPr>
        <w:t>Extended</w:t>
      </w:r>
      <w:r w:rsidRPr="00104B5A">
        <w:rPr>
          <w:color w:val="FF0000"/>
          <w:szCs w:val="22"/>
          <w:u w:val="single"/>
          <w:lang w:val="en-US" w:eastAsia="zh-CN"/>
        </w:rPr>
        <w:t xml:space="preserve"> TPC Rx Supported subfield is set to 1 to indicate that the STA supports TDD TPC Rx on the receiver side described in 10.44.6. The subfield is set to 0 otherwise.</w:t>
      </w:r>
    </w:p>
    <w:p w14:paraId="72BAE83D" w14:textId="77777777" w:rsidR="00104B5A" w:rsidRDefault="00104B5A" w:rsidP="00104B5A">
      <w:pPr>
        <w:widowControl w:val="0"/>
        <w:autoSpaceDE w:val="0"/>
        <w:autoSpaceDN w:val="0"/>
        <w:adjustRightInd w:val="0"/>
        <w:rPr>
          <w:szCs w:val="22"/>
          <w:lang w:eastAsia="zh-CN"/>
        </w:rPr>
      </w:pPr>
    </w:p>
    <w:p w14:paraId="07F6FB28" w14:textId="77777777" w:rsid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p>
    <w:p w14:paraId="005DE216" w14:textId="59A55F63"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New section - </w:t>
      </w:r>
      <w:r w:rsidRPr="009767B6">
        <w:rPr>
          <w:rFonts w:ascii="Arial-BoldMT" w:hAnsi="Arial-BoldMT" w:cs="Arial-BoldMT"/>
          <w:b/>
          <w:bCs/>
          <w:iCs/>
          <w:color w:val="00B050"/>
          <w:sz w:val="26"/>
          <w:szCs w:val="26"/>
          <w:u w:val="single"/>
          <w:lang w:val="en-US" w:eastAsia="zh-CN"/>
        </w:rPr>
        <w:t xml:space="preserve">DMG </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 xml:space="preserve"> TPC</w:t>
      </w:r>
    </w:p>
    <w:p w14:paraId="454C80EE" w14:textId="4587CFDC" w:rsidR="00C16F3D" w:rsidRPr="009767B6" w:rsidRDefault="00C16F3D" w:rsidP="00593822">
      <w:pPr>
        <w:rPr>
          <w:szCs w:val="22"/>
          <w:lang w:val="en-US"/>
        </w:rPr>
      </w:pPr>
    </w:p>
    <w:p w14:paraId="121EB77A" w14:textId="69F19AEF" w:rsidR="008B3542" w:rsidRPr="008A1FB5" w:rsidRDefault="008B3542" w:rsidP="008B354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the following subclause</w:t>
      </w:r>
    </w:p>
    <w:p w14:paraId="4EA8AF57" w14:textId="7A571B5D" w:rsidR="00F45869" w:rsidRDefault="008B3542" w:rsidP="00F45869">
      <w:pPr>
        <w:rPr>
          <w:b/>
          <w:bCs/>
          <w:color w:val="FF0000"/>
          <w:szCs w:val="22"/>
          <w:u w:val="single"/>
          <w:lang w:val="en-US" w:eastAsia="zh-CN"/>
        </w:rPr>
      </w:pPr>
      <w:r w:rsidRPr="00A375E1">
        <w:rPr>
          <w:b/>
          <w:bCs/>
          <w:color w:val="FF0000"/>
          <w:szCs w:val="22"/>
          <w:u w:val="single"/>
          <w:lang w:val="en-US" w:eastAsia="zh-CN"/>
        </w:rPr>
        <w:t>10.44.</w:t>
      </w:r>
      <w:r w:rsidR="004946A7">
        <w:rPr>
          <w:b/>
          <w:bCs/>
          <w:color w:val="FF0000"/>
          <w:szCs w:val="22"/>
          <w:u w:val="single"/>
          <w:lang w:val="en-US" w:eastAsia="zh-CN"/>
        </w:rPr>
        <w:t>6</w:t>
      </w:r>
      <w:r w:rsidRPr="00A375E1">
        <w:rPr>
          <w:b/>
          <w:bCs/>
          <w:color w:val="FF0000"/>
          <w:szCs w:val="22"/>
          <w:u w:val="single"/>
          <w:lang w:val="en-US" w:eastAsia="zh-CN"/>
        </w:rPr>
        <w:t xml:space="preserve"> </w:t>
      </w:r>
      <w:r w:rsidR="009767B6">
        <w:rPr>
          <w:b/>
          <w:bCs/>
          <w:color w:val="FF0000"/>
          <w:szCs w:val="22"/>
          <w:u w:val="single"/>
          <w:lang w:val="en-US" w:eastAsia="zh-CN"/>
        </w:rPr>
        <w:t xml:space="preserve">DMG </w:t>
      </w:r>
      <w:r w:rsidR="000E58D6">
        <w:rPr>
          <w:b/>
          <w:bCs/>
          <w:color w:val="FF0000"/>
          <w:szCs w:val="22"/>
          <w:u w:val="single"/>
          <w:lang w:val="en-US" w:eastAsia="zh-CN"/>
        </w:rPr>
        <w:t>Extended</w:t>
      </w:r>
      <w:r w:rsidR="00A61A3D" w:rsidRPr="00A375E1">
        <w:rPr>
          <w:b/>
          <w:bCs/>
          <w:color w:val="FF0000"/>
          <w:szCs w:val="22"/>
          <w:u w:val="single"/>
          <w:lang w:val="en-US" w:eastAsia="zh-CN"/>
        </w:rPr>
        <w:t xml:space="preserve"> TPC</w:t>
      </w:r>
    </w:p>
    <w:p w14:paraId="05D60F8B" w14:textId="001EF8E1" w:rsidR="00AF7B47" w:rsidRDefault="00AF7B47" w:rsidP="00F45869">
      <w:pPr>
        <w:rPr>
          <w:b/>
          <w:bCs/>
          <w:color w:val="FF0000"/>
          <w:szCs w:val="22"/>
          <w:u w:val="single"/>
          <w:lang w:val="en-US" w:eastAsia="zh-CN"/>
        </w:rPr>
      </w:pPr>
    </w:p>
    <w:p w14:paraId="3F3E77C0" w14:textId="04ED4F6F" w:rsidR="00AF7B47" w:rsidRPr="00AC795D" w:rsidRDefault="00AF7B47" w:rsidP="00F45869">
      <w:pPr>
        <w:rPr>
          <w:color w:val="FF0000"/>
          <w:szCs w:val="22"/>
          <w:u w:val="single"/>
          <w:lang w:val="en-US" w:eastAsia="zh-CN"/>
        </w:rPr>
      </w:pPr>
      <w:r w:rsidRPr="00AC795D">
        <w:rPr>
          <w:color w:val="FF0000"/>
          <w:szCs w:val="22"/>
          <w:u w:val="single"/>
          <w:lang w:val="en-US" w:eastAsia="zh-CN"/>
        </w:rPr>
        <w:t xml:space="preserve">A STA that initiates DMG </w:t>
      </w:r>
      <w:r w:rsidR="000E58D6">
        <w:rPr>
          <w:color w:val="FF0000"/>
          <w:szCs w:val="22"/>
          <w:u w:val="single"/>
          <w:lang w:val="en-US" w:eastAsia="zh-CN"/>
        </w:rPr>
        <w:t>Extended</w:t>
      </w:r>
      <w:r w:rsidRPr="00AC795D">
        <w:rPr>
          <w:color w:val="FF0000"/>
          <w:szCs w:val="22"/>
          <w:u w:val="single"/>
          <w:lang w:val="en-US" w:eastAsia="zh-CN"/>
        </w:rPr>
        <w:t xml:space="preserve"> TPC shall support </w:t>
      </w:r>
      <w:r w:rsidRPr="00767F62">
        <w:rPr>
          <w:strike/>
          <w:color w:val="FF0000"/>
          <w:szCs w:val="22"/>
          <w:u w:val="single"/>
          <w:lang w:val="en-US" w:eastAsia="zh-CN"/>
        </w:rPr>
        <w:t>TDD</w:t>
      </w:r>
      <w:r w:rsidRPr="00AC795D">
        <w:rPr>
          <w:color w:val="FF0000"/>
          <w:szCs w:val="22"/>
          <w:u w:val="single"/>
          <w:lang w:val="en-US" w:eastAsia="zh-CN"/>
        </w:rPr>
        <w:t xml:space="preserve"> </w:t>
      </w:r>
      <w:r w:rsidR="00767F62">
        <w:rPr>
          <w:color w:val="FF0000"/>
          <w:szCs w:val="22"/>
          <w:u w:val="single"/>
          <w:lang w:val="en-US" w:eastAsia="zh-CN"/>
        </w:rPr>
        <w:t>L</w:t>
      </w:r>
      <w:r w:rsidRPr="00AC795D">
        <w:rPr>
          <w:color w:val="FF0000"/>
          <w:szCs w:val="22"/>
          <w:u w:val="single"/>
          <w:lang w:val="en-US" w:eastAsia="zh-CN"/>
        </w:rPr>
        <w:t>ink mainten</w:t>
      </w:r>
      <w:r w:rsidR="00AC795D" w:rsidRPr="00AC795D">
        <w:rPr>
          <w:color w:val="FF0000"/>
          <w:szCs w:val="22"/>
          <w:u w:val="single"/>
          <w:lang w:val="en-US" w:eastAsia="zh-CN"/>
        </w:rPr>
        <w:t>ance as defined in</w:t>
      </w:r>
      <w:r w:rsidRPr="000A3ADD">
        <w:rPr>
          <w:color w:val="FF0000"/>
          <w:szCs w:val="22"/>
          <w:u w:val="single"/>
          <w:lang w:val="en-US" w:eastAsia="zh-CN"/>
        </w:rPr>
        <w:t xml:space="preserve">10.44.5 </w:t>
      </w:r>
      <w:r w:rsidRPr="00767F62">
        <w:rPr>
          <w:strike/>
          <w:color w:val="FF0000"/>
          <w:szCs w:val="22"/>
          <w:u w:val="single"/>
          <w:lang w:val="en-US" w:eastAsia="zh-CN"/>
        </w:rPr>
        <w:t>TDD</w:t>
      </w:r>
      <w:r w:rsidRPr="000A3ADD">
        <w:rPr>
          <w:color w:val="FF0000"/>
          <w:szCs w:val="22"/>
          <w:u w:val="single"/>
          <w:lang w:val="en-US" w:eastAsia="zh-CN"/>
        </w:rPr>
        <w:t xml:space="preserve"> </w:t>
      </w:r>
      <w:r w:rsidR="00767F62">
        <w:rPr>
          <w:color w:val="FF0000"/>
          <w:szCs w:val="22"/>
          <w:u w:val="single"/>
          <w:lang w:val="en-US" w:eastAsia="zh-CN"/>
        </w:rPr>
        <w:t>L</w:t>
      </w:r>
      <w:r w:rsidRPr="000A3ADD">
        <w:rPr>
          <w:color w:val="FF0000"/>
          <w:szCs w:val="22"/>
          <w:u w:val="single"/>
          <w:lang w:val="en-US" w:eastAsia="zh-CN"/>
        </w:rPr>
        <w:t>ink maintenance</w:t>
      </w:r>
      <w:r w:rsidR="00AC795D" w:rsidRPr="000A3ADD">
        <w:rPr>
          <w:color w:val="FF0000"/>
          <w:szCs w:val="22"/>
          <w:u w:val="single"/>
          <w:lang w:val="en-US" w:eastAsia="zh-CN"/>
        </w:rPr>
        <w:t xml:space="preserve"> and the periodic Link Measurement as defined in 10.44.</w:t>
      </w:r>
      <w:r w:rsidR="000A3ADD">
        <w:rPr>
          <w:color w:val="FF0000"/>
          <w:szCs w:val="22"/>
          <w:u w:val="single"/>
          <w:lang w:val="en-US" w:eastAsia="zh-CN"/>
        </w:rPr>
        <w:t>1</w:t>
      </w:r>
      <w:r w:rsidR="00AC795D" w:rsidRPr="000A3ADD">
        <w:rPr>
          <w:color w:val="FF0000"/>
          <w:szCs w:val="22"/>
          <w:u w:val="single"/>
          <w:lang w:val="en-US" w:eastAsia="zh-CN"/>
        </w:rPr>
        <w:t>.</w:t>
      </w:r>
      <w:r w:rsidRPr="00AC795D">
        <w:rPr>
          <w:color w:val="FF0000"/>
          <w:szCs w:val="22"/>
          <w:u w:val="single"/>
          <w:lang w:val="en-US" w:eastAsia="zh-CN"/>
        </w:rPr>
        <w:t xml:space="preserve"> </w:t>
      </w:r>
    </w:p>
    <w:p w14:paraId="50C11F20" w14:textId="1BD401F1" w:rsidR="00AF7B47" w:rsidRPr="00AC795D" w:rsidRDefault="00AF7B47" w:rsidP="00F45869">
      <w:pPr>
        <w:rPr>
          <w:color w:val="FF0000"/>
          <w:szCs w:val="22"/>
          <w:u w:val="single"/>
          <w:lang w:val="en-US" w:eastAsia="zh-CN"/>
        </w:rPr>
      </w:pPr>
    </w:p>
    <w:p w14:paraId="7E9367D8" w14:textId="0E381FDE" w:rsidR="00AC795D" w:rsidRPr="00AC795D" w:rsidRDefault="00AF7B47" w:rsidP="00AC795D">
      <w:pPr>
        <w:rPr>
          <w:color w:val="FF0000"/>
          <w:szCs w:val="22"/>
          <w:u w:val="single"/>
          <w:lang w:val="en-US" w:eastAsia="zh-CN"/>
        </w:rPr>
      </w:pPr>
      <w:r w:rsidRPr="00AC795D">
        <w:rPr>
          <w:color w:val="FF0000"/>
          <w:szCs w:val="22"/>
          <w:u w:val="single"/>
          <w:lang w:val="en-US" w:eastAsia="zh-CN"/>
        </w:rPr>
        <w:t xml:space="preserve">A STA that sets to one the </w:t>
      </w:r>
      <w:r w:rsidR="000E58D6">
        <w:rPr>
          <w:color w:val="FF0000"/>
          <w:szCs w:val="22"/>
          <w:u w:val="single"/>
          <w:lang w:val="en-US" w:eastAsia="zh-CN"/>
        </w:rPr>
        <w:t>Extended</w:t>
      </w:r>
      <w:r w:rsidRPr="00AC795D">
        <w:rPr>
          <w:color w:val="FF0000"/>
          <w:szCs w:val="22"/>
          <w:u w:val="single"/>
          <w:lang w:val="en-US" w:eastAsia="zh-CN"/>
        </w:rPr>
        <w:t xml:space="preserve"> TPC Rx Supported </w:t>
      </w:r>
      <w:proofErr w:type="spellStart"/>
      <w:r w:rsidRPr="00AC795D">
        <w:rPr>
          <w:color w:val="FF0000"/>
          <w:szCs w:val="22"/>
          <w:u w:val="single"/>
          <w:lang w:val="en-US" w:eastAsia="zh-CN"/>
        </w:rPr>
        <w:t>subfieled</w:t>
      </w:r>
      <w:proofErr w:type="spellEnd"/>
      <w:r w:rsidRPr="00AC795D">
        <w:rPr>
          <w:color w:val="FF0000"/>
          <w:szCs w:val="22"/>
          <w:u w:val="single"/>
          <w:lang w:val="en-US" w:eastAsia="zh-CN"/>
        </w:rPr>
        <w:t xml:space="preserve"> in the DMG STA </w:t>
      </w:r>
      <w:proofErr w:type="spellStart"/>
      <w:r w:rsidRPr="00AC795D">
        <w:rPr>
          <w:color w:val="FF0000"/>
          <w:szCs w:val="22"/>
          <w:u w:val="single"/>
          <w:lang w:val="en-US" w:eastAsia="zh-CN"/>
        </w:rPr>
        <w:t>Capabilty</w:t>
      </w:r>
      <w:proofErr w:type="spellEnd"/>
      <w:r w:rsidRPr="00AC795D">
        <w:rPr>
          <w:color w:val="FF0000"/>
          <w:szCs w:val="22"/>
          <w:u w:val="single"/>
          <w:lang w:val="en-US" w:eastAsia="zh-CN"/>
        </w:rPr>
        <w:t xml:space="preserve"> Information field of the last transmitted </w:t>
      </w:r>
      <w:r w:rsidRPr="000A3ADD">
        <w:rPr>
          <w:color w:val="FF0000"/>
          <w:szCs w:val="22"/>
          <w:u w:val="single"/>
          <w:lang w:val="en-US" w:eastAsia="zh-CN"/>
        </w:rPr>
        <w:t xml:space="preserve">DMG Capabilities element </w:t>
      </w:r>
      <w:r w:rsidR="00AC795D" w:rsidRPr="00AC795D">
        <w:rPr>
          <w:color w:val="FF0000"/>
          <w:szCs w:val="22"/>
          <w:u w:val="single"/>
          <w:lang w:val="en-US" w:eastAsia="zh-CN"/>
        </w:rPr>
        <w:t xml:space="preserve">shall support </w:t>
      </w:r>
      <w:r w:rsidR="00AC795D" w:rsidRPr="00767F62">
        <w:rPr>
          <w:strike/>
          <w:color w:val="FF0000"/>
          <w:szCs w:val="22"/>
          <w:u w:val="single"/>
          <w:lang w:val="en-US" w:eastAsia="zh-CN"/>
        </w:rPr>
        <w:t>TDD</w:t>
      </w:r>
      <w:r w:rsidR="00AC795D" w:rsidRPr="00AC795D">
        <w:rPr>
          <w:color w:val="FF0000"/>
          <w:szCs w:val="22"/>
          <w:u w:val="single"/>
          <w:lang w:val="en-US" w:eastAsia="zh-CN"/>
        </w:rPr>
        <w:t xml:space="preserve"> </w:t>
      </w:r>
      <w:r w:rsidR="00767F62">
        <w:rPr>
          <w:color w:val="FF0000"/>
          <w:szCs w:val="22"/>
          <w:u w:val="single"/>
          <w:lang w:val="en-US" w:eastAsia="zh-CN"/>
        </w:rPr>
        <w:t>L</w:t>
      </w:r>
      <w:r w:rsidR="00AC795D" w:rsidRPr="00AC795D">
        <w:rPr>
          <w:color w:val="FF0000"/>
          <w:szCs w:val="22"/>
          <w:u w:val="single"/>
          <w:lang w:val="en-US" w:eastAsia="zh-CN"/>
        </w:rPr>
        <w:t>ink maintenance as defined in</w:t>
      </w:r>
      <w:r w:rsidR="000A3ADD">
        <w:rPr>
          <w:color w:val="FF0000"/>
          <w:szCs w:val="22"/>
          <w:u w:val="single"/>
          <w:lang w:val="en-US" w:eastAsia="zh-CN"/>
        </w:rPr>
        <w:t xml:space="preserve"> </w:t>
      </w:r>
      <w:r w:rsidR="00AC795D" w:rsidRPr="000A3ADD">
        <w:rPr>
          <w:color w:val="FF0000"/>
          <w:szCs w:val="22"/>
          <w:u w:val="single"/>
          <w:lang w:val="en-US" w:eastAsia="zh-CN"/>
        </w:rPr>
        <w:t xml:space="preserve">10.44.5 </w:t>
      </w:r>
      <w:r w:rsidR="00AC795D" w:rsidRPr="00767F62">
        <w:rPr>
          <w:strike/>
          <w:color w:val="FF0000"/>
          <w:szCs w:val="22"/>
          <w:u w:val="single"/>
          <w:lang w:val="en-US" w:eastAsia="zh-CN"/>
        </w:rPr>
        <w:t>TDD</w:t>
      </w:r>
      <w:r w:rsidR="00AC795D" w:rsidRPr="000A3ADD">
        <w:rPr>
          <w:color w:val="FF0000"/>
          <w:szCs w:val="22"/>
          <w:u w:val="single"/>
          <w:lang w:val="en-US" w:eastAsia="zh-CN"/>
        </w:rPr>
        <w:t xml:space="preserve"> </w:t>
      </w:r>
      <w:r w:rsidR="00767F62">
        <w:rPr>
          <w:color w:val="FF0000"/>
          <w:szCs w:val="22"/>
          <w:u w:val="single"/>
          <w:lang w:val="en-US" w:eastAsia="zh-CN"/>
        </w:rPr>
        <w:t>L</w:t>
      </w:r>
      <w:r w:rsidR="00AC795D" w:rsidRPr="000A3ADD">
        <w:rPr>
          <w:color w:val="FF0000"/>
          <w:szCs w:val="22"/>
          <w:u w:val="single"/>
          <w:lang w:val="en-US" w:eastAsia="zh-CN"/>
        </w:rPr>
        <w:t>ink maintenance and the periodic Link Measurement as defined in 10.44.1 General.</w:t>
      </w:r>
      <w:r w:rsidR="00AC795D" w:rsidRPr="00AC795D">
        <w:rPr>
          <w:color w:val="FF0000"/>
          <w:szCs w:val="22"/>
          <w:u w:val="single"/>
          <w:lang w:val="en-US" w:eastAsia="zh-CN"/>
        </w:rPr>
        <w:t xml:space="preserve"> </w:t>
      </w:r>
    </w:p>
    <w:p w14:paraId="09160964" w14:textId="77777777" w:rsidR="000A3ADD" w:rsidRDefault="000A3ADD" w:rsidP="00CC2CAB">
      <w:pPr>
        <w:rPr>
          <w:color w:val="FF0000"/>
          <w:szCs w:val="22"/>
          <w:u w:val="single"/>
          <w:lang w:val="en-US" w:eastAsia="zh-CN"/>
        </w:rPr>
      </w:pPr>
    </w:p>
    <w:p w14:paraId="5D871EEC" w14:textId="1F8F4C45" w:rsidR="00CC2CAB" w:rsidRDefault="00A61A3D" w:rsidP="00CC2CAB">
      <w:pPr>
        <w:rPr>
          <w:color w:val="FF0000"/>
          <w:szCs w:val="22"/>
          <w:u w:val="single"/>
          <w:lang w:val="en-US" w:eastAsia="zh-CN"/>
        </w:rPr>
      </w:pPr>
      <w:r>
        <w:rPr>
          <w:color w:val="FF0000"/>
          <w:szCs w:val="22"/>
          <w:u w:val="single"/>
          <w:lang w:val="en-US" w:eastAsia="zh-CN"/>
        </w:rPr>
        <w:t xml:space="preserve">A STA that has </w:t>
      </w:r>
      <w:r w:rsidR="00CC09DB" w:rsidRPr="009767B6">
        <w:rPr>
          <w:color w:val="FF0000"/>
          <w:szCs w:val="22"/>
          <w:u w:val="single"/>
          <w:lang w:val="en-US" w:eastAsia="zh-CN"/>
        </w:rPr>
        <w:t>dot11</w:t>
      </w:r>
      <w:r w:rsidR="000E58D6">
        <w:rPr>
          <w:color w:val="FF0000"/>
          <w:szCs w:val="22"/>
          <w:u w:val="single"/>
          <w:lang w:val="en-US" w:eastAsia="zh-CN"/>
        </w:rPr>
        <w:t>Extended</w:t>
      </w:r>
      <w:r w:rsidR="00CC09DB" w:rsidRPr="009767B6">
        <w:rPr>
          <w:color w:val="FF0000"/>
          <w:szCs w:val="22"/>
          <w:u w:val="single"/>
          <w:lang w:val="en-US" w:eastAsia="zh-CN"/>
        </w:rPr>
        <w:t>TPC</w:t>
      </w:r>
      <w:r w:rsidR="005C692F">
        <w:rPr>
          <w:color w:val="FF0000"/>
          <w:szCs w:val="22"/>
          <w:u w:val="single"/>
          <w:lang w:val="en-US" w:eastAsia="zh-CN"/>
        </w:rPr>
        <w:t>Activated</w:t>
      </w:r>
      <w:r w:rsidR="00CC09DB"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sidR="00CC09DB">
        <w:rPr>
          <w:color w:val="FF0000"/>
          <w:szCs w:val="22"/>
          <w:u w:val="single"/>
          <w:lang w:val="en-US" w:eastAsia="zh-CN"/>
        </w:rPr>
        <w:t xml:space="preserve">Rx </w:t>
      </w:r>
      <w:r>
        <w:rPr>
          <w:color w:val="FF0000"/>
          <w:szCs w:val="22"/>
          <w:u w:val="single"/>
          <w:lang w:val="en-US" w:eastAsia="zh-CN"/>
        </w:rPr>
        <w:t xml:space="preserve">and receives </w:t>
      </w:r>
      <w:r w:rsidR="00CC09DB">
        <w:rPr>
          <w:color w:val="FF0000"/>
          <w:szCs w:val="22"/>
          <w:u w:val="single"/>
          <w:lang w:val="en-US" w:eastAsia="zh-CN"/>
        </w:rPr>
        <w:t xml:space="preserve">Link Measurement Report </w:t>
      </w:r>
      <w:r w:rsidR="000509E6">
        <w:rPr>
          <w:color w:val="FF0000"/>
          <w:szCs w:val="22"/>
          <w:u w:val="single"/>
          <w:lang w:val="en-US" w:eastAsia="zh-CN"/>
        </w:rPr>
        <w:t xml:space="preserve">shall adjust its MCS or transmit power according to the </w:t>
      </w:r>
      <w:r w:rsidR="00D4710D">
        <w:rPr>
          <w:color w:val="FF0000"/>
          <w:szCs w:val="22"/>
          <w:u w:val="single"/>
          <w:lang w:val="en-US" w:eastAsia="zh-CN"/>
        </w:rPr>
        <w:t xml:space="preserve">values of </w:t>
      </w:r>
      <w:r w:rsidR="000A3ADD">
        <w:rPr>
          <w:color w:val="FF0000"/>
          <w:szCs w:val="22"/>
          <w:u w:val="single"/>
          <w:lang w:val="en-US" w:eastAsia="zh-CN"/>
        </w:rPr>
        <w:t xml:space="preserve">the </w:t>
      </w:r>
      <w:r w:rsidR="00372BB3">
        <w:rPr>
          <w:color w:val="FF0000"/>
          <w:szCs w:val="22"/>
          <w:u w:val="single"/>
          <w:lang w:val="en-US" w:eastAsia="zh-CN"/>
        </w:rPr>
        <w:t>Extended</w:t>
      </w:r>
      <w:r w:rsidR="000A3ADD"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sidR="00D4710D">
        <w:rPr>
          <w:color w:val="FF0000"/>
          <w:szCs w:val="22"/>
          <w:u w:val="single"/>
          <w:lang w:val="en-US" w:eastAsia="zh-CN"/>
        </w:rPr>
        <w:t xml:space="preserve">) in the </w:t>
      </w:r>
      <w:r w:rsidR="000509E6">
        <w:rPr>
          <w:color w:val="FF0000"/>
          <w:szCs w:val="22"/>
          <w:u w:val="single"/>
          <w:lang w:val="en-US" w:eastAsia="zh-CN"/>
        </w:rPr>
        <w:t>received</w:t>
      </w:r>
      <w:r w:rsidR="00D4710D">
        <w:rPr>
          <w:color w:val="FF0000"/>
          <w:szCs w:val="22"/>
          <w:u w:val="single"/>
          <w:lang w:val="en-US" w:eastAsia="zh-CN"/>
        </w:rPr>
        <w:t xml:space="preserve"> Link Measurement Report frame</w:t>
      </w:r>
      <w:r w:rsidR="009767B6">
        <w:rPr>
          <w:color w:val="FF0000"/>
          <w:szCs w:val="22"/>
          <w:u w:val="single"/>
          <w:lang w:val="en-US" w:eastAsia="zh-CN"/>
        </w:rPr>
        <w:t>.</w:t>
      </w:r>
      <w:r w:rsidR="00D4710D">
        <w:rPr>
          <w:color w:val="FF0000"/>
          <w:szCs w:val="22"/>
          <w:u w:val="single"/>
          <w:lang w:val="en-US" w:eastAsia="zh-CN"/>
        </w:rPr>
        <w:t xml:space="preserve"> </w:t>
      </w:r>
      <w:r w:rsidR="00CC2CAB">
        <w:rPr>
          <w:color w:val="FF0000"/>
          <w:szCs w:val="22"/>
          <w:u w:val="single"/>
          <w:lang w:val="en-US" w:eastAsia="zh-CN"/>
        </w:rPr>
        <w:t xml:space="preserve">A STA may not implement the signaled MCS or transmit power changes only if the values exceed the device limits. </w:t>
      </w:r>
    </w:p>
    <w:p w14:paraId="67B588CD" w14:textId="3A4E12D0" w:rsidR="00B174ED" w:rsidRDefault="00B174ED" w:rsidP="00CC2CAB">
      <w:pPr>
        <w:rPr>
          <w:color w:val="FF0000"/>
          <w:szCs w:val="22"/>
          <w:u w:val="single"/>
          <w:lang w:val="en-US" w:eastAsia="zh-CN"/>
        </w:rPr>
      </w:pPr>
    </w:p>
    <w:p w14:paraId="60349671" w14:textId="54C438AC" w:rsidR="00B174ED" w:rsidRPr="005E0E68" w:rsidRDefault="00B174ED" w:rsidP="00CC2CAB">
      <w:pPr>
        <w:rPr>
          <w:color w:val="00B0F0"/>
          <w:szCs w:val="22"/>
          <w:u w:val="single"/>
          <w:lang w:val="en-US" w:eastAsia="zh-CN"/>
        </w:rPr>
      </w:pPr>
      <w:r w:rsidRPr="005E0E68">
        <w:rPr>
          <w:color w:val="00B0F0"/>
          <w:szCs w:val="22"/>
          <w:u w:val="single"/>
          <w:lang w:val="en-US" w:eastAsia="zh-CN"/>
        </w:rPr>
        <w:lastRenderedPageBreak/>
        <w:t>NOTE</w:t>
      </w:r>
      <w:r w:rsidR="00676D9B" w:rsidRPr="005E0E68">
        <w:rPr>
          <w:color w:val="00B0F0"/>
          <w:szCs w:val="22"/>
          <w:u w:val="single"/>
          <w:lang w:val="en-US" w:eastAsia="zh-CN"/>
        </w:rPr>
        <w:t xml:space="preserve"> </w:t>
      </w:r>
      <w:r w:rsidRPr="005E0E68">
        <w:rPr>
          <w:color w:val="00B0F0"/>
          <w:szCs w:val="22"/>
          <w:u w:val="single"/>
          <w:lang w:val="en-US" w:eastAsia="zh-CN"/>
        </w:rPr>
        <w:t>-</w:t>
      </w:r>
      <w:r w:rsidR="00676D9B" w:rsidRPr="005E0E68">
        <w:rPr>
          <w:color w:val="00B0F0"/>
          <w:szCs w:val="22"/>
          <w:u w:val="single"/>
          <w:lang w:val="en-US" w:eastAsia="zh-CN"/>
        </w:rPr>
        <w:t xml:space="preserve"> A STA that has dot11ExtendedTPCActivated set to Rx, sends Link Measurement Request with Indication for Periodic Report Request set to 1. The STA will receive periodically Link Measurement Report including </w:t>
      </w:r>
      <w:r w:rsidR="00372BB3">
        <w:rPr>
          <w:color w:val="00B0F0"/>
          <w:szCs w:val="22"/>
          <w:u w:val="single"/>
          <w:lang w:val="en-US" w:eastAsia="zh-CN"/>
        </w:rPr>
        <w:t>Extended</w:t>
      </w:r>
      <w:r w:rsidR="00676D9B" w:rsidRPr="005E0E68">
        <w:rPr>
          <w:color w:val="00B0F0"/>
          <w:szCs w:val="22"/>
          <w:u w:val="single"/>
          <w:lang w:val="en-US" w:eastAsia="zh-CN"/>
        </w:rPr>
        <w:t xml:space="preserve"> TPC sub-field, including transmit power and MCS updates. The STA use</w:t>
      </w:r>
      <w:r w:rsidR="005E0E68">
        <w:rPr>
          <w:color w:val="00B0F0"/>
          <w:szCs w:val="22"/>
          <w:u w:val="single"/>
          <w:lang w:val="en-US" w:eastAsia="zh-CN"/>
        </w:rPr>
        <w:t>s</w:t>
      </w:r>
      <w:r w:rsidR="00676D9B" w:rsidRPr="005E0E68">
        <w:rPr>
          <w:color w:val="00B0F0"/>
          <w:szCs w:val="22"/>
          <w:u w:val="single"/>
          <w:lang w:val="en-US" w:eastAsia="zh-CN"/>
        </w:rPr>
        <w:t xml:space="preserve"> the received values to update its transmitter power and MCS. The peer device, which responds with Link Measurement Report, continuously performs evaluation of the link based on the information it has from its receiver and computes the updates for the transmit power and MCS</w:t>
      </w:r>
      <w:r w:rsidR="005E0E68" w:rsidRPr="005E0E68">
        <w:rPr>
          <w:color w:val="00B0F0"/>
          <w:szCs w:val="22"/>
          <w:u w:val="single"/>
          <w:lang w:val="en-US" w:eastAsia="zh-CN"/>
        </w:rPr>
        <w:t xml:space="preserve"> of the initiator.</w:t>
      </w:r>
    </w:p>
    <w:p w14:paraId="17BBF644" w14:textId="77777777" w:rsidR="000509E6" w:rsidRDefault="000509E6">
      <w:pPr>
        <w:rPr>
          <w:color w:val="FF0000"/>
          <w:szCs w:val="22"/>
          <w:u w:val="single"/>
          <w:lang w:val="en-US" w:eastAsia="zh-CN"/>
        </w:rPr>
      </w:pPr>
    </w:p>
    <w:p w14:paraId="1D01A3EC" w14:textId="3E05F628" w:rsidR="000509E6" w:rsidRDefault="000509E6" w:rsidP="000509E6">
      <w:pPr>
        <w:rPr>
          <w:color w:val="FF0000"/>
          <w:szCs w:val="22"/>
          <w:u w:val="single"/>
          <w:lang w:val="en-US" w:eastAsia="zh-CN"/>
        </w:rPr>
      </w:pPr>
      <w:r>
        <w:rPr>
          <w:color w:val="FF0000"/>
          <w:szCs w:val="22"/>
          <w:u w:val="single"/>
          <w:lang w:val="en-US" w:eastAsia="zh-CN"/>
        </w:rPr>
        <w:t xml:space="preserve">A STA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Pr>
          <w:color w:val="FF0000"/>
          <w:szCs w:val="22"/>
          <w:u w:val="single"/>
          <w:lang w:val="en-US" w:eastAsia="zh-CN"/>
        </w:rPr>
        <w:t>Tx and receives Link Measurement Report shall adjust its MCS and transmit power</w:t>
      </w:r>
      <w:r w:rsidR="009767B6">
        <w:rPr>
          <w:color w:val="FF0000"/>
          <w:szCs w:val="22"/>
          <w:u w:val="single"/>
          <w:lang w:val="en-US" w:eastAsia="zh-CN"/>
        </w:rPr>
        <w:t xml:space="preserve">. The STA algorithm to determine the MCS and transmit power </w:t>
      </w:r>
      <w:r w:rsidR="009767B6" w:rsidRPr="009767B6">
        <w:rPr>
          <w:color w:val="FF0000"/>
          <w:szCs w:val="22"/>
          <w:u w:val="single"/>
          <w:lang w:val="en-US" w:eastAsia="zh-CN"/>
        </w:rPr>
        <w:t>are beyond the scope of this standard</w:t>
      </w:r>
      <w:r w:rsidR="009767B6">
        <w:rPr>
          <w:color w:val="FF0000"/>
          <w:szCs w:val="22"/>
          <w:u w:val="single"/>
          <w:lang w:val="en-US" w:eastAsia="zh-CN"/>
        </w:rPr>
        <w:t xml:space="preserve">. It may use any part of the </w:t>
      </w:r>
      <w:r>
        <w:rPr>
          <w:color w:val="FF0000"/>
          <w:szCs w:val="22"/>
          <w:u w:val="single"/>
          <w:lang w:val="en-US" w:eastAsia="zh-CN"/>
        </w:rPr>
        <w:t xml:space="preserve">received measurements and </w:t>
      </w:r>
      <w:r w:rsidR="009767B6">
        <w:rPr>
          <w:color w:val="FF0000"/>
          <w:szCs w:val="22"/>
          <w:u w:val="single"/>
          <w:lang w:val="en-US" w:eastAsia="zh-CN"/>
        </w:rPr>
        <w:t xml:space="preserve">any </w:t>
      </w:r>
      <w:r>
        <w:rPr>
          <w:color w:val="FF0000"/>
          <w:szCs w:val="22"/>
          <w:u w:val="single"/>
          <w:lang w:val="en-US" w:eastAsia="zh-CN"/>
        </w:rPr>
        <w:t xml:space="preserve">additional information </w:t>
      </w:r>
      <w:r w:rsidR="009767B6">
        <w:rPr>
          <w:color w:val="FF0000"/>
          <w:szCs w:val="22"/>
          <w:u w:val="single"/>
          <w:lang w:val="en-US" w:eastAsia="zh-CN"/>
        </w:rPr>
        <w:t>the STA</w:t>
      </w:r>
      <w:r>
        <w:rPr>
          <w:color w:val="FF0000"/>
          <w:szCs w:val="22"/>
          <w:u w:val="single"/>
          <w:lang w:val="en-US" w:eastAsia="zh-CN"/>
        </w:rPr>
        <w:t xml:space="preserve"> has.</w:t>
      </w:r>
    </w:p>
    <w:p w14:paraId="05C13972" w14:textId="60C586E1" w:rsidR="005E0E68" w:rsidRDefault="005E0E68" w:rsidP="000509E6">
      <w:pPr>
        <w:rPr>
          <w:color w:val="FF0000"/>
          <w:szCs w:val="22"/>
          <w:u w:val="single"/>
          <w:lang w:val="en-US" w:eastAsia="zh-CN"/>
        </w:rPr>
      </w:pPr>
    </w:p>
    <w:p w14:paraId="1EAB88B3" w14:textId="32075322" w:rsidR="005E0E68" w:rsidRPr="005E0E68" w:rsidRDefault="005E0E68" w:rsidP="005E0E68">
      <w:pPr>
        <w:rPr>
          <w:color w:val="00B0F0"/>
          <w:szCs w:val="22"/>
          <w:u w:val="single"/>
          <w:lang w:val="en-US" w:eastAsia="zh-CN"/>
        </w:rPr>
      </w:pPr>
      <w:r w:rsidRPr="005E0E68">
        <w:rPr>
          <w:color w:val="00B0F0"/>
          <w:szCs w:val="22"/>
          <w:u w:val="single"/>
          <w:lang w:val="en-US" w:eastAsia="zh-CN"/>
        </w:rPr>
        <w:t xml:space="preserve">NOTE - A STA that has dot11ExtendedTPCActivated set to Tx, sends Link Measurement Request with Indication for Periodic Report Request set to 1. The STA will receive periodically Link Measurement Report including Parameters Across RX Chains and/or Parameters Across PPDUs and/or Parameters Across LDPC Codewords and/or Parameters Across SC Blocks </w:t>
      </w:r>
      <w:proofErr w:type="gramStart"/>
      <w:r w:rsidRPr="005E0E68">
        <w:rPr>
          <w:color w:val="00B0F0"/>
          <w:szCs w:val="22"/>
          <w:u w:val="single"/>
          <w:lang w:val="en-US" w:eastAsia="zh-CN"/>
        </w:rPr>
        <w:t>Or</w:t>
      </w:r>
      <w:proofErr w:type="gramEnd"/>
      <w:r w:rsidRPr="005E0E68">
        <w:rPr>
          <w:color w:val="00B0F0"/>
          <w:szCs w:val="22"/>
          <w:u w:val="single"/>
          <w:lang w:val="en-US" w:eastAsia="zh-CN"/>
        </w:rPr>
        <w:t xml:space="preserve"> OFDM Symbols. The STA uses the received values to update its transmitter power and MCS. The STA may also receive </w:t>
      </w:r>
      <w:r w:rsidR="007404D6">
        <w:rPr>
          <w:color w:val="00B0F0"/>
          <w:szCs w:val="22"/>
          <w:u w:val="single"/>
          <w:lang w:val="en-US" w:eastAsia="zh-CN"/>
        </w:rPr>
        <w:t>Extended</w:t>
      </w:r>
      <w:r w:rsidRPr="005E0E68">
        <w:rPr>
          <w:color w:val="00B0F0"/>
          <w:szCs w:val="22"/>
          <w:u w:val="single"/>
          <w:lang w:val="en-US" w:eastAsia="zh-CN"/>
        </w:rPr>
        <w:t xml:space="preserve"> TPC sub-field, including transmit power and MCS updates. When dot11ExtendedTPCActivated is set to Tx, the STA is not required to follow the values in </w:t>
      </w:r>
      <w:r w:rsidR="007404D6">
        <w:rPr>
          <w:color w:val="00B0F0"/>
          <w:szCs w:val="22"/>
          <w:u w:val="single"/>
          <w:lang w:val="en-US" w:eastAsia="zh-CN"/>
        </w:rPr>
        <w:t>Extended</w:t>
      </w:r>
      <w:r w:rsidRPr="005E0E68">
        <w:rPr>
          <w:color w:val="00B0F0"/>
          <w:szCs w:val="22"/>
          <w:u w:val="single"/>
          <w:lang w:val="en-US" w:eastAsia="zh-CN"/>
        </w:rPr>
        <w:t xml:space="preserve"> TPC sub-field. It may use them as additional information used to update its transmitter power and MCS. The STA may use any additional information it has, like BACK.</w:t>
      </w:r>
    </w:p>
    <w:p w14:paraId="62FA4AE8" w14:textId="77777777" w:rsidR="000509E6" w:rsidRDefault="000509E6" w:rsidP="000509E6">
      <w:pPr>
        <w:rPr>
          <w:color w:val="FF0000"/>
          <w:szCs w:val="22"/>
          <w:u w:val="single"/>
          <w:lang w:val="en-US" w:eastAsia="zh-CN"/>
        </w:rPr>
      </w:pPr>
    </w:p>
    <w:p w14:paraId="057405D0" w14:textId="0FEECD07" w:rsidR="00CC2CAB" w:rsidRDefault="00CC2CAB" w:rsidP="006E529A">
      <w:pPr>
        <w:rPr>
          <w:color w:val="FF0000"/>
          <w:szCs w:val="22"/>
          <w:u w:val="single"/>
          <w:lang w:val="en-US" w:eastAsia="zh-CN"/>
        </w:rPr>
      </w:pPr>
      <w:r>
        <w:rPr>
          <w:color w:val="FF0000"/>
          <w:szCs w:val="22"/>
          <w:u w:val="single"/>
          <w:lang w:val="en-US" w:eastAsia="zh-CN"/>
        </w:rPr>
        <w:t xml:space="preserve">An AP or PCP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set to Tx or Rx, shall have </w:t>
      </w:r>
      <w:r w:rsidR="000E58D6">
        <w:rPr>
          <w:color w:val="FF0000"/>
          <w:szCs w:val="22"/>
          <w:u w:val="single"/>
          <w:lang w:val="en-US" w:eastAsia="zh-CN"/>
        </w:rPr>
        <w:t>Extended</w:t>
      </w:r>
      <w:r w:rsidRPr="00104B5A">
        <w:rPr>
          <w:color w:val="FF0000"/>
          <w:szCs w:val="22"/>
          <w:u w:val="single"/>
          <w:lang w:val="en-US" w:eastAsia="zh-CN"/>
        </w:rPr>
        <w:t xml:space="preserve"> TPC Rx Supported</w:t>
      </w:r>
      <w:r>
        <w:rPr>
          <w:color w:val="FF0000"/>
          <w:szCs w:val="22"/>
          <w:u w:val="single"/>
          <w:lang w:val="en-US" w:eastAsia="zh-CN"/>
        </w:rPr>
        <w:t xml:space="preserve"> capability set to 1 and support the computation and report of the </w:t>
      </w:r>
      <w:r w:rsidR="007404D6">
        <w:rPr>
          <w:color w:val="FF0000"/>
          <w:szCs w:val="22"/>
          <w:u w:val="single"/>
          <w:lang w:val="en-US" w:eastAsia="zh-CN"/>
        </w:rPr>
        <w:t>Extended</w:t>
      </w:r>
      <w:r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Pr>
          <w:color w:val="FF0000"/>
          <w:szCs w:val="22"/>
          <w:u w:val="single"/>
          <w:lang w:val="en-US" w:eastAsia="zh-CN"/>
        </w:rPr>
        <w:t>.</w:t>
      </w:r>
    </w:p>
    <w:p w14:paraId="2A3CE626" w14:textId="77777777" w:rsidR="00CC2CAB" w:rsidRDefault="00CC2CAB" w:rsidP="006E529A">
      <w:pPr>
        <w:rPr>
          <w:color w:val="FF0000"/>
          <w:szCs w:val="22"/>
          <w:u w:val="single"/>
          <w:lang w:val="en-US" w:eastAsia="zh-CN"/>
        </w:rPr>
      </w:pPr>
    </w:p>
    <w:p w14:paraId="33DF0DA9" w14:textId="7BC439EF" w:rsidR="004946A7" w:rsidRDefault="004946A7">
      <w:pPr>
        <w:rPr>
          <w:color w:val="FF0000"/>
          <w:szCs w:val="22"/>
          <w:u w:val="single"/>
          <w:lang w:val="en-US" w:eastAsia="zh-CN"/>
        </w:rPr>
      </w:pPr>
    </w:p>
    <w:p w14:paraId="36BB28DD" w14:textId="77777777" w:rsidR="006E529A" w:rsidRDefault="006E529A" w:rsidP="006E529A">
      <w:pPr>
        <w:rPr>
          <w:color w:val="FF0000"/>
          <w:szCs w:val="22"/>
          <w:u w:val="single"/>
          <w:lang w:val="en-US" w:eastAsia="zh-CN"/>
        </w:rPr>
      </w:pPr>
    </w:p>
    <w:p w14:paraId="3222702E" w14:textId="0801D7C9" w:rsidR="004946A7" w:rsidRPr="009767B6" w:rsidRDefault="004946A7" w:rsidP="004946A7">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Additional text in </w:t>
      </w:r>
      <w:r w:rsidRPr="009767B6">
        <w:rPr>
          <w:rFonts w:ascii="Arial-BoldMT" w:hAnsi="Arial-BoldMT" w:cs="Arial-BoldMT"/>
          <w:b/>
          <w:bCs/>
          <w:iCs/>
          <w:color w:val="00B050"/>
          <w:sz w:val="26"/>
          <w:szCs w:val="26"/>
          <w:u w:val="single"/>
          <w:lang w:val="en-US" w:eastAsia="zh-CN"/>
        </w:rPr>
        <w:t>TPC</w:t>
      </w:r>
      <w:r>
        <w:rPr>
          <w:rFonts w:ascii="Arial-BoldMT" w:hAnsi="Arial-BoldMT" w:cs="Arial-BoldMT"/>
          <w:b/>
          <w:bCs/>
          <w:iCs/>
          <w:color w:val="00B050"/>
          <w:sz w:val="26"/>
          <w:szCs w:val="26"/>
          <w:u w:val="single"/>
          <w:lang w:val="en-US" w:eastAsia="zh-CN"/>
        </w:rPr>
        <w:t xml:space="preserve"> procedures section</w:t>
      </w:r>
    </w:p>
    <w:p w14:paraId="6E367345" w14:textId="6DB681C4" w:rsidR="004946A7" w:rsidRDefault="004946A7" w:rsidP="004946A7">
      <w:pPr>
        <w:rPr>
          <w:szCs w:val="22"/>
          <w:lang w:val="en-US"/>
        </w:rPr>
      </w:pPr>
    </w:p>
    <w:p w14:paraId="613AB4F2" w14:textId="380351AC" w:rsidR="004946A7" w:rsidRPr="008A1FB5" w:rsidRDefault="004946A7" w:rsidP="004946A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 xml:space="preserve">the following paragraph </w:t>
      </w:r>
      <w:r>
        <w:rPr>
          <w:rFonts w:ascii="Arial-BoldMT" w:hAnsi="Arial-BoldMT" w:cs="Arial-BoldMT"/>
          <w:b/>
          <w:bCs/>
          <w:i/>
          <w:sz w:val="24"/>
          <w:szCs w:val="24"/>
          <w:lang w:val="en-US" w:eastAsia="zh-CN"/>
        </w:rPr>
        <w:t xml:space="preserve">to the end of </w:t>
      </w:r>
      <w:r w:rsidRPr="008A1FB5">
        <w:rPr>
          <w:rFonts w:ascii="Arial-BoldMT" w:hAnsi="Arial-BoldMT" w:cs="Arial-BoldMT"/>
          <w:b/>
          <w:bCs/>
          <w:i/>
          <w:sz w:val="24"/>
          <w:szCs w:val="24"/>
          <w:lang w:val="en-US" w:eastAsia="zh-CN"/>
        </w:rPr>
        <w:t xml:space="preserve">subclause </w:t>
      </w:r>
      <w:r>
        <w:rPr>
          <w:rFonts w:ascii="Arial-BoldMT" w:hAnsi="Arial-BoldMT" w:cs="Arial-BoldMT"/>
          <w:b/>
          <w:bCs/>
          <w:i/>
          <w:sz w:val="24"/>
          <w:szCs w:val="24"/>
          <w:lang w:val="en-US" w:eastAsia="zh-CN"/>
        </w:rPr>
        <w:t>11.7.1</w:t>
      </w:r>
      <w:r w:rsidR="009059B2">
        <w:rPr>
          <w:rFonts w:ascii="Arial-BoldMT" w:hAnsi="Arial-BoldMT" w:cs="Arial-BoldMT"/>
          <w:b/>
          <w:bCs/>
          <w:i/>
          <w:sz w:val="24"/>
          <w:szCs w:val="24"/>
          <w:lang w:val="en-US" w:eastAsia="zh-CN"/>
        </w:rPr>
        <w:t xml:space="preserve"> (REVmd2.0 P2240L</w:t>
      </w:r>
      <w:r w:rsidR="00851FD4">
        <w:rPr>
          <w:rFonts w:ascii="Arial-BoldMT" w:hAnsi="Arial-BoldMT" w:cs="Arial-BoldMT"/>
          <w:b/>
          <w:bCs/>
          <w:i/>
          <w:sz w:val="24"/>
          <w:szCs w:val="24"/>
          <w:lang w:val="en-US" w:eastAsia="zh-CN"/>
        </w:rPr>
        <w:t>57)</w:t>
      </w:r>
    </w:p>
    <w:p w14:paraId="0D9D2901" w14:textId="4AEF7EB8" w:rsidR="004946A7" w:rsidRDefault="004946A7" w:rsidP="004946A7">
      <w:pPr>
        <w:rPr>
          <w:szCs w:val="22"/>
          <w:lang w:val="en-US"/>
        </w:rPr>
      </w:pPr>
    </w:p>
    <w:p w14:paraId="26D9C8EF" w14:textId="12312B07" w:rsidR="006E529A" w:rsidRDefault="00142EB8">
      <w:pPr>
        <w:rPr>
          <w:color w:val="FF0000"/>
          <w:szCs w:val="22"/>
          <w:u w:val="single"/>
          <w:lang w:val="en-US" w:eastAsia="zh-CN"/>
        </w:rPr>
      </w:pPr>
      <w:r w:rsidRPr="00142EB8">
        <w:rPr>
          <w:color w:val="FF0000"/>
          <w:szCs w:val="22"/>
          <w:u w:val="single"/>
          <w:lang w:val="en-US" w:eastAsia="zh-CN"/>
        </w:rPr>
        <w:t xml:space="preserve">If </w:t>
      </w:r>
      <w:r w:rsidRPr="009767B6">
        <w:rPr>
          <w:color w:val="FF0000"/>
          <w:szCs w:val="22"/>
          <w:u w:val="single"/>
          <w:lang w:val="en-US" w:eastAsia="zh-CN"/>
        </w:rPr>
        <w:t>dot11</w:t>
      </w:r>
      <w:r>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w:t>
      </w:r>
      <w:r w:rsidRPr="00142EB8">
        <w:rPr>
          <w:color w:val="FF0000"/>
          <w:szCs w:val="22"/>
          <w:u w:val="single"/>
          <w:lang w:val="en-US" w:eastAsia="zh-CN"/>
        </w:rPr>
        <w:t xml:space="preserve">is defined and is different than None, a DMG STA shall support DMG </w:t>
      </w:r>
      <w:r>
        <w:rPr>
          <w:color w:val="FF0000"/>
          <w:szCs w:val="22"/>
          <w:u w:val="single"/>
          <w:lang w:val="en-US" w:eastAsia="zh-CN"/>
        </w:rPr>
        <w:t xml:space="preserve">Extended </w:t>
      </w:r>
      <w:r w:rsidRPr="00142EB8">
        <w:rPr>
          <w:color w:val="FF0000"/>
          <w:szCs w:val="22"/>
          <w:u w:val="single"/>
          <w:lang w:val="en-US" w:eastAsia="zh-CN"/>
        </w:rPr>
        <w:t>TPC as defined in section 10.44.6</w:t>
      </w:r>
    </w:p>
    <w:p w14:paraId="10F27D66" w14:textId="41C177D0" w:rsidR="00A61A3D" w:rsidRDefault="00A61A3D">
      <w:pPr>
        <w:rPr>
          <w:rFonts w:ascii="Arial-BoldMT" w:hAnsi="Arial-BoldMT" w:cs="Arial-BoldMT"/>
          <w:bCs/>
          <w:sz w:val="20"/>
          <w:lang w:val="en-US" w:eastAsia="zh-CN"/>
        </w:rPr>
      </w:pPr>
    </w:p>
    <w:p w14:paraId="361E4486" w14:textId="36E2B947" w:rsidR="00734ECE" w:rsidRDefault="00734ECE">
      <w:pPr>
        <w:rPr>
          <w:rFonts w:ascii="Arial-BoldMT" w:hAnsi="Arial-BoldMT" w:cs="Arial-BoldMT"/>
          <w:bCs/>
          <w:sz w:val="20"/>
          <w:lang w:val="en-US" w:eastAsia="zh-CN"/>
        </w:rPr>
      </w:pPr>
      <w:r>
        <w:rPr>
          <w:rFonts w:ascii="Arial-BoldMT" w:hAnsi="Arial-BoldMT" w:cs="Arial-BoldMT"/>
          <w:bCs/>
          <w:sz w:val="20"/>
          <w:lang w:val="en-US" w:eastAsia="zh-CN"/>
        </w:rPr>
        <w:br w:type="page"/>
      </w:r>
    </w:p>
    <w:tbl>
      <w:tblPr>
        <w:tblStyle w:val="TableGrid"/>
        <w:tblW w:w="9209" w:type="dxa"/>
        <w:tblLook w:val="04A0" w:firstRow="1" w:lastRow="0" w:firstColumn="1" w:lastColumn="0" w:noHBand="0" w:noVBand="1"/>
      </w:tblPr>
      <w:tblGrid>
        <w:gridCol w:w="663"/>
        <w:gridCol w:w="1219"/>
        <w:gridCol w:w="3789"/>
        <w:gridCol w:w="3538"/>
      </w:tblGrid>
      <w:tr w:rsidR="00734ECE" w:rsidRPr="00427EA3" w14:paraId="32B49596" w14:textId="77777777" w:rsidTr="0023412C">
        <w:trPr>
          <w:trHeight w:val="558"/>
        </w:trPr>
        <w:tc>
          <w:tcPr>
            <w:tcW w:w="663" w:type="dxa"/>
          </w:tcPr>
          <w:p w14:paraId="715ADC71" w14:textId="77777777" w:rsidR="00734ECE" w:rsidRPr="00427EA3" w:rsidRDefault="00734ECE" w:rsidP="0023412C">
            <w:pPr>
              <w:rPr>
                <w:lang w:val="en-US"/>
              </w:rPr>
            </w:pPr>
            <w:r w:rsidRPr="00427EA3">
              <w:rPr>
                <w:rFonts w:hint="eastAsia"/>
                <w:lang w:val="en-US"/>
              </w:rPr>
              <w:lastRenderedPageBreak/>
              <w:t>CID</w:t>
            </w:r>
          </w:p>
        </w:tc>
        <w:tc>
          <w:tcPr>
            <w:tcW w:w="1219" w:type="dxa"/>
          </w:tcPr>
          <w:p w14:paraId="45C7D8EE" w14:textId="77777777" w:rsidR="00734ECE" w:rsidRPr="00427EA3" w:rsidRDefault="00734ECE" w:rsidP="0023412C">
            <w:pPr>
              <w:rPr>
                <w:lang w:val="en-US"/>
              </w:rPr>
            </w:pPr>
            <w:r w:rsidRPr="00427EA3">
              <w:rPr>
                <w:rFonts w:hint="eastAsia"/>
                <w:lang w:val="en-US"/>
              </w:rPr>
              <w:t>Clause</w:t>
            </w:r>
          </w:p>
        </w:tc>
        <w:tc>
          <w:tcPr>
            <w:tcW w:w="3789" w:type="dxa"/>
          </w:tcPr>
          <w:p w14:paraId="1EDA024C" w14:textId="77777777" w:rsidR="00734ECE" w:rsidRPr="00427EA3" w:rsidRDefault="00734ECE" w:rsidP="0023412C">
            <w:pPr>
              <w:rPr>
                <w:lang w:val="en-US"/>
              </w:rPr>
            </w:pPr>
            <w:r w:rsidRPr="00427EA3">
              <w:rPr>
                <w:rFonts w:hint="eastAsia"/>
                <w:lang w:val="en-US"/>
              </w:rPr>
              <w:t>Comment</w:t>
            </w:r>
          </w:p>
        </w:tc>
        <w:tc>
          <w:tcPr>
            <w:tcW w:w="3538" w:type="dxa"/>
          </w:tcPr>
          <w:p w14:paraId="2C96DD4D" w14:textId="77777777" w:rsidR="00734ECE" w:rsidRPr="00427EA3" w:rsidRDefault="00734ECE" w:rsidP="0023412C">
            <w:pPr>
              <w:rPr>
                <w:lang w:val="en-US"/>
              </w:rPr>
            </w:pPr>
            <w:r w:rsidRPr="00427EA3">
              <w:rPr>
                <w:rFonts w:hint="eastAsia"/>
                <w:lang w:val="en-US"/>
              </w:rPr>
              <w:t>Proposed change</w:t>
            </w:r>
          </w:p>
        </w:tc>
      </w:tr>
      <w:tr w:rsidR="00734ECE" w:rsidRPr="00D90530" w14:paraId="17196C51" w14:textId="77777777" w:rsidTr="0023412C">
        <w:trPr>
          <w:trHeight w:val="584"/>
        </w:trPr>
        <w:tc>
          <w:tcPr>
            <w:tcW w:w="663" w:type="dxa"/>
          </w:tcPr>
          <w:p w14:paraId="54DB6153" w14:textId="446CB309" w:rsidR="00734ECE" w:rsidRDefault="00734ECE" w:rsidP="0023412C">
            <w:r>
              <w:t>3572</w:t>
            </w:r>
          </w:p>
        </w:tc>
        <w:tc>
          <w:tcPr>
            <w:tcW w:w="1219" w:type="dxa"/>
          </w:tcPr>
          <w:p w14:paraId="7F319214" w14:textId="77777777" w:rsidR="00734ECE" w:rsidRDefault="00734ECE" w:rsidP="0023412C"/>
        </w:tc>
        <w:tc>
          <w:tcPr>
            <w:tcW w:w="3789" w:type="dxa"/>
          </w:tcPr>
          <w:p w14:paraId="2BBDFCCE" w14:textId="0ABB9AC3" w:rsidR="00734ECE" w:rsidRPr="0085727D" w:rsidRDefault="00734ECE" w:rsidP="0023412C">
            <w:pPr>
              <w:rPr>
                <w:color w:val="000000"/>
              </w:rPr>
            </w:pPr>
            <w:r w:rsidRPr="00734ECE">
              <w:rPr>
                <w:color w:val="000000"/>
              </w:rPr>
              <w:t xml:space="preserve">TPC Report </w:t>
            </w:r>
            <w:proofErr w:type="spellStart"/>
            <w:r w:rsidRPr="00734ECE">
              <w:rPr>
                <w:color w:val="000000"/>
              </w:rPr>
              <w:t>elementcan</w:t>
            </w:r>
            <w:proofErr w:type="spellEnd"/>
            <w:r w:rsidRPr="00734ECE">
              <w:rPr>
                <w:color w:val="000000"/>
              </w:rPr>
              <w:t xml:space="preserve"> be present in more frames than listed here</w:t>
            </w:r>
          </w:p>
        </w:tc>
        <w:tc>
          <w:tcPr>
            <w:tcW w:w="3538" w:type="dxa"/>
          </w:tcPr>
          <w:p w14:paraId="7FCB7357" w14:textId="77777777" w:rsidR="00734ECE" w:rsidRPr="00734ECE" w:rsidRDefault="00734ECE" w:rsidP="00734ECE">
            <w:pPr>
              <w:rPr>
                <w:color w:val="000000"/>
              </w:rPr>
            </w:pPr>
            <w:r w:rsidRPr="00734ECE">
              <w:rPr>
                <w:color w:val="000000"/>
              </w:rPr>
              <w:t xml:space="preserve">Change to "A TPC Report element is included in a Beacon, DMG Beacon or Announce frame, </w:t>
            </w:r>
            <w:proofErr w:type="gramStart"/>
            <w:r w:rsidRPr="00734ECE">
              <w:rPr>
                <w:color w:val="000000"/>
              </w:rPr>
              <w:t>and also</w:t>
            </w:r>
            <w:proofErr w:type="gramEnd"/>
            <w:r w:rsidRPr="00734ECE">
              <w:rPr>
                <w:color w:val="000000"/>
              </w:rPr>
              <w:t xml:space="preserve"> in a Probe Response frame without a corresponding request. Additionally, TPC Report element is present as a fixed part of the Link Measurement Report frame."</w:t>
            </w:r>
          </w:p>
          <w:p w14:paraId="3B14D42E" w14:textId="77777777" w:rsidR="00734ECE" w:rsidRPr="00734ECE" w:rsidRDefault="00734ECE" w:rsidP="00734ECE">
            <w:pPr>
              <w:rPr>
                <w:color w:val="000000"/>
              </w:rPr>
            </w:pPr>
          </w:p>
          <w:p w14:paraId="32984846" w14:textId="291CC10E" w:rsidR="00734ECE" w:rsidRPr="0085727D" w:rsidRDefault="00734ECE" w:rsidP="00734ECE">
            <w:pPr>
              <w:rPr>
                <w:color w:val="000000"/>
              </w:rPr>
            </w:pPr>
            <w:r w:rsidRPr="00734ECE">
              <w:rPr>
                <w:color w:val="000000"/>
              </w:rPr>
              <w:t xml:space="preserve">Note unorthodox use of TPC Report IE as a filed in Link Measurement Report needs to be spelled separately to highlight its </w:t>
            </w:r>
            <w:proofErr w:type="spellStart"/>
            <w:r w:rsidRPr="00734ECE">
              <w:rPr>
                <w:color w:val="000000"/>
              </w:rPr>
              <w:t>diferent</w:t>
            </w:r>
            <w:proofErr w:type="spellEnd"/>
            <w:r w:rsidRPr="00734ECE">
              <w:rPr>
                <w:color w:val="000000"/>
              </w:rPr>
              <w:t xml:space="preserve"> nature.</w:t>
            </w:r>
          </w:p>
        </w:tc>
      </w:tr>
    </w:tbl>
    <w:p w14:paraId="7EA3EBF7" w14:textId="77777777" w:rsidR="00734ECE" w:rsidRPr="00F0511C" w:rsidRDefault="00734ECE" w:rsidP="00734ECE">
      <w:pPr>
        <w:widowControl w:val="0"/>
        <w:autoSpaceDE w:val="0"/>
        <w:autoSpaceDN w:val="0"/>
        <w:adjustRightInd w:val="0"/>
        <w:rPr>
          <w:rFonts w:ascii="Arial-BoldMT" w:hAnsi="Arial-BoldMT" w:cs="Arial-BoldMT"/>
          <w:bCs/>
          <w:sz w:val="20"/>
          <w:lang w:eastAsia="zh-CN"/>
        </w:rPr>
      </w:pPr>
    </w:p>
    <w:p w14:paraId="71A05D16" w14:textId="77777777" w:rsidR="00734ECE" w:rsidRDefault="00734ECE" w:rsidP="00734ECE">
      <w:pPr>
        <w:rPr>
          <w:b/>
          <w:szCs w:val="22"/>
        </w:rPr>
      </w:pPr>
      <w:r>
        <w:rPr>
          <w:b/>
          <w:szCs w:val="22"/>
        </w:rPr>
        <w:t>Discussion:</w:t>
      </w:r>
    </w:p>
    <w:p w14:paraId="079FBC38" w14:textId="60A9BD3E" w:rsidR="00734ECE" w:rsidRDefault="00734ECE" w:rsidP="00734ECE">
      <w:pPr>
        <w:rPr>
          <w:szCs w:val="22"/>
          <w:lang w:val="en-US" w:eastAsia="zh-CN"/>
        </w:rPr>
      </w:pPr>
      <w:r>
        <w:rPr>
          <w:szCs w:val="22"/>
          <w:lang w:val="en-US" w:eastAsia="zh-CN"/>
        </w:rPr>
        <w:t xml:space="preserve">The TPC in TDD mode is based on </w:t>
      </w:r>
      <w:r w:rsidR="00CC2CAB">
        <w:rPr>
          <w:szCs w:val="22"/>
          <w:lang w:val="en-US" w:eastAsia="zh-CN"/>
        </w:rPr>
        <w:t xml:space="preserve">DMG </w:t>
      </w:r>
      <w:r w:rsidR="000E58D6">
        <w:rPr>
          <w:szCs w:val="22"/>
          <w:lang w:val="en-US" w:eastAsia="zh-CN"/>
        </w:rPr>
        <w:t>Extended</w:t>
      </w:r>
      <w:r>
        <w:rPr>
          <w:szCs w:val="22"/>
          <w:lang w:val="en-US" w:eastAsia="zh-CN"/>
        </w:rPr>
        <w:t xml:space="preserve"> TPC and not the DMG TPC.</w:t>
      </w:r>
    </w:p>
    <w:p w14:paraId="16045822" w14:textId="77777777" w:rsidR="00734ECE" w:rsidRDefault="00734ECE" w:rsidP="00734ECE">
      <w:pPr>
        <w:rPr>
          <w:szCs w:val="22"/>
          <w:lang w:val="en-US" w:eastAsia="zh-CN"/>
        </w:rPr>
      </w:pPr>
    </w:p>
    <w:p w14:paraId="3FB5D523" w14:textId="77777777" w:rsidR="00734ECE" w:rsidRDefault="00734ECE" w:rsidP="00734ECE">
      <w:pPr>
        <w:rPr>
          <w:szCs w:val="22"/>
          <w:lang w:val="en-US" w:eastAsia="zh-CN"/>
        </w:rPr>
      </w:pPr>
    </w:p>
    <w:p w14:paraId="3DBE6FD0" w14:textId="07189D8D" w:rsidR="00734ECE" w:rsidRDefault="00734ECE" w:rsidP="00734ECE">
      <w:pPr>
        <w:rPr>
          <w:szCs w:val="22"/>
        </w:rPr>
      </w:pPr>
      <w:r w:rsidRPr="008179AB">
        <w:rPr>
          <w:b/>
          <w:szCs w:val="22"/>
        </w:rPr>
        <w:t>Proposed resolution:</w:t>
      </w:r>
      <w:r w:rsidRPr="008179AB">
        <w:rPr>
          <w:szCs w:val="22"/>
        </w:rPr>
        <w:t xml:space="preserve"> </w:t>
      </w:r>
      <w:r>
        <w:rPr>
          <w:szCs w:val="22"/>
          <w:lang w:eastAsia="zh-CN"/>
        </w:rPr>
        <w:t>Reject</w:t>
      </w:r>
      <w:r>
        <w:rPr>
          <w:szCs w:val="22"/>
        </w:rPr>
        <w:t>.</w:t>
      </w:r>
    </w:p>
    <w:p w14:paraId="4DD45F12" w14:textId="77777777" w:rsidR="00734ECE" w:rsidRPr="00B07D7E" w:rsidRDefault="00734ECE" w:rsidP="00734ECE">
      <w:pPr>
        <w:rPr>
          <w:szCs w:val="22"/>
          <w:lang w:val="en-US"/>
        </w:rPr>
      </w:pPr>
    </w:p>
    <w:p w14:paraId="32EAB628" w14:textId="77777777" w:rsidR="00A61A3D" w:rsidRDefault="00A61A3D">
      <w:pPr>
        <w:rPr>
          <w:rFonts w:ascii="Arial-BoldMT" w:hAnsi="Arial-BoldMT" w:cs="Arial-BoldMT"/>
          <w:bCs/>
          <w:sz w:val="20"/>
          <w:lang w:val="en-US" w:eastAsia="zh-CN"/>
        </w:rPr>
      </w:pPr>
    </w:p>
    <w:p w14:paraId="6A1AE8BB" w14:textId="255F30C4" w:rsidR="00A61A3D" w:rsidRDefault="00A61A3D">
      <w:pPr>
        <w:rPr>
          <w:rFonts w:ascii="Arial-BoldMT" w:hAnsi="Arial-BoldMT" w:cs="Arial-BoldMT"/>
          <w:bCs/>
          <w:sz w:val="20"/>
          <w:lang w:val="en-US" w:eastAsia="zh-CN"/>
        </w:rPr>
      </w:pPr>
    </w:p>
    <w:p w14:paraId="4FDE9915" w14:textId="29A39837" w:rsidR="00A61A3D" w:rsidRDefault="00A61A3D">
      <w:pPr>
        <w:rPr>
          <w:rFonts w:ascii="Arial-BoldMT" w:hAnsi="Arial-BoldMT" w:cs="Arial-BoldMT"/>
          <w:bCs/>
          <w:sz w:val="20"/>
          <w:lang w:val="en-US" w:eastAsia="zh-CN"/>
        </w:rPr>
      </w:pPr>
    </w:p>
    <w:p w14:paraId="04134ACE" w14:textId="7329659F" w:rsidR="00A61A3D" w:rsidRDefault="00A61A3D">
      <w:pPr>
        <w:rPr>
          <w:rFonts w:ascii="Arial-BoldMT" w:hAnsi="Arial-BoldMT" w:cs="Arial-BoldMT"/>
          <w:bCs/>
          <w:sz w:val="20"/>
          <w:lang w:val="en-US" w:eastAsia="zh-CN"/>
        </w:rPr>
      </w:pPr>
    </w:p>
    <w:p w14:paraId="162C8C16" w14:textId="4606DD44" w:rsidR="00A61A3D" w:rsidRDefault="00A61A3D">
      <w:pPr>
        <w:rPr>
          <w:rFonts w:ascii="Arial-BoldMT" w:hAnsi="Arial-BoldMT" w:cs="Arial-BoldMT"/>
          <w:bCs/>
          <w:sz w:val="20"/>
          <w:lang w:val="en-US" w:eastAsia="zh-CN"/>
        </w:rPr>
      </w:pPr>
    </w:p>
    <w:p w14:paraId="1063592A" w14:textId="4E606378" w:rsidR="00A61A3D" w:rsidRDefault="00A61A3D">
      <w:pPr>
        <w:rPr>
          <w:rFonts w:ascii="Arial-BoldMT" w:hAnsi="Arial-BoldMT" w:cs="Arial-BoldMT"/>
          <w:bCs/>
          <w:sz w:val="20"/>
          <w:lang w:val="en-US" w:eastAsia="zh-CN"/>
        </w:rPr>
      </w:pPr>
      <w:r>
        <w:rPr>
          <w:rFonts w:ascii="Arial-BoldMT" w:hAnsi="Arial-BoldMT" w:cs="Arial-BoldMT"/>
          <w:bCs/>
          <w:sz w:val="20"/>
          <w:lang w:val="en-US" w:eastAsia="zh-CN"/>
        </w:rPr>
        <w:br w:type="page"/>
      </w:r>
    </w:p>
    <w:p w14:paraId="62D4C9CF" w14:textId="77777777" w:rsidR="00A61A3D" w:rsidRDefault="00A61A3D">
      <w:pPr>
        <w:rPr>
          <w:rFonts w:ascii="Arial-BoldMT" w:hAnsi="Arial-BoldMT" w:cs="Arial-BoldMT"/>
          <w:bCs/>
          <w:sz w:val="20"/>
          <w:lang w:val="en-US" w:eastAsia="zh-CN"/>
        </w:rPr>
      </w:pPr>
    </w:p>
    <w:p w14:paraId="7B7BE4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593822" w:rsidRPr="00427EA3" w14:paraId="572790DF" w14:textId="77777777" w:rsidTr="00017194">
        <w:trPr>
          <w:trHeight w:val="558"/>
        </w:trPr>
        <w:tc>
          <w:tcPr>
            <w:tcW w:w="663" w:type="dxa"/>
          </w:tcPr>
          <w:p w14:paraId="67329928" w14:textId="77777777" w:rsidR="00593822" w:rsidRPr="00427EA3" w:rsidRDefault="00593822" w:rsidP="00017194">
            <w:pPr>
              <w:rPr>
                <w:lang w:val="en-US"/>
              </w:rPr>
            </w:pPr>
            <w:r w:rsidRPr="00427EA3">
              <w:rPr>
                <w:rFonts w:hint="eastAsia"/>
                <w:lang w:val="en-US"/>
              </w:rPr>
              <w:t>CID</w:t>
            </w:r>
          </w:p>
        </w:tc>
        <w:tc>
          <w:tcPr>
            <w:tcW w:w="1219" w:type="dxa"/>
          </w:tcPr>
          <w:p w14:paraId="1B2A88DF" w14:textId="77777777" w:rsidR="00593822" w:rsidRPr="00427EA3" w:rsidRDefault="00593822" w:rsidP="00017194">
            <w:pPr>
              <w:rPr>
                <w:lang w:val="en-US"/>
              </w:rPr>
            </w:pPr>
            <w:r w:rsidRPr="00427EA3">
              <w:rPr>
                <w:rFonts w:hint="eastAsia"/>
                <w:lang w:val="en-US"/>
              </w:rPr>
              <w:t>Clause</w:t>
            </w:r>
          </w:p>
        </w:tc>
        <w:tc>
          <w:tcPr>
            <w:tcW w:w="3789" w:type="dxa"/>
          </w:tcPr>
          <w:p w14:paraId="49D197B8" w14:textId="77777777" w:rsidR="00593822" w:rsidRPr="00427EA3" w:rsidRDefault="00593822" w:rsidP="00017194">
            <w:pPr>
              <w:rPr>
                <w:lang w:val="en-US"/>
              </w:rPr>
            </w:pPr>
            <w:r w:rsidRPr="00427EA3">
              <w:rPr>
                <w:rFonts w:hint="eastAsia"/>
                <w:lang w:val="en-US"/>
              </w:rPr>
              <w:t>Comment</w:t>
            </w:r>
          </w:p>
        </w:tc>
        <w:tc>
          <w:tcPr>
            <w:tcW w:w="3538" w:type="dxa"/>
          </w:tcPr>
          <w:p w14:paraId="08B65D57" w14:textId="77777777" w:rsidR="00593822" w:rsidRPr="00427EA3" w:rsidRDefault="00593822" w:rsidP="00017194">
            <w:pPr>
              <w:rPr>
                <w:lang w:val="en-US"/>
              </w:rPr>
            </w:pPr>
            <w:r w:rsidRPr="00427EA3">
              <w:rPr>
                <w:rFonts w:hint="eastAsia"/>
                <w:lang w:val="en-US"/>
              </w:rPr>
              <w:t>Proposed change</w:t>
            </w:r>
          </w:p>
        </w:tc>
      </w:tr>
      <w:tr w:rsidR="00593822" w:rsidRPr="00D90530" w14:paraId="443624F9" w14:textId="77777777" w:rsidTr="00017194">
        <w:trPr>
          <w:trHeight w:val="584"/>
        </w:trPr>
        <w:tc>
          <w:tcPr>
            <w:tcW w:w="663" w:type="dxa"/>
          </w:tcPr>
          <w:p w14:paraId="23ED92AE" w14:textId="77777777" w:rsidR="00593822" w:rsidRDefault="00593822" w:rsidP="00017194">
            <w:r>
              <w:t>3521</w:t>
            </w:r>
          </w:p>
        </w:tc>
        <w:tc>
          <w:tcPr>
            <w:tcW w:w="1219" w:type="dxa"/>
          </w:tcPr>
          <w:p w14:paraId="6C20E49D" w14:textId="77777777" w:rsidR="00593822" w:rsidRDefault="00593822" w:rsidP="00017194">
            <w:r w:rsidRPr="00593822">
              <w:t>9.4.2.142.8</w:t>
            </w:r>
          </w:p>
        </w:tc>
        <w:tc>
          <w:tcPr>
            <w:tcW w:w="3789" w:type="dxa"/>
          </w:tcPr>
          <w:p w14:paraId="44EF5F35" w14:textId="77777777" w:rsidR="00593822" w:rsidRPr="00CB0134" w:rsidRDefault="00593822" w:rsidP="00017194">
            <w:pPr>
              <w:rPr>
                <w:color w:val="000000"/>
              </w:rPr>
            </w:pPr>
            <w:r w:rsidRPr="00593822">
              <w:rPr>
                <w:color w:val="000000"/>
              </w:rPr>
              <w:t xml:space="preserve">How do </w:t>
            </w:r>
            <w:proofErr w:type="gramStart"/>
            <w:r w:rsidRPr="00593822">
              <w:rPr>
                <w:color w:val="000000"/>
              </w:rPr>
              <w:t>you  identify</w:t>
            </w:r>
            <w:proofErr w:type="gramEnd"/>
            <w:r w:rsidRPr="00593822">
              <w:rPr>
                <w:color w:val="000000"/>
              </w:rPr>
              <w:t xml:space="preserve"> which transmit chain it belong to ?</w:t>
            </w:r>
          </w:p>
        </w:tc>
        <w:tc>
          <w:tcPr>
            <w:tcW w:w="3538" w:type="dxa"/>
          </w:tcPr>
          <w:p w14:paraId="2E245DFB" w14:textId="77777777" w:rsidR="00593822" w:rsidRPr="00CB0134" w:rsidRDefault="00593822" w:rsidP="00017194">
            <w:pPr>
              <w:rPr>
                <w:color w:val="000000"/>
              </w:rPr>
            </w:pPr>
            <w:r w:rsidRPr="00593822">
              <w:rPr>
                <w:color w:val="000000"/>
              </w:rPr>
              <w:t xml:space="preserve">It should have multiple transmit chains identified like figure 38. up to </w:t>
            </w:r>
            <w:proofErr w:type="spellStart"/>
            <w:r w:rsidRPr="00593822">
              <w:rPr>
                <w:color w:val="000000"/>
              </w:rPr>
              <w:t>NTx</w:t>
            </w:r>
            <w:proofErr w:type="spellEnd"/>
            <w:r w:rsidRPr="00593822">
              <w:rPr>
                <w:color w:val="000000"/>
              </w:rPr>
              <w:t>.</w:t>
            </w:r>
          </w:p>
        </w:tc>
      </w:tr>
      <w:tr w:rsidR="001E6B55" w:rsidRPr="00D90530" w14:paraId="4C79497C" w14:textId="77777777" w:rsidTr="00017194">
        <w:trPr>
          <w:trHeight w:val="584"/>
        </w:trPr>
        <w:tc>
          <w:tcPr>
            <w:tcW w:w="663" w:type="dxa"/>
          </w:tcPr>
          <w:p w14:paraId="6C354689" w14:textId="77777777" w:rsidR="001E6B55" w:rsidRDefault="001E6B55" w:rsidP="00017194">
            <w:r>
              <w:t>3522</w:t>
            </w:r>
          </w:p>
        </w:tc>
        <w:tc>
          <w:tcPr>
            <w:tcW w:w="1219" w:type="dxa"/>
          </w:tcPr>
          <w:p w14:paraId="52DFED0E" w14:textId="77777777" w:rsidR="001E6B55" w:rsidRPr="00593822" w:rsidRDefault="001E6B55" w:rsidP="00017194">
            <w:r w:rsidRPr="00593822">
              <w:t>9.4.2.142.8</w:t>
            </w:r>
          </w:p>
        </w:tc>
        <w:tc>
          <w:tcPr>
            <w:tcW w:w="3789" w:type="dxa"/>
          </w:tcPr>
          <w:p w14:paraId="73961284" w14:textId="77777777" w:rsidR="001E6B55" w:rsidRPr="00593822" w:rsidRDefault="001E6B55" w:rsidP="00017194">
            <w:pPr>
              <w:rPr>
                <w:color w:val="000000"/>
              </w:rPr>
            </w:pPr>
            <w:r w:rsidRPr="001E6B55">
              <w:rPr>
                <w:color w:val="000000"/>
              </w:rPr>
              <w:t xml:space="preserve">If there is a change in Tx antenna configuration, Tx power control </w:t>
            </w:r>
            <w:proofErr w:type="gramStart"/>
            <w:r w:rsidRPr="001E6B55">
              <w:rPr>
                <w:color w:val="000000"/>
              </w:rPr>
              <w:t>has to</w:t>
            </w:r>
            <w:proofErr w:type="gramEnd"/>
            <w:r w:rsidRPr="001E6B55">
              <w:rPr>
                <w:color w:val="000000"/>
              </w:rPr>
              <w:t xml:space="preserve"> be done for each new configuration if there is a change in configuration.</w:t>
            </w:r>
          </w:p>
        </w:tc>
        <w:tc>
          <w:tcPr>
            <w:tcW w:w="3538" w:type="dxa"/>
          </w:tcPr>
          <w:p w14:paraId="5F514963" w14:textId="77777777" w:rsidR="001E6B55" w:rsidRPr="00593822" w:rsidRDefault="001E6B55" w:rsidP="00017194">
            <w:pPr>
              <w:rPr>
                <w:color w:val="000000"/>
              </w:rPr>
            </w:pPr>
            <w:r w:rsidRPr="001E6B55">
              <w:rPr>
                <w:color w:val="000000"/>
              </w:rPr>
              <w:t>Index to tie Tx Power Control to antenna configuration.</w:t>
            </w:r>
          </w:p>
        </w:tc>
      </w:tr>
    </w:tbl>
    <w:p w14:paraId="6404F0D0" w14:textId="77777777" w:rsidR="00593822" w:rsidRPr="00F0511C" w:rsidRDefault="00593822" w:rsidP="00593822">
      <w:pPr>
        <w:widowControl w:val="0"/>
        <w:autoSpaceDE w:val="0"/>
        <w:autoSpaceDN w:val="0"/>
        <w:adjustRightInd w:val="0"/>
        <w:rPr>
          <w:rFonts w:ascii="Arial-BoldMT" w:hAnsi="Arial-BoldMT" w:cs="Arial-BoldMT"/>
          <w:bCs/>
          <w:sz w:val="20"/>
          <w:lang w:eastAsia="zh-CN"/>
        </w:rPr>
      </w:pPr>
    </w:p>
    <w:p w14:paraId="2C9742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p w14:paraId="41DCAB96" w14:textId="77777777" w:rsidR="00593822" w:rsidRDefault="00593822" w:rsidP="00593822">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49AF7EB8" w14:textId="77777777" w:rsidR="00593822" w:rsidRDefault="00593822" w:rsidP="00593822">
      <w:pPr>
        <w:rPr>
          <w:color w:val="FF0000"/>
          <w:szCs w:val="22"/>
          <w:u w:val="single"/>
          <w:lang w:val="en-US" w:eastAsia="zh-CN"/>
        </w:rPr>
      </w:pPr>
    </w:p>
    <w:p w14:paraId="6C9D41E4" w14:textId="77777777" w:rsidR="00593822" w:rsidRDefault="00593822" w:rsidP="00593822">
      <w:pPr>
        <w:rPr>
          <w:szCs w:val="22"/>
        </w:rPr>
      </w:pPr>
      <w:r>
        <w:rPr>
          <w:b/>
          <w:szCs w:val="22"/>
        </w:rPr>
        <w:t>Discussion:</w:t>
      </w:r>
    </w:p>
    <w:p w14:paraId="67F5BAFE" w14:textId="77777777" w:rsidR="00593822" w:rsidRDefault="00593822" w:rsidP="00593822">
      <w:pPr>
        <w:widowControl w:val="0"/>
        <w:autoSpaceDE w:val="0"/>
        <w:autoSpaceDN w:val="0"/>
        <w:adjustRightInd w:val="0"/>
        <w:rPr>
          <w:szCs w:val="22"/>
          <w:lang w:eastAsia="zh-CN"/>
        </w:rPr>
      </w:pPr>
      <w:r>
        <w:rPr>
          <w:szCs w:val="22"/>
          <w:lang w:eastAsia="zh-CN"/>
        </w:rPr>
        <w:t>The commenter is correct. There is a need to have the 2 bytes per transmit chain.</w:t>
      </w:r>
    </w:p>
    <w:p w14:paraId="59138328" w14:textId="6F9A5981" w:rsidR="00593822" w:rsidRDefault="00593822" w:rsidP="00593822">
      <w:pPr>
        <w:widowControl w:val="0"/>
        <w:autoSpaceDE w:val="0"/>
        <w:autoSpaceDN w:val="0"/>
        <w:adjustRightInd w:val="0"/>
        <w:rPr>
          <w:szCs w:val="22"/>
          <w:lang w:eastAsia="zh-CN"/>
        </w:rPr>
      </w:pPr>
      <w:r>
        <w:rPr>
          <w:szCs w:val="22"/>
          <w:lang w:eastAsia="zh-CN"/>
        </w:rPr>
        <w:t xml:space="preserve">The above is already stated in section </w:t>
      </w:r>
      <w:r w:rsidRPr="00593822">
        <w:rPr>
          <w:szCs w:val="22"/>
          <w:lang w:eastAsia="zh-CN"/>
        </w:rPr>
        <w:t>9.4.2.142.1</w:t>
      </w:r>
      <w:r>
        <w:rPr>
          <w:szCs w:val="22"/>
          <w:lang w:eastAsia="zh-CN"/>
        </w:rPr>
        <w:t xml:space="preserve"> (Draft 2.</w:t>
      </w:r>
      <w:r w:rsidR="000F5392">
        <w:rPr>
          <w:szCs w:val="22"/>
          <w:lang w:eastAsia="zh-CN"/>
        </w:rPr>
        <w:t>2</w:t>
      </w:r>
      <w:r>
        <w:rPr>
          <w:szCs w:val="22"/>
          <w:lang w:eastAsia="zh-CN"/>
        </w:rPr>
        <w:t>):</w:t>
      </w:r>
    </w:p>
    <w:p w14:paraId="5C9B6A0D" w14:textId="35F62CE0" w:rsidR="00593822" w:rsidRPr="00593822" w:rsidRDefault="00593822" w:rsidP="00593822">
      <w:pPr>
        <w:widowControl w:val="0"/>
        <w:autoSpaceDE w:val="0"/>
        <w:autoSpaceDN w:val="0"/>
        <w:adjustRightInd w:val="0"/>
        <w:rPr>
          <w:i/>
          <w:iCs/>
          <w:szCs w:val="22"/>
          <w:lang w:eastAsia="zh-CN"/>
        </w:rPr>
      </w:pPr>
      <w:r w:rsidRPr="00593822">
        <w:rPr>
          <w:i/>
          <w:iCs/>
          <w:szCs w:val="22"/>
          <w:lang w:eastAsia="zh-CN"/>
        </w:rPr>
        <w:t xml:space="preserve">The </w:t>
      </w:r>
      <w:r w:rsidR="007404D6">
        <w:rPr>
          <w:i/>
          <w:iCs/>
          <w:szCs w:val="22"/>
          <w:lang w:eastAsia="zh-CN"/>
        </w:rPr>
        <w:t>Extended</w:t>
      </w:r>
      <w:r w:rsidRPr="00593822">
        <w:rPr>
          <w:i/>
          <w:iCs/>
          <w:szCs w:val="22"/>
          <w:lang w:eastAsia="zh-CN"/>
        </w:rPr>
        <w:t xml:space="preserve"> TPC field is optionally present. If present, as defined in 9.4.2.142.8, it contains the activity and link margin of each transmit chain reported.</w:t>
      </w:r>
    </w:p>
    <w:p w14:paraId="51404A5D" w14:textId="77777777" w:rsidR="00593822" w:rsidRDefault="00593822" w:rsidP="00593822">
      <w:pPr>
        <w:widowControl w:val="0"/>
        <w:autoSpaceDE w:val="0"/>
        <w:autoSpaceDN w:val="0"/>
        <w:adjustRightInd w:val="0"/>
        <w:rPr>
          <w:szCs w:val="22"/>
          <w:lang w:eastAsia="zh-CN"/>
        </w:rPr>
      </w:pPr>
    </w:p>
    <w:p w14:paraId="2A71C33A" w14:textId="77777777" w:rsidR="00593822" w:rsidRDefault="00593822" w:rsidP="00593822">
      <w:pPr>
        <w:widowControl w:val="0"/>
        <w:autoSpaceDE w:val="0"/>
        <w:autoSpaceDN w:val="0"/>
        <w:adjustRightInd w:val="0"/>
        <w:rPr>
          <w:szCs w:val="22"/>
          <w:lang w:eastAsia="zh-CN"/>
        </w:rPr>
      </w:pPr>
      <w:r>
        <w:rPr>
          <w:szCs w:val="22"/>
          <w:lang w:eastAsia="zh-CN"/>
        </w:rPr>
        <w:t>But one can see that Figure 9-564 presents this field as “0 or 2xNRX”.</w:t>
      </w:r>
    </w:p>
    <w:p w14:paraId="695B620F" w14:textId="77777777" w:rsidR="00593822" w:rsidRDefault="00593822" w:rsidP="00593822">
      <w:pPr>
        <w:widowControl w:val="0"/>
        <w:autoSpaceDE w:val="0"/>
        <w:autoSpaceDN w:val="0"/>
        <w:adjustRightInd w:val="0"/>
        <w:rPr>
          <w:szCs w:val="22"/>
          <w:lang w:eastAsia="zh-CN"/>
        </w:rPr>
      </w:pPr>
    </w:p>
    <w:p w14:paraId="71CDB90E" w14:textId="77777777"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593822">
        <w:rPr>
          <w:rFonts w:ascii="Arial-BoldMT" w:hAnsi="Arial-BoldMT" w:cs="Arial-BoldMT"/>
          <w:b/>
          <w:bCs/>
          <w:i/>
          <w:sz w:val="24"/>
          <w:szCs w:val="24"/>
          <w:lang w:val="en-US" w:eastAsia="zh-CN"/>
        </w:rPr>
        <w:t>Edit Figure 9-564</w:t>
      </w:r>
    </w:p>
    <w:p w14:paraId="7C414598" w14:textId="24EA4CAE" w:rsidR="00593822" w:rsidRPr="00593822" w:rsidRDefault="00C15EE6" w:rsidP="00593822">
      <w:pPr>
        <w:widowControl w:val="0"/>
        <w:autoSpaceDE w:val="0"/>
        <w:autoSpaceDN w:val="0"/>
        <w:adjustRightInd w:val="0"/>
        <w:rPr>
          <w:szCs w:val="22"/>
          <w:lang w:val="en-US" w:eastAsia="zh-CN"/>
        </w:rPr>
      </w:pPr>
      <w:r w:rsidRPr="00494007">
        <w:rPr>
          <w:color w:val="FF0000"/>
        </w:rPr>
        <w:t xml:space="preserve"> </w:t>
      </w:r>
      <w:r>
        <w:object w:dxaOrig="15383" w:dyaOrig="3921" w14:anchorId="0EF42DD8">
          <v:shape id="_x0000_i1030" type="#_x0000_t75" style="width:467.7pt;height:119.25pt" o:ole="">
            <v:imagedata r:id="rId9" o:title=""/>
          </v:shape>
          <o:OLEObject Type="Embed" ProgID="Visio.Drawing.11" ShapeID="_x0000_i1030" DrawAspect="Content" ObjectID="_1608559499" r:id="rId10"/>
        </w:object>
      </w:r>
    </w:p>
    <w:p w14:paraId="6F17CDA1" w14:textId="209000C0" w:rsidR="00593822" w:rsidRPr="00FA6C85" w:rsidRDefault="00FA6C85" w:rsidP="00593822">
      <w:pPr>
        <w:widowControl w:val="0"/>
        <w:autoSpaceDE w:val="0"/>
        <w:autoSpaceDN w:val="0"/>
        <w:adjustRightInd w:val="0"/>
        <w:rPr>
          <w:i/>
          <w:iCs/>
          <w:szCs w:val="22"/>
          <w:u w:val="single"/>
          <w:lang w:eastAsia="zh-CN"/>
        </w:rPr>
      </w:pPr>
      <w:r w:rsidRPr="00FA6C85">
        <w:rPr>
          <w:i/>
          <w:iCs/>
          <w:szCs w:val="22"/>
          <w:u w:val="single"/>
          <w:lang w:eastAsia="zh-CN"/>
        </w:rPr>
        <w:t xml:space="preserve">Note </w:t>
      </w:r>
      <w:r w:rsidR="00214FD7">
        <w:rPr>
          <w:i/>
          <w:iCs/>
          <w:szCs w:val="22"/>
          <w:u w:val="single"/>
          <w:lang w:eastAsia="zh-CN"/>
        </w:rPr>
        <w:t xml:space="preserve">to the editor </w:t>
      </w:r>
      <w:r w:rsidRPr="00FA6C85">
        <w:rPr>
          <w:i/>
          <w:iCs/>
          <w:szCs w:val="22"/>
          <w:u w:val="single"/>
          <w:lang w:eastAsia="zh-CN"/>
        </w:rPr>
        <w:t>that EDMG TPC filed is changed to Extended TPC</w:t>
      </w:r>
      <w:r w:rsidR="00214FD7">
        <w:rPr>
          <w:i/>
          <w:iCs/>
          <w:szCs w:val="22"/>
          <w:u w:val="single"/>
          <w:lang w:eastAsia="zh-CN"/>
        </w:rPr>
        <w:t>.</w:t>
      </w:r>
    </w:p>
    <w:p w14:paraId="7F388B9A" w14:textId="77777777" w:rsidR="00593822" w:rsidRDefault="00593822" w:rsidP="00DA4BE5">
      <w:pPr>
        <w:widowControl w:val="0"/>
        <w:autoSpaceDE w:val="0"/>
        <w:autoSpaceDN w:val="0"/>
        <w:adjustRightInd w:val="0"/>
        <w:rPr>
          <w:szCs w:val="22"/>
          <w:lang w:eastAsia="zh-CN"/>
        </w:rPr>
      </w:pPr>
    </w:p>
    <w:p w14:paraId="3750855D" w14:textId="4FB4A629"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593822">
        <w:rPr>
          <w:rFonts w:ascii="Arial-BoldMT" w:hAnsi="Arial-BoldMT" w:cs="Arial-BoldMT"/>
          <w:b/>
          <w:bCs/>
          <w:i/>
          <w:sz w:val="24"/>
          <w:szCs w:val="24"/>
          <w:lang w:val="en-US" w:eastAsia="zh-CN"/>
        </w:rPr>
        <w:t xml:space="preserve">Edit </w:t>
      </w:r>
      <w:r w:rsidR="00593822" w:rsidRPr="008A1FB5">
        <w:rPr>
          <w:rFonts w:ascii="Arial-BoldMT" w:hAnsi="Arial-BoldMT" w:cs="Arial-BoldMT"/>
          <w:b/>
          <w:bCs/>
          <w:i/>
          <w:sz w:val="24"/>
          <w:szCs w:val="24"/>
          <w:lang w:val="en-US" w:eastAsia="zh-CN"/>
        </w:rPr>
        <w:t xml:space="preserve">the following paragraph of subclause </w:t>
      </w:r>
      <w:r w:rsidR="00051861" w:rsidRPr="00051861">
        <w:rPr>
          <w:rFonts w:ascii="Arial-BoldMT" w:hAnsi="Arial-BoldMT" w:cs="Arial-BoldMT"/>
          <w:b/>
          <w:bCs/>
          <w:i/>
          <w:sz w:val="24"/>
          <w:szCs w:val="24"/>
          <w:lang w:val="en-US" w:eastAsia="zh-CN"/>
        </w:rPr>
        <w:t>9.4.2.142.3</w:t>
      </w:r>
      <w:r w:rsidR="00725F28">
        <w:rPr>
          <w:rFonts w:ascii="Arial-BoldMT" w:hAnsi="Arial-BoldMT" w:cs="Arial-BoldMT"/>
          <w:b/>
          <w:bCs/>
          <w:i/>
          <w:sz w:val="24"/>
          <w:szCs w:val="24"/>
          <w:lang w:val="en-US" w:eastAsia="zh-CN"/>
        </w:rPr>
        <w:t xml:space="preserve"> (P111L30-31)</w:t>
      </w:r>
    </w:p>
    <w:p w14:paraId="27190259" w14:textId="09725807" w:rsidR="00593822" w:rsidRDefault="00051861" w:rsidP="00593822">
      <w:pPr>
        <w:widowControl w:val="0"/>
        <w:autoSpaceDE w:val="0"/>
        <w:autoSpaceDN w:val="0"/>
        <w:adjustRightInd w:val="0"/>
        <w:rPr>
          <w:szCs w:val="22"/>
          <w:lang w:eastAsia="zh-CN"/>
        </w:rPr>
      </w:pPr>
      <w:r w:rsidRPr="00051861">
        <w:rPr>
          <w:szCs w:val="22"/>
          <w:lang w:eastAsia="zh-CN"/>
        </w:rPr>
        <w:t xml:space="preserve">The Indication of </w:t>
      </w:r>
      <w:r w:rsidRPr="00AD7553">
        <w:rPr>
          <w:strike/>
          <w:color w:val="FF0000"/>
          <w:szCs w:val="22"/>
          <w:lang w:eastAsia="zh-CN"/>
        </w:rPr>
        <w:t>EDMG</w:t>
      </w:r>
      <w:r w:rsidRPr="00AD7553">
        <w:rPr>
          <w:color w:val="FF0000"/>
          <w:szCs w:val="22"/>
          <w:lang w:eastAsia="zh-CN"/>
        </w:rPr>
        <w:t xml:space="preserve"> </w:t>
      </w:r>
      <w:r w:rsidR="00AD7553" w:rsidRPr="00AD7553">
        <w:rPr>
          <w:color w:val="FF0000"/>
          <w:szCs w:val="22"/>
          <w:lang w:eastAsia="zh-CN"/>
        </w:rPr>
        <w:t xml:space="preserve">Extended </w:t>
      </w:r>
      <w:r w:rsidRPr="00051861">
        <w:rPr>
          <w:szCs w:val="22"/>
          <w:lang w:eastAsia="zh-CN"/>
        </w:rPr>
        <w:t xml:space="preserve">TPC subfield is set to 1 if the DMG Link Margin element contains the </w:t>
      </w:r>
      <w:r w:rsidR="00725F28" w:rsidRPr="00AD7553">
        <w:rPr>
          <w:strike/>
          <w:color w:val="FF0000"/>
          <w:szCs w:val="22"/>
          <w:lang w:eastAsia="zh-CN"/>
        </w:rPr>
        <w:t>EDMG</w:t>
      </w:r>
      <w:r w:rsidR="00725F28" w:rsidRPr="00AD7553">
        <w:rPr>
          <w:color w:val="FF0000"/>
          <w:szCs w:val="22"/>
          <w:lang w:eastAsia="zh-CN"/>
        </w:rPr>
        <w:t xml:space="preserve"> Extended </w:t>
      </w:r>
      <w:r w:rsidRPr="00051861">
        <w:rPr>
          <w:szCs w:val="22"/>
          <w:lang w:eastAsia="zh-CN"/>
        </w:rPr>
        <w:t>TPC field</w:t>
      </w:r>
      <w:r>
        <w:rPr>
          <w:szCs w:val="22"/>
          <w:lang w:eastAsia="zh-CN"/>
        </w:rPr>
        <w:t xml:space="preserve"> </w:t>
      </w:r>
      <w:r w:rsidRPr="00051861">
        <w:rPr>
          <w:color w:val="FF0000"/>
          <w:szCs w:val="22"/>
          <w:u w:val="single"/>
          <w:lang w:eastAsia="zh-CN"/>
        </w:rPr>
        <w:t xml:space="preserve">(see 9.4.2.142.8). </w:t>
      </w:r>
      <w:r w:rsidRPr="00051861">
        <w:rPr>
          <w:szCs w:val="22"/>
          <w:lang w:eastAsia="zh-CN"/>
        </w:rPr>
        <w:t>It is set to 0 otherwise.</w:t>
      </w:r>
    </w:p>
    <w:p w14:paraId="057BE7B4" w14:textId="77777777" w:rsidR="00593822" w:rsidRDefault="00593822" w:rsidP="00DA4BE5">
      <w:pPr>
        <w:widowControl w:val="0"/>
        <w:autoSpaceDE w:val="0"/>
        <w:autoSpaceDN w:val="0"/>
        <w:adjustRightInd w:val="0"/>
        <w:rPr>
          <w:szCs w:val="22"/>
          <w:lang w:eastAsia="zh-CN"/>
        </w:rPr>
      </w:pPr>
    </w:p>
    <w:p w14:paraId="7D748FEC" w14:textId="77777777" w:rsidR="00051861" w:rsidRPr="008A1FB5" w:rsidRDefault="002F43A3" w:rsidP="00051861">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sidR="00051861">
        <w:rPr>
          <w:rFonts w:ascii="Arial-BoldMT" w:hAnsi="Arial-BoldMT" w:cs="Arial-BoldMT"/>
          <w:b/>
          <w:bCs/>
          <w:i/>
          <w:sz w:val="24"/>
          <w:szCs w:val="24"/>
          <w:lang w:val="en-US" w:eastAsia="zh-CN"/>
        </w:rPr>
        <w:t xml:space="preserve">Edit </w:t>
      </w:r>
      <w:r w:rsidR="00051861" w:rsidRPr="008A1FB5">
        <w:rPr>
          <w:rFonts w:ascii="Arial-BoldMT" w:hAnsi="Arial-BoldMT" w:cs="Arial-BoldMT"/>
          <w:b/>
          <w:bCs/>
          <w:i/>
          <w:sz w:val="24"/>
          <w:szCs w:val="24"/>
          <w:lang w:val="en-US" w:eastAsia="zh-CN"/>
        </w:rPr>
        <w:t xml:space="preserve">the following subclause </w:t>
      </w:r>
      <w:r w:rsidR="00051861" w:rsidRPr="00051861">
        <w:rPr>
          <w:rFonts w:ascii="Arial-BoldMT" w:hAnsi="Arial-BoldMT" w:cs="Arial-BoldMT"/>
          <w:b/>
          <w:bCs/>
          <w:i/>
          <w:sz w:val="24"/>
          <w:szCs w:val="24"/>
          <w:lang w:val="en-US" w:eastAsia="zh-CN"/>
        </w:rPr>
        <w:t>9.4.2.142.</w:t>
      </w:r>
      <w:r w:rsidR="00077F5F">
        <w:rPr>
          <w:rFonts w:ascii="Arial-BoldMT" w:hAnsi="Arial-BoldMT" w:cs="Arial-BoldMT"/>
          <w:b/>
          <w:bCs/>
          <w:i/>
          <w:sz w:val="24"/>
          <w:szCs w:val="24"/>
          <w:lang w:val="en-US" w:eastAsia="zh-CN"/>
        </w:rPr>
        <w:t>8</w:t>
      </w:r>
    </w:p>
    <w:p w14:paraId="7BC23F07" w14:textId="28791A28" w:rsidR="00051861" w:rsidRDefault="00077F5F" w:rsidP="00DA4BE5">
      <w:pPr>
        <w:widowControl w:val="0"/>
        <w:autoSpaceDE w:val="0"/>
        <w:autoSpaceDN w:val="0"/>
        <w:adjustRightInd w:val="0"/>
        <w:rPr>
          <w:sz w:val="20"/>
        </w:rPr>
      </w:pPr>
      <w:r>
        <w:rPr>
          <w:sz w:val="20"/>
        </w:rPr>
        <w:t xml:space="preserve">The </w:t>
      </w:r>
      <w:r w:rsidR="00494007" w:rsidRPr="00AD7553">
        <w:rPr>
          <w:strike/>
          <w:color w:val="FF0000"/>
          <w:szCs w:val="22"/>
          <w:lang w:eastAsia="zh-CN"/>
        </w:rPr>
        <w:t>EDMG</w:t>
      </w:r>
      <w:r w:rsidR="00494007" w:rsidRPr="00AD7553">
        <w:rPr>
          <w:color w:val="FF0000"/>
          <w:szCs w:val="22"/>
          <w:lang w:eastAsia="zh-CN"/>
        </w:rPr>
        <w:t xml:space="preserve"> Extended </w:t>
      </w:r>
      <w:r>
        <w:rPr>
          <w:sz w:val="20"/>
        </w:rPr>
        <w:t>TPC field is defined in Figure 36.</w:t>
      </w:r>
    </w:p>
    <w:p w14:paraId="65F8D7C4" w14:textId="77777777" w:rsidR="00077F5F" w:rsidRDefault="00077F5F" w:rsidP="00077F5F">
      <w:pPr>
        <w:widowControl w:val="0"/>
        <w:autoSpaceDE w:val="0"/>
        <w:autoSpaceDN w:val="0"/>
        <w:adjustRightInd w:val="0"/>
        <w:jc w:val="center"/>
        <w:rPr>
          <w:szCs w:val="22"/>
          <w:lang w:val="en-US" w:eastAsia="zh-CN"/>
        </w:rPr>
      </w:pPr>
    </w:p>
    <w:p w14:paraId="167A6D85" w14:textId="77777777" w:rsidR="00077F5F" w:rsidRDefault="00523265" w:rsidP="00077F5F">
      <w:pPr>
        <w:widowControl w:val="0"/>
        <w:autoSpaceDE w:val="0"/>
        <w:autoSpaceDN w:val="0"/>
        <w:adjustRightInd w:val="0"/>
        <w:jc w:val="center"/>
        <w:rPr>
          <w:szCs w:val="22"/>
          <w:lang w:val="en-US" w:eastAsia="zh-CN"/>
        </w:rPr>
      </w:pPr>
      <w:r>
        <w:rPr>
          <w:noProof/>
          <w:szCs w:val="22"/>
          <w:lang w:val="en-US" w:eastAsia="zh-CN"/>
        </w:rPr>
        <mc:AlternateContent>
          <mc:Choice Requires="wps">
            <w:drawing>
              <wp:anchor distT="0" distB="0" distL="114300" distR="114300" simplePos="0" relativeHeight="251662336" behindDoc="0" locked="0" layoutInCell="1" allowOverlap="1" wp14:anchorId="100EA9D3" wp14:editId="1D95C66A">
                <wp:simplePos x="0" y="0"/>
                <wp:positionH relativeFrom="column">
                  <wp:posOffset>1980209</wp:posOffset>
                </wp:positionH>
                <wp:positionV relativeFrom="paragraph">
                  <wp:posOffset>157464</wp:posOffset>
                </wp:positionV>
                <wp:extent cx="2268187" cy="11875"/>
                <wp:effectExtent l="0" t="0" r="37465" b="26670"/>
                <wp:wrapNone/>
                <wp:docPr id="4" name="Straight Connector 4"/>
                <wp:cNvGraphicFramePr/>
                <a:graphic xmlns:a="http://schemas.openxmlformats.org/drawingml/2006/main">
                  <a:graphicData uri="http://schemas.microsoft.com/office/word/2010/wordprocessingShape">
                    <wps:wsp>
                      <wps:cNvCnPr/>
                      <wps:spPr>
                        <a:xfrm flipV="1">
                          <a:off x="0" y="0"/>
                          <a:ext cx="2268187"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B6DA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9pt,12.4pt" to="33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" strokecolor="black [3200]" strokeweight=".5pt">
                <v:stroke joinstyle="miter"/>
              </v:line>
            </w:pict>
          </mc:Fallback>
        </mc:AlternateContent>
      </w:r>
      <w:r w:rsidR="00077F5F" w:rsidRPr="00077F5F">
        <w:rPr>
          <w:noProof/>
          <w:szCs w:val="22"/>
          <w:lang w:val="en-US" w:eastAsia="zh-CN"/>
        </w:rPr>
        <w:drawing>
          <wp:inline distT="0" distB="0" distL="0" distR="0" wp14:anchorId="15E9A448" wp14:editId="3F50147B">
            <wp:extent cx="2018962" cy="436766"/>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707" cy="451421"/>
                    </a:xfrm>
                    <a:prstGeom prst="rect">
                      <a:avLst/>
                    </a:prstGeom>
                    <a:noFill/>
                    <a:ln>
                      <a:noFill/>
                    </a:ln>
                  </pic:spPr>
                </pic:pic>
              </a:graphicData>
            </a:graphic>
          </wp:inline>
        </w:drawing>
      </w:r>
    </w:p>
    <w:p w14:paraId="71C84FB2" w14:textId="77777777" w:rsidR="00077F5F" w:rsidRPr="00077F5F" w:rsidRDefault="00077F5F" w:rsidP="00077F5F">
      <w:pPr>
        <w:autoSpaceDE w:val="0"/>
        <w:autoSpaceDN w:val="0"/>
        <w:adjustRightInd w:val="0"/>
        <w:jc w:val="center"/>
        <w:rPr>
          <w:rFonts w:ascii="Arial" w:hAnsi="Arial" w:cs="Arial"/>
          <w:color w:val="000000"/>
          <w:sz w:val="24"/>
          <w:szCs w:val="24"/>
          <w:lang w:val="en-US" w:bidi="he-IL"/>
        </w:rPr>
      </w:pPr>
      <w:r>
        <w:object w:dxaOrig="10005" w:dyaOrig="1189" w14:anchorId="7E2E809B">
          <v:shape id="_x0000_i1026" type="#_x0000_t75" style="width:370.35pt;height:43.8pt" o:ole="">
            <v:imagedata r:id="rId12" o:title=""/>
          </v:shape>
          <o:OLEObject Type="Embed" ProgID="Visio.Drawing.11" ShapeID="_x0000_i1026" DrawAspect="Content" ObjectID="_1608559500" r:id="rId13"/>
        </w:object>
      </w:r>
    </w:p>
    <w:p w14:paraId="2CA64B56" w14:textId="77231A52" w:rsidR="00077F5F" w:rsidRPr="00077F5F" w:rsidRDefault="00077F5F" w:rsidP="00077F5F">
      <w:pPr>
        <w:autoSpaceDE w:val="0"/>
        <w:autoSpaceDN w:val="0"/>
        <w:adjustRightInd w:val="0"/>
        <w:jc w:val="center"/>
        <w:rPr>
          <w:rFonts w:ascii="Arial" w:hAnsi="Arial" w:cs="Arial"/>
          <w:color w:val="000000"/>
          <w:sz w:val="20"/>
          <w:lang w:val="en-US" w:bidi="he-IL"/>
        </w:rPr>
      </w:pPr>
      <w:r w:rsidRPr="00077F5F">
        <w:rPr>
          <w:rFonts w:ascii="Arial" w:hAnsi="Arial" w:cs="Arial"/>
          <w:b/>
          <w:bCs/>
          <w:color w:val="000000"/>
          <w:sz w:val="20"/>
          <w:lang w:val="en-US" w:bidi="he-IL"/>
        </w:rPr>
        <w:t>Figure 36 —</w:t>
      </w:r>
      <w:r w:rsidR="00494007">
        <w:rPr>
          <w:rFonts w:ascii="Arial" w:hAnsi="Arial" w:cs="Arial"/>
          <w:b/>
          <w:bCs/>
          <w:color w:val="000000"/>
          <w:sz w:val="20"/>
          <w:lang w:val="en-US" w:bidi="he-IL"/>
        </w:rPr>
        <w:t xml:space="preserve"> </w:t>
      </w:r>
      <w:r w:rsidRPr="00494007">
        <w:rPr>
          <w:rFonts w:ascii="Arial" w:hAnsi="Arial" w:cs="Arial"/>
          <w:b/>
          <w:bCs/>
          <w:strike/>
          <w:color w:val="FF0000"/>
          <w:sz w:val="20"/>
          <w:lang w:val="en-US" w:bidi="he-IL"/>
        </w:rPr>
        <w:t>EDMG TPPC</w:t>
      </w:r>
      <w:r w:rsidR="00494007">
        <w:rPr>
          <w:rFonts w:ascii="Arial" w:hAnsi="Arial" w:cs="Arial"/>
          <w:b/>
          <w:bCs/>
          <w:strike/>
          <w:color w:val="FF0000"/>
          <w:sz w:val="20"/>
          <w:lang w:val="en-US" w:bidi="he-IL"/>
        </w:rPr>
        <w:t xml:space="preserve"> </w:t>
      </w:r>
      <w:r w:rsidR="00494007" w:rsidRPr="00494007">
        <w:rPr>
          <w:rFonts w:ascii="Arial" w:hAnsi="Arial" w:cs="Arial"/>
          <w:b/>
          <w:bCs/>
          <w:color w:val="FF0000"/>
          <w:sz w:val="20"/>
          <w:lang w:val="en-US" w:bidi="he-IL"/>
        </w:rPr>
        <w:t xml:space="preserve">Extended </w:t>
      </w:r>
      <w:r w:rsidRPr="00077F5F">
        <w:rPr>
          <w:rFonts w:ascii="Arial" w:hAnsi="Arial" w:cs="Arial"/>
          <w:b/>
          <w:bCs/>
          <w:color w:val="FF0000"/>
          <w:sz w:val="20"/>
          <w:u w:val="single"/>
          <w:lang w:val="en-US" w:bidi="he-IL"/>
        </w:rPr>
        <w:t>TPC</w:t>
      </w:r>
      <w:r w:rsidRPr="00077F5F">
        <w:rPr>
          <w:rFonts w:ascii="Arial" w:hAnsi="Arial" w:cs="Arial"/>
          <w:b/>
          <w:bCs/>
          <w:color w:val="000000"/>
          <w:sz w:val="20"/>
          <w:lang w:val="en-US" w:bidi="he-IL"/>
        </w:rPr>
        <w:t xml:space="preserve"> field format</w:t>
      </w:r>
    </w:p>
    <w:p w14:paraId="02A4FCD6" w14:textId="77777777" w:rsidR="00077F5F" w:rsidRDefault="00077F5F" w:rsidP="00DA4BE5">
      <w:pPr>
        <w:widowControl w:val="0"/>
        <w:autoSpaceDE w:val="0"/>
        <w:autoSpaceDN w:val="0"/>
        <w:adjustRightInd w:val="0"/>
        <w:rPr>
          <w:szCs w:val="22"/>
          <w:lang w:val="en-US" w:eastAsia="zh-CN"/>
        </w:rPr>
      </w:pPr>
    </w:p>
    <w:p w14:paraId="0E844203" w14:textId="77777777" w:rsidR="00077F5F" w:rsidRDefault="00077F5F" w:rsidP="00077F5F">
      <w:pPr>
        <w:autoSpaceDE w:val="0"/>
        <w:autoSpaceDN w:val="0"/>
        <w:adjustRightInd w:val="0"/>
        <w:rPr>
          <w:color w:val="000000"/>
          <w:sz w:val="20"/>
          <w:lang w:val="en-US" w:bidi="he-IL"/>
        </w:rPr>
      </w:pPr>
      <w:r w:rsidRPr="00077F5F">
        <w:rPr>
          <w:color w:val="000000"/>
          <w:sz w:val="20"/>
          <w:lang w:val="en-US" w:bidi="he-IL"/>
        </w:rPr>
        <w:t xml:space="preserve">The </w:t>
      </w:r>
      <w:proofErr w:type="spellStart"/>
      <w:r w:rsidRPr="00077F5F">
        <w:rPr>
          <w:color w:val="000000"/>
          <w:sz w:val="20"/>
          <w:lang w:val="en-US" w:bidi="he-IL"/>
        </w:rPr>
        <w:t>Activity</w:t>
      </w:r>
      <w:r w:rsidR="00A73D84" w:rsidRPr="006F768B">
        <w:rPr>
          <w:color w:val="FF0000"/>
          <w:sz w:val="20"/>
          <w:u w:val="single"/>
          <w:vertAlign w:val="subscript"/>
          <w:lang w:val="en-US" w:bidi="he-IL"/>
        </w:rPr>
        <w:t>i</w:t>
      </w:r>
      <w:proofErr w:type="spellEnd"/>
      <w:r w:rsidRPr="00077F5F">
        <w:rPr>
          <w:color w:val="000000"/>
          <w:sz w:val="20"/>
          <w:lang w:val="en-US" w:bidi="he-IL"/>
        </w:rPr>
        <w:t xml:space="preserve"> subfield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≤NTX,</w:t>
      </w:r>
      <w:r w:rsidRPr="00077F5F">
        <w:rPr>
          <w:color w:val="000000"/>
          <w:sz w:val="20"/>
          <w:lang w:val="en-US" w:bidi="he-IL"/>
        </w:rPr>
        <w:t xml:space="preserve"> is set to a preferred action that the STA sending this element recommends that the peer STA indicated in the RA field of the Link Measurement Report frame execute for the transmit chain</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077F5F">
        <w:rPr>
          <w:color w:val="000000"/>
          <w:sz w:val="20"/>
          <w:lang w:val="en-US" w:bidi="he-IL"/>
        </w:rPr>
        <w:t>. The method by which the sending STA determines a suitable action for the peer STA is implementation specific. The Activity field is defined in 9.4.2.142.2.</w:t>
      </w:r>
    </w:p>
    <w:p w14:paraId="02E51D46" w14:textId="77777777" w:rsidR="00A73D84" w:rsidRPr="00077F5F" w:rsidRDefault="00A73D84" w:rsidP="00077F5F">
      <w:pPr>
        <w:autoSpaceDE w:val="0"/>
        <w:autoSpaceDN w:val="0"/>
        <w:adjustRightInd w:val="0"/>
        <w:rPr>
          <w:color w:val="000000"/>
          <w:szCs w:val="22"/>
          <w:lang w:val="en-US" w:bidi="he-IL"/>
        </w:rPr>
      </w:pPr>
    </w:p>
    <w:p w14:paraId="2AA0C90B" w14:textId="2FC67D0B" w:rsidR="00077F5F" w:rsidRDefault="00077F5F" w:rsidP="008F1805">
      <w:pPr>
        <w:widowControl w:val="0"/>
        <w:autoSpaceDE w:val="0"/>
        <w:autoSpaceDN w:val="0"/>
        <w:adjustRightInd w:val="0"/>
        <w:rPr>
          <w:color w:val="000000"/>
          <w:sz w:val="20"/>
          <w:lang w:val="en-US" w:bidi="he-IL"/>
        </w:rPr>
      </w:pPr>
      <w:r w:rsidRPr="00077F5F">
        <w:rPr>
          <w:color w:val="000000"/>
          <w:sz w:val="20"/>
          <w:lang w:val="en-US" w:bidi="he-IL"/>
        </w:rPr>
        <w:t xml:space="preserve">The Link Margin </w:t>
      </w:r>
      <w:r w:rsidR="00A73D84" w:rsidRPr="00A73D84">
        <w:rPr>
          <w:color w:val="FF0000"/>
          <w:sz w:val="20"/>
          <w:u w:val="single"/>
          <w:lang w:val="en-US" w:bidi="he-IL"/>
        </w:rPr>
        <w:t>sub</w:t>
      </w:r>
      <w:r w:rsidRPr="00077F5F">
        <w:rPr>
          <w:color w:val="000000"/>
          <w:sz w:val="20"/>
          <w:lang w:val="en-US" w:bidi="he-IL"/>
        </w:rPr>
        <w:t>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≤NTX,</w:t>
      </w:r>
      <w:r w:rsidR="00A73D84" w:rsidRPr="00077F5F">
        <w:rPr>
          <w:color w:val="000000"/>
          <w:sz w:val="20"/>
          <w:lang w:val="en-US" w:bidi="he-IL"/>
        </w:rPr>
        <w:t xml:space="preserve"> </w:t>
      </w:r>
      <w:r w:rsidRPr="00077F5F">
        <w:rPr>
          <w:color w:val="000000"/>
          <w:sz w:val="20"/>
          <w:lang w:val="en-US" w:bidi="he-IL"/>
        </w:rPr>
        <w:t>contains the measured link margin of the transmit chain received from the peer STA</w:t>
      </w:r>
      <w:r w:rsidRPr="00077F5F">
        <w:rPr>
          <w:color w:val="000000"/>
          <w:szCs w:val="22"/>
          <w:lang w:val="en-US" w:bidi="he-IL"/>
        </w:rPr>
        <w:t xml:space="preserve"> </w:t>
      </w:r>
      <w:r w:rsidRPr="00077F5F">
        <w:rPr>
          <w:color w:val="000000"/>
          <w:sz w:val="20"/>
          <w:lang w:val="en-US" w:bidi="he-IL"/>
        </w:rPr>
        <w:t>indicated in the RA field of the Link Measurement Report frame</w:t>
      </w:r>
      <w:r w:rsidR="00A73D84">
        <w:rPr>
          <w:color w:val="000000"/>
          <w:sz w:val="20"/>
          <w:lang w:val="en-US" w:bidi="he-IL"/>
        </w:rPr>
        <w:t xml:space="preserve"> </w:t>
      </w:r>
      <w:r w:rsidR="00A73D84" w:rsidRPr="00077F5F">
        <w:rPr>
          <w:color w:val="FF0000"/>
          <w:sz w:val="20"/>
          <w:u w:val="single"/>
          <w:lang w:val="en-US" w:bidi="he-IL"/>
        </w:rPr>
        <w:t>for the transmit chain</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A73D84">
        <w:rPr>
          <w:color w:val="FF0000"/>
          <w:sz w:val="20"/>
          <w:lang w:val="en-US" w:bidi="he-IL"/>
        </w:rPr>
        <w:t xml:space="preserve"> </w:t>
      </w:r>
      <w:r w:rsidRPr="00077F5F">
        <w:rPr>
          <w:color w:val="000000"/>
          <w:sz w:val="20"/>
          <w:lang w:val="en-US" w:bidi="he-IL"/>
        </w:rPr>
        <w:t>and is coded as a 2s complement signed integer in units of decibels. A value of –128 indicates that no link margin is provided. The method used to</w:t>
      </w:r>
      <w:r w:rsidRPr="00077F5F">
        <w:rPr>
          <w:color w:val="000000"/>
          <w:szCs w:val="22"/>
          <w:lang w:val="en-US" w:bidi="he-IL"/>
        </w:rPr>
        <w:t xml:space="preserve"> </w:t>
      </w:r>
      <w:r w:rsidRPr="00077F5F">
        <w:rPr>
          <w:color w:val="000000"/>
          <w:sz w:val="20"/>
          <w:lang w:val="en-US" w:bidi="he-IL"/>
        </w:rPr>
        <w:t>measure the link margin is beyond the scope of this standard.</w:t>
      </w:r>
    </w:p>
    <w:p w14:paraId="6CB7E323" w14:textId="6591B53E" w:rsidR="008F1805" w:rsidRDefault="008F1805" w:rsidP="008F1805">
      <w:pPr>
        <w:widowControl w:val="0"/>
        <w:autoSpaceDE w:val="0"/>
        <w:autoSpaceDN w:val="0"/>
        <w:adjustRightInd w:val="0"/>
        <w:rPr>
          <w:color w:val="000000"/>
          <w:sz w:val="20"/>
          <w:lang w:val="en-US" w:bidi="he-IL"/>
        </w:rPr>
      </w:pPr>
    </w:p>
    <w:p w14:paraId="21E2EB5C" w14:textId="023E44DF" w:rsidR="00F4163E" w:rsidRDefault="00F4163E">
      <w:pPr>
        <w:rPr>
          <w:color w:val="000000"/>
          <w:sz w:val="20"/>
          <w:lang w:val="en-US" w:bidi="he-IL"/>
        </w:rPr>
      </w:pPr>
      <w:r>
        <w:rPr>
          <w:color w:val="000000"/>
          <w:sz w:val="20"/>
          <w:lang w:val="en-US" w:bidi="he-IL"/>
        </w:rPr>
        <w:br w:type="page"/>
      </w:r>
    </w:p>
    <w:p w14:paraId="29E4BEEF" w14:textId="477D98D7" w:rsidR="008F1805" w:rsidRDefault="008F1805" w:rsidP="008F1805">
      <w:pPr>
        <w:widowControl w:val="0"/>
        <w:autoSpaceDE w:val="0"/>
        <w:autoSpaceDN w:val="0"/>
        <w:adjustRightInd w:val="0"/>
        <w:rPr>
          <w:color w:val="000000"/>
          <w:sz w:val="20"/>
          <w:lang w:val="en-US" w:bidi="he-IL"/>
        </w:rPr>
      </w:pPr>
    </w:p>
    <w:p w14:paraId="6BC2B36A"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F4163E" w:rsidRPr="00427EA3" w14:paraId="6F7A136C" w14:textId="77777777" w:rsidTr="0023412C">
        <w:trPr>
          <w:trHeight w:val="558"/>
        </w:trPr>
        <w:tc>
          <w:tcPr>
            <w:tcW w:w="663" w:type="dxa"/>
          </w:tcPr>
          <w:p w14:paraId="2769DAE0" w14:textId="77777777" w:rsidR="00F4163E" w:rsidRPr="00427EA3" w:rsidRDefault="00F4163E" w:rsidP="0023412C">
            <w:pPr>
              <w:rPr>
                <w:lang w:val="en-US"/>
              </w:rPr>
            </w:pPr>
            <w:r w:rsidRPr="00427EA3">
              <w:rPr>
                <w:rFonts w:hint="eastAsia"/>
                <w:lang w:val="en-US"/>
              </w:rPr>
              <w:t>CID</w:t>
            </w:r>
          </w:p>
        </w:tc>
        <w:tc>
          <w:tcPr>
            <w:tcW w:w="1219" w:type="dxa"/>
          </w:tcPr>
          <w:p w14:paraId="22FE9679" w14:textId="77777777" w:rsidR="00F4163E" w:rsidRPr="00427EA3" w:rsidRDefault="00F4163E" w:rsidP="0023412C">
            <w:pPr>
              <w:rPr>
                <w:lang w:val="en-US"/>
              </w:rPr>
            </w:pPr>
            <w:r w:rsidRPr="00427EA3">
              <w:rPr>
                <w:rFonts w:hint="eastAsia"/>
                <w:lang w:val="en-US"/>
              </w:rPr>
              <w:t>Clause</w:t>
            </w:r>
          </w:p>
        </w:tc>
        <w:tc>
          <w:tcPr>
            <w:tcW w:w="3789" w:type="dxa"/>
          </w:tcPr>
          <w:p w14:paraId="1BDF644B" w14:textId="77777777" w:rsidR="00F4163E" w:rsidRPr="00427EA3" w:rsidRDefault="00F4163E" w:rsidP="0023412C">
            <w:pPr>
              <w:rPr>
                <w:lang w:val="en-US"/>
              </w:rPr>
            </w:pPr>
            <w:r w:rsidRPr="00427EA3">
              <w:rPr>
                <w:rFonts w:hint="eastAsia"/>
                <w:lang w:val="en-US"/>
              </w:rPr>
              <w:t>Comment</w:t>
            </w:r>
          </w:p>
        </w:tc>
        <w:tc>
          <w:tcPr>
            <w:tcW w:w="3538" w:type="dxa"/>
          </w:tcPr>
          <w:p w14:paraId="64175DE5" w14:textId="77777777" w:rsidR="00F4163E" w:rsidRPr="00427EA3" w:rsidRDefault="00F4163E" w:rsidP="0023412C">
            <w:pPr>
              <w:rPr>
                <w:lang w:val="en-US"/>
              </w:rPr>
            </w:pPr>
            <w:r w:rsidRPr="00427EA3">
              <w:rPr>
                <w:rFonts w:hint="eastAsia"/>
                <w:lang w:val="en-US"/>
              </w:rPr>
              <w:t>Proposed change</w:t>
            </w:r>
          </w:p>
        </w:tc>
      </w:tr>
      <w:tr w:rsidR="00F4163E" w:rsidRPr="00D90530" w14:paraId="0894926B" w14:textId="77777777" w:rsidTr="0023412C">
        <w:trPr>
          <w:trHeight w:val="584"/>
        </w:trPr>
        <w:tc>
          <w:tcPr>
            <w:tcW w:w="663" w:type="dxa"/>
          </w:tcPr>
          <w:p w14:paraId="39481264" w14:textId="6AD42DEE" w:rsidR="00F4163E" w:rsidRDefault="00262A5C" w:rsidP="0023412C">
            <w:r>
              <w:t>3574</w:t>
            </w:r>
          </w:p>
        </w:tc>
        <w:tc>
          <w:tcPr>
            <w:tcW w:w="1219" w:type="dxa"/>
          </w:tcPr>
          <w:p w14:paraId="1CF65F6C" w14:textId="482DA0B7" w:rsidR="00F4163E" w:rsidRDefault="00F4163E" w:rsidP="0023412C">
            <w:r w:rsidRPr="00593822">
              <w:t>9.4.2.14</w:t>
            </w:r>
          </w:p>
        </w:tc>
        <w:tc>
          <w:tcPr>
            <w:tcW w:w="3789" w:type="dxa"/>
          </w:tcPr>
          <w:p w14:paraId="32B76496" w14:textId="1948AE0B" w:rsidR="00F4163E" w:rsidRPr="00CB0134" w:rsidRDefault="00262A5C" w:rsidP="0023412C">
            <w:pPr>
              <w:rPr>
                <w:color w:val="000000"/>
              </w:rPr>
            </w:pPr>
            <w:r w:rsidRPr="00262A5C">
              <w:rPr>
                <w:color w:val="000000"/>
              </w:rPr>
              <w:t>Power Constraint element can be present in more frames than listed here</w:t>
            </w:r>
          </w:p>
        </w:tc>
        <w:tc>
          <w:tcPr>
            <w:tcW w:w="3538" w:type="dxa"/>
          </w:tcPr>
          <w:p w14:paraId="409AAABB" w14:textId="75D38DE6" w:rsidR="00F4163E" w:rsidRPr="00CB0134" w:rsidRDefault="00262A5C" w:rsidP="0023412C">
            <w:pPr>
              <w:rPr>
                <w:color w:val="000000"/>
              </w:rPr>
            </w:pPr>
            <w:r w:rsidRPr="00262A5C">
              <w:rPr>
                <w:color w:val="000000"/>
              </w:rPr>
              <w:t xml:space="preserve">Change the last sentence in this section to "The Power Constraint element is optionally included in Beacon frames, as described in 9.3.3.3, DMG Beacon frames, as described in 9.3.4.2, Announce frames, as </w:t>
            </w:r>
            <w:proofErr w:type="spellStart"/>
            <w:r w:rsidRPr="00262A5C">
              <w:rPr>
                <w:color w:val="000000"/>
              </w:rPr>
              <w:t>dscribed</w:t>
            </w:r>
            <w:proofErr w:type="spellEnd"/>
            <w:r w:rsidRPr="00262A5C">
              <w:rPr>
                <w:color w:val="000000"/>
              </w:rPr>
              <w:t xml:space="preserve"> in 9.6.22.2, and Probe Response frames, as described in 9.3.3.11"</w:t>
            </w:r>
          </w:p>
        </w:tc>
      </w:tr>
    </w:tbl>
    <w:p w14:paraId="0A07D4EC" w14:textId="77777777" w:rsidR="00F4163E" w:rsidRPr="00F0511C" w:rsidRDefault="00F4163E" w:rsidP="00F4163E">
      <w:pPr>
        <w:widowControl w:val="0"/>
        <w:autoSpaceDE w:val="0"/>
        <w:autoSpaceDN w:val="0"/>
        <w:adjustRightInd w:val="0"/>
        <w:rPr>
          <w:rFonts w:ascii="Arial-BoldMT" w:hAnsi="Arial-BoldMT" w:cs="Arial-BoldMT"/>
          <w:bCs/>
          <w:sz w:val="20"/>
          <w:lang w:eastAsia="zh-CN"/>
        </w:rPr>
      </w:pPr>
    </w:p>
    <w:p w14:paraId="69801369"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p w14:paraId="71758D64" w14:textId="58CACB6A" w:rsidR="00F4163E" w:rsidRDefault="00F4163E" w:rsidP="00F4163E">
      <w:pPr>
        <w:rPr>
          <w:szCs w:val="22"/>
        </w:rPr>
      </w:pPr>
      <w:r w:rsidRPr="008179AB">
        <w:rPr>
          <w:b/>
          <w:szCs w:val="22"/>
        </w:rPr>
        <w:t>Proposed resolution:</w:t>
      </w:r>
      <w:r w:rsidRPr="008179AB">
        <w:rPr>
          <w:szCs w:val="22"/>
        </w:rPr>
        <w:t xml:space="preserve"> </w:t>
      </w:r>
      <w:r w:rsidR="00262A5C">
        <w:rPr>
          <w:szCs w:val="22"/>
          <w:lang w:eastAsia="zh-CN"/>
        </w:rPr>
        <w:t>Reject</w:t>
      </w:r>
      <w:r>
        <w:rPr>
          <w:szCs w:val="22"/>
        </w:rPr>
        <w:t>.</w:t>
      </w:r>
    </w:p>
    <w:p w14:paraId="45BE24E5" w14:textId="77777777" w:rsidR="00F4163E" w:rsidRDefault="00F4163E" w:rsidP="00F4163E">
      <w:pPr>
        <w:rPr>
          <w:color w:val="FF0000"/>
          <w:szCs w:val="22"/>
          <w:u w:val="single"/>
          <w:lang w:val="en-US" w:eastAsia="zh-CN"/>
        </w:rPr>
      </w:pPr>
    </w:p>
    <w:p w14:paraId="2A9A50DD" w14:textId="77777777" w:rsidR="00F4163E" w:rsidRDefault="00F4163E" w:rsidP="00F4163E">
      <w:pPr>
        <w:rPr>
          <w:szCs w:val="22"/>
        </w:rPr>
      </w:pPr>
      <w:r>
        <w:rPr>
          <w:b/>
          <w:szCs w:val="22"/>
        </w:rPr>
        <w:t>Discussion:</w:t>
      </w:r>
    </w:p>
    <w:p w14:paraId="385D3B8F" w14:textId="1A8B8050" w:rsidR="00F4163E" w:rsidRDefault="00262A5C" w:rsidP="00F4163E">
      <w:pPr>
        <w:widowControl w:val="0"/>
        <w:autoSpaceDE w:val="0"/>
        <w:autoSpaceDN w:val="0"/>
        <w:adjustRightInd w:val="0"/>
        <w:rPr>
          <w:szCs w:val="22"/>
          <w:lang w:eastAsia="zh-CN"/>
        </w:rPr>
      </w:pPr>
      <w:r>
        <w:rPr>
          <w:szCs w:val="22"/>
          <w:lang w:eastAsia="zh-CN"/>
        </w:rPr>
        <w:t>Assume that the comment refers to REVmd section 9.4.2.14 P994L26-30.</w:t>
      </w:r>
    </w:p>
    <w:p w14:paraId="74C649C9" w14:textId="57004271" w:rsidR="00262A5C" w:rsidRDefault="00262A5C" w:rsidP="00F4163E">
      <w:pPr>
        <w:widowControl w:val="0"/>
        <w:autoSpaceDE w:val="0"/>
        <w:autoSpaceDN w:val="0"/>
        <w:adjustRightInd w:val="0"/>
        <w:rPr>
          <w:color w:val="000000"/>
        </w:rPr>
      </w:pPr>
      <w:r>
        <w:rPr>
          <w:color w:val="000000"/>
          <w:sz w:val="20"/>
          <w:lang w:val="en-US" w:bidi="he-IL"/>
        </w:rPr>
        <w:t xml:space="preserve">The comment is correct that indeed </w:t>
      </w:r>
      <w:r w:rsidRPr="00262A5C">
        <w:rPr>
          <w:color w:val="000000"/>
        </w:rPr>
        <w:t>Power Constraint element</w:t>
      </w:r>
      <w:r>
        <w:rPr>
          <w:color w:val="000000"/>
        </w:rPr>
        <w:t xml:space="preserve"> is included in more frames.</w:t>
      </w:r>
    </w:p>
    <w:p w14:paraId="4001C12B" w14:textId="053DF4DD" w:rsidR="00262A5C" w:rsidRDefault="004946A7" w:rsidP="00F4163E">
      <w:pPr>
        <w:widowControl w:val="0"/>
        <w:autoSpaceDE w:val="0"/>
        <w:autoSpaceDN w:val="0"/>
        <w:adjustRightInd w:val="0"/>
        <w:rPr>
          <w:color w:val="000000"/>
          <w:sz w:val="20"/>
          <w:lang w:val="en-US" w:bidi="he-IL"/>
        </w:rPr>
      </w:pPr>
      <w:r>
        <w:rPr>
          <w:color w:val="000000"/>
          <w:sz w:val="20"/>
          <w:lang w:val="en-US" w:bidi="he-IL"/>
        </w:rPr>
        <w:t>However,</w:t>
      </w:r>
      <w:r w:rsidR="00262A5C">
        <w:rPr>
          <w:color w:val="000000"/>
          <w:sz w:val="20"/>
          <w:lang w:val="en-US" w:bidi="he-IL"/>
        </w:rPr>
        <w:t xml:space="preserve"> this is a general issue not DMG/EDMG related and therefore it should be submitted to REVmd comments.</w:t>
      </w:r>
    </w:p>
    <w:p w14:paraId="34E77935" w14:textId="2F21C590" w:rsidR="00AC6D87" w:rsidRDefault="00AC6D87" w:rsidP="00F4163E">
      <w:pPr>
        <w:widowControl w:val="0"/>
        <w:autoSpaceDE w:val="0"/>
        <w:autoSpaceDN w:val="0"/>
        <w:adjustRightInd w:val="0"/>
        <w:rPr>
          <w:color w:val="000000"/>
          <w:sz w:val="20"/>
          <w:lang w:val="en-US" w:bidi="he-IL"/>
        </w:rPr>
      </w:pPr>
    </w:p>
    <w:p w14:paraId="3DA500F3" w14:textId="7E2249BC" w:rsidR="00AC6D87" w:rsidRDefault="00AC6D87">
      <w:pPr>
        <w:rPr>
          <w:color w:val="000000"/>
          <w:sz w:val="20"/>
          <w:lang w:val="en-US" w:bidi="he-IL"/>
        </w:rPr>
      </w:pPr>
      <w:r>
        <w:rPr>
          <w:color w:val="000000"/>
          <w:sz w:val="20"/>
          <w:lang w:val="en-US" w:bidi="he-IL"/>
        </w:rPr>
        <w:br w:type="page"/>
      </w:r>
    </w:p>
    <w:p w14:paraId="6209344D" w14:textId="77777777" w:rsidR="00AC6D87" w:rsidRDefault="00AC6D87" w:rsidP="00AC6D87">
      <w:pPr>
        <w:widowControl w:val="0"/>
        <w:autoSpaceDE w:val="0"/>
        <w:autoSpaceDN w:val="0"/>
        <w:adjustRightInd w:val="0"/>
        <w:rPr>
          <w:color w:val="000000"/>
          <w:sz w:val="20"/>
          <w:lang w:val="en-US" w:bidi="he-IL"/>
        </w:rPr>
      </w:pPr>
    </w:p>
    <w:p w14:paraId="16285F44"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AC6D87" w:rsidRPr="00427EA3" w14:paraId="19CDDE28" w14:textId="77777777" w:rsidTr="003E6EC4">
        <w:trPr>
          <w:trHeight w:val="558"/>
        </w:trPr>
        <w:tc>
          <w:tcPr>
            <w:tcW w:w="663" w:type="dxa"/>
          </w:tcPr>
          <w:p w14:paraId="25DB7FC2" w14:textId="77777777" w:rsidR="00AC6D87" w:rsidRPr="00427EA3" w:rsidRDefault="00AC6D87" w:rsidP="003E6EC4">
            <w:pPr>
              <w:rPr>
                <w:lang w:val="en-US"/>
              </w:rPr>
            </w:pPr>
            <w:r w:rsidRPr="00427EA3">
              <w:rPr>
                <w:rFonts w:hint="eastAsia"/>
                <w:lang w:val="en-US"/>
              </w:rPr>
              <w:t>CID</w:t>
            </w:r>
          </w:p>
        </w:tc>
        <w:tc>
          <w:tcPr>
            <w:tcW w:w="1219" w:type="dxa"/>
          </w:tcPr>
          <w:p w14:paraId="70C0F6F6" w14:textId="77777777" w:rsidR="00AC6D87" w:rsidRPr="00427EA3" w:rsidRDefault="00AC6D87" w:rsidP="003E6EC4">
            <w:pPr>
              <w:rPr>
                <w:lang w:val="en-US"/>
              </w:rPr>
            </w:pPr>
            <w:r w:rsidRPr="00427EA3">
              <w:rPr>
                <w:rFonts w:hint="eastAsia"/>
                <w:lang w:val="en-US"/>
              </w:rPr>
              <w:t>Clause</w:t>
            </w:r>
          </w:p>
        </w:tc>
        <w:tc>
          <w:tcPr>
            <w:tcW w:w="3789" w:type="dxa"/>
          </w:tcPr>
          <w:p w14:paraId="35CF3221" w14:textId="77777777" w:rsidR="00AC6D87" w:rsidRPr="00427EA3" w:rsidRDefault="00AC6D87" w:rsidP="003E6EC4">
            <w:pPr>
              <w:rPr>
                <w:lang w:val="en-US"/>
              </w:rPr>
            </w:pPr>
            <w:r w:rsidRPr="00427EA3">
              <w:rPr>
                <w:rFonts w:hint="eastAsia"/>
                <w:lang w:val="en-US"/>
              </w:rPr>
              <w:t>Comment</w:t>
            </w:r>
          </w:p>
        </w:tc>
        <w:tc>
          <w:tcPr>
            <w:tcW w:w="3538" w:type="dxa"/>
          </w:tcPr>
          <w:p w14:paraId="68C2F214" w14:textId="77777777" w:rsidR="00AC6D87" w:rsidRPr="00427EA3" w:rsidRDefault="00AC6D87" w:rsidP="003E6EC4">
            <w:pPr>
              <w:rPr>
                <w:lang w:val="en-US"/>
              </w:rPr>
            </w:pPr>
            <w:r w:rsidRPr="00427EA3">
              <w:rPr>
                <w:rFonts w:hint="eastAsia"/>
                <w:lang w:val="en-US"/>
              </w:rPr>
              <w:t>Proposed change</w:t>
            </w:r>
          </w:p>
        </w:tc>
      </w:tr>
      <w:tr w:rsidR="00AC6D87" w:rsidRPr="00D90530" w14:paraId="6BAFC239" w14:textId="77777777" w:rsidTr="003E6EC4">
        <w:trPr>
          <w:trHeight w:val="584"/>
        </w:trPr>
        <w:tc>
          <w:tcPr>
            <w:tcW w:w="663" w:type="dxa"/>
          </w:tcPr>
          <w:p w14:paraId="09D065CC" w14:textId="0F5F85BD" w:rsidR="00AC6D87" w:rsidRDefault="00AC6D87" w:rsidP="003E6EC4">
            <w:r>
              <w:t>3634</w:t>
            </w:r>
          </w:p>
        </w:tc>
        <w:tc>
          <w:tcPr>
            <w:tcW w:w="1219" w:type="dxa"/>
          </w:tcPr>
          <w:p w14:paraId="1ADDFE9B" w14:textId="54F62B6B" w:rsidR="00AC6D87" w:rsidRDefault="00AC6D87" w:rsidP="003E6EC4">
            <w:r w:rsidRPr="00AC6D87">
              <w:t>9.4.2.127.7</w:t>
            </w:r>
          </w:p>
        </w:tc>
        <w:tc>
          <w:tcPr>
            <w:tcW w:w="3789" w:type="dxa"/>
          </w:tcPr>
          <w:p w14:paraId="517D3C53" w14:textId="0CFC211E" w:rsidR="00AC6D87" w:rsidRPr="00CB0134" w:rsidRDefault="00AC6D87" w:rsidP="003E6EC4">
            <w:pPr>
              <w:rPr>
                <w:color w:val="000000"/>
              </w:rPr>
            </w:pPr>
            <w:r w:rsidRPr="00AC6D87">
              <w:rPr>
                <w:color w:val="000000"/>
              </w:rPr>
              <w:t xml:space="preserve">A TDD Link Maintenance Statistics capability is presented in the TDD Capability Information field, </w:t>
            </w:r>
            <w:proofErr w:type="gramStart"/>
            <w:r w:rsidRPr="00AC6D87">
              <w:rPr>
                <w:color w:val="000000"/>
              </w:rPr>
              <w:t>however</w:t>
            </w:r>
            <w:proofErr w:type="gramEnd"/>
            <w:r w:rsidRPr="00AC6D87">
              <w:rPr>
                <w:color w:val="000000"/>
              </w:rPr>
              <w:t xml:space="preserve"> use of the TDD Link Maintenance Statistics is not limited to TDD Channel Access. There is no reason to keep the feature TDD specific.</w:t>
            </w:r>
          </w:p>
        </w:tc>
        <w:tc>
          <w:tcPr>
            <w:tcW w:w="3538" w:type="dxa"/>
          </w:tcPr>
          <w:p w14:paraId="4C8028F3" w14:textId="2F604C2A" w:rsidR="00AC6D87" w:rsidRPr="00CB0134" w:rsidRDefault="00AC6D87" w:rsidP="003E6EC4">
            <w:pPr>
              <w:rPr>
                <w:color w:val="000000"/>
              </w:rPr>
            </w:pPr>
            <w:r w:rsidRPr="00AC6D87">
              <w:rPr>
                <w:color w:val="000000"/>
              </w:rPr>
              <w:t>Remove "TDD" from the name of the feature. Move the Link Maintenance Statistics capability subfield to one of the reserved subfields in DMG STA Capability Information field format.</w:t>
            </w:r>
          </w:p>
        </w:tc>
      </w:tr>
    </w:tbl>
    <w:p w14:paraId="50BAFDA4" w14:textId="77777777" w:rsidR="00AC6D87" w:rsidRPr="00F0511C" w:rsidRDefault="00AC6D87" w:rsidP="00AC6D87">
      <w:pPr>
        <w:widowControl w:val="0"/>
        <w:autoSpaceDE w:val="0"/>
        <w:autoSpaceDN w:val="0"/>
        <w:adjustRightInd w:val="0"/>
        <w:rPr>
          <w:rFonts w:ascii="Arial-BoldMT" w:hAnsi="Arial-BoldMT" w:cs="Arial-BoldMT"/>
          <w:bCs/>
          <w:sz w:val="20"/>
          <w:lang w:eastAsia="zh-CN"/>
        </w:rPr>
      </w:pPr>
    </w:p>
    <w:p w14:paraId="30A15D03"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p w14:paraId="397A0D2A" w14:textId="7450D946" w:rsidR="00AC6D87" w:rsidRDefault="00AC6D87" w:rsidP="00AC6D87">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1A57CC44" w14:textId="77777777" w:rsidR="00AC6D87" w:rsidRDefault="00AC6D87" w:rsidP="00AC6D87">
      <w:pPr>
        <w:rPr>
          <w:color w:val="FF0000"/>
          <w:szCs w:val="22"/>
          <w:u w:val="single"/>
          <w:lang w:val="en-US" w:eastAsia="zh-CN"/>
        </w:rPr>
      </w:pPr>
    </w:p>
    <w:p w14:paraId="35441589" w14:textId="77777777" w:rsidR="00AC6D87" w:rsidRDefault="00AC6D87" w:rsidP="00AC6D87">
      <w:pPr>
        <w:rPr>
          <w:szCs w:val="22"/>
        </w:rPr>
      </w:pPr>
      <w:r>
        <w:rPr>
          <w:b/>
          <w:szCs w:val="22"/>
        </w:rPr>
        <w:t>Discussion:</w:t>
      </w:r>
    </w:p>
    <w:p w14:paraId="7A847649" w14:textId="2464CCF5" w:rsidR="00AC6D87" w:rsidRDefault="00AC6D87" w:rsidP="00AC6D87">
      <w:pPr>
        <w:widowControl w:val="0"/>
        <w:autoSpaceDE w:val="0"/>
        <w:autoSpaceDN w:val="0"/>
        <w:adjustRightInd w:val="0"/>
        <w:rPr>
          <w:szCs w:val="22"/>
          <w:lang w:eastAsia="zh-CN"/>
        </w:rPr>
      </w:pPr>
      <w:r>
        <w:rPr>
          <w:szCs w:val="22"/>
          <w:lang w:eastAsia="zh-CN"/>
        </w:rPr>
        <w:t>The commenter is correct “</w:t>
      </w:r>
      <w:r w:rsidRPr="00AC6D87">
        <w:rPr>
          <w:color w:val="000000"/>
        </w:rPr>
        <w:t>TDD Link Maintenance Statistics is not limited to TDD Channel Access. There is no reason to keep the feature TDD specific.</w:t>
      </w:r>
      <w:r>
        <w:rPr>
          <w:szCs w:val="22"/>
          <w:lang w:eastAsia="zh-CN"/>
        </w:rPr>
        <w:t>”</w:t>
      </w:r>
    </w:p>
    <w:p w14:paraId="4A17A8F2" w14:textId="08B932DF" w:rsidR="00297FC9" w:rsidRDefault="00297FC9" w:rsidP="00AC6D87">
      <w:pPr>
        <w:widowControl w:val="0"/>
        <w:autoSpaceDE w:val="0"/>
        <w:autoSpaceDN w:val="0"/>
        <w:adjustRightInd w:val="0"/>
        <w:rPr>
          <w:szCs w:val="22"/>
          <w:lang w:eastAsia="zh-CN"/>
        </w:rPr>
      </w:pPr>
    </w:p>
    <w:p w14:paraId="43E13827" w14:textId="1A8E3E1B" w:rsidR="00297FC9" w:rsidRDefault="00297FC9" w:rsidP="00AC6D87">
      <w:pPr>
        <w:widowControl w:val="0"/>
        <w:autoSpaceDE w:val="0"/>
        <w:autoSpaceDN w:val="0"/>
        <w:adjustRightInd w:val="0"/>
        <w:rPr>
          <w:szCs w:val="22"/>
          <w:lang w:eastAsia="zh-CN"/>
        </w:rPr>
      </w:pPr>
      <w:r>
        <w:rPr>
          <w:szCs w:val="22"/>
          <w:lang w:eastAsia="zh-CN"/>
        </w:rPr>
        <w:t>The changes include:</w:t>
      </w:r>
    </w:p>
    <w:p w14:paraId="5DF15B29" w14:textId="06BA85AC" w:rsidR="00297FC9" w:rsidRDefault="00297FC9" w:rsidP="00297FC9">
      <w:pPr>
        <w:pStyle w:val="ListParagraph"/>
        <w:widowControl w:val="0"/>
        <w:numPr>
          <w:ilvl w:val="0"/>
          <w:numId w:val="45"/>
        </w:numPr>
        <w:autoSpaceDE w:val="0"/>
        <w:autoSpaceDN w:val="0"/>
        <w:adjustRightInd w:val="0"/>
        <w:ind w:firstLineChars="0"/>
        <w:rPr>
          <w:szCs w:val="22"/>
          <w:lang w:eastAsia="zh-CN"/>
        </w:rPr>
      </w:pPr>
      <w:r>
        <w:rPr>
          <w:szCs w:val="22"/>
          <w:lang w:eastAsia="zh-CN"/>
        </w:rPr>
        <w:t>Rename “</w:t>
      </w:r>
      <w:r w:rsidRPr="00297FC9">
        <w:rPr>
          <w:szCs w:val="22"/>
          <w:lang w:eastAsia="zh-CN"/>
        </w:rPr>
        <w:t>TDD link maintenance</w:t>
      </w:r>
      <w:r>
        <w:rPr>
          <w:szCs w:val="22"/>
          <w:lang w:eastAsia="zh-CN"/>
        </w:rPr>
        <w:t>” with “L</w:t>
      </w:r>
      <w:r w:rsidRPr="00297FC9">
        <w:rPr>
          <w:szCs w:val="22"/>
          <w:lang w:eastAsia="zh-CN"/>
        </w:rPr>
        <w:t>ink maintenance</w:t>
      </w:r>
      <w:r>
        <w:rPr>
          <w:szCs w:val="22"/>
          <w:lang w:eastAsia="zh-CN"/>
        </w:rPr>
        <w:t>”</w:t>
      </w:r>
    </w:p>
    <w:p w14:paraId="3CA6BDEC" w14:textId="76F503BD" w:rsidR="00297FC9" w:rsidRDefault="00297FC9" w:rsidP="00297FC9">
      <w:pPr>
        <w:pStyle w:val="ListParagraph"/>
        <w:widowControl w:val="0"/>
        <w:numPr>
          <w:ilvl w:val="0"/>
          <w:numId w:val="45"/>
        </w:numPr>
        <w:autoSpaceDE w:val="0"/>
        <w:autoSpaceDN w:val="0"/>
        <w:adjustRightInd w:val="0"/>
        <w:ind w:firstLineChars="0"/>
        <w:rPr>
          <w:szCs w:val="22"/>
          <w:lang w:eastAsia="zh-CN"/>
        </w:rPr>
      </w:pPr>
      <w:r>
        <w:rPr>
          <w:szCs w:val="22"/>
          <w:lang w:eastAsia="zh-CN"/>
        </w:rPr>
        <w:t>Split the capability bits for “L</w:t>
      </w:r>
      <w:r w:rsidRPr="00297FC9">
        <w:rPr>
          <w:szCs w:val="22"/>
          <w:lang w:eastAsia="zh-CN"/>
        </w:rPr>
        <w:t>ink maintenance</w:t>
      </w:r>
      <w:r>
        <w:rPr>
          <w:szCs w:val="22"/>
          <w:lang w:eastAsia="zh-CN"/>
        </w:rPr>
        <w:t>” to a separate octet and not part of the “</w:t>
      </w:r>
      <w:r w:rsidRPr="00297FC9">
        <w:rPr>
          <w:szCs w:val="22"/>
          <w:lang w:eastAsia="zh-CN"/>
        </w:rPr>
        <w:t>TDD Capability Information field</w:t>
      </w:r>
      <w:r>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04739AE0" w14:textId="70E4E781" w:rsidR="00AC6D87" w:rsidRDefault="00AC6D87" w:rsidP="00F4163E">
      <w:pPr>
        <w:widowControl w:val="0"/>
        <w:autoSpaceDE w:val="0"/>
        <w:autoSpaceDN w:val="0"/>
        <w:adjustRightInd w:val="0"/>
        <w:rPr>
          <w:color w:val="000000"/>
          <w:sz w:val="20"/>
          <w:lang w:val="en-US" w:bidi="he-IL"/>
        </w:rPr>
      </w:pPr>
    </w:p>
    <w:p w14:paraId="1A303837" w14:textId="352ED1B0"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Replace Figure 9-533 with the following(P90L15)</w:t>
      </w:r>
    </w:p>
    <w:p w14:paraId="602F1877" w14:textId="19A64973" w:rsidR="00D84B6E" w:rsidRDefault="00546FA1" w:rsidP="00D84B6E">
      <w:pPr>
        <w:widowControl w:val="0"/>
        <w:autoSpaceDE w:val="0"/>
        <w:autoSpaceDN w:val="0"/>
        <w:adjustRightInd w:val="0"/>
        <w:outlineLvl w:val="0"/>
      </w:pPr>
      <w:r>
        <w:object w:dxaOrig="14825" w:dyaOrig="3899" w14:anchorId="3ED6A1C6">
          <v:shape id="_x0000_i1033" type="#_x0000_t75" style="width:467.7pt;height:123.25pt" o:ole="">
            <v:imagedata r:id="rId14" o:title=""/>
          </v:shape>
          <o:OLEObject Type="Embed" ProgID="Visio.Drawing.11" ShapeID="_x0000_i1033" DrawAspect="Content" ObjectID="_1608559501" r:id="rId15"/>
        </w:object>
      </w:r>
    </w:p>
    <w:p w14:paraId="0F76B32A" w14:textId="57C407D5"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
    <w:p w14:paraId="79F06E6B" w14:textId="3A7FA04F"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Figure </w:t>
      </w:r>
      <w:r w:rsidR="008E7D31">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 xml:space="preserve"> with the following(</w:t>
      </w:r>
      <w:r w:rsidR="006E42BF">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6E42B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6E42BF">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6E42BF">
        <w:rPr>
          <w:rFonts w:ascii="Arial-BoldMT" w:hAnsi="Arial-BoldMT" w:cs="Arial-BoldMT"/>
          <w:b/>
          <w:bCs/>
          <w:i/>
          <w:sz w:val="24"/>
          <w:szCs w:val="24"/>
          <w:lang w:val="en-US" w:eastAsia="zh-CN"/>
        </w:rPr>
        <w:t>4</w:t>
      </w:r>
      <w:r>
        <w:rPr>
          <w:rFonts w:ascii="Arial-BoldMT" w:hAnsi="Arial-BoldMT" w:cs="Arial-BoldMT"/>
          <w:b/>
          <w:bCs/>
          <w:i/>
          <w:sz w:val="24"/>
          <w:szCs w:val="24"/>
          <w:lang w:val="en-US" w:eastAsia="zh-CN"/>
        </w:rPr>
        <w:t>)</w:t>
      </w:r>
    </w:p>
    <w:p w14:paraId="166D4B5A" w14:textId="4791E40D" w:rsidR="00D84B6E" w:rsidRDefault="00D84B6E" w:rsidP="00D84B6E">
      <w:pPr>
        <w:widowControl w:val="0"/>
        <w:autoSpaceDE w:val="0"/>
        <w:autoSpaceDN w:val="0"/>
        <w:adjustRightInd w:val="0"/>
        <w:outlineLvl w:val="0"/>
      </w:pPr>
      <w:r>
        <w:object w:dxaOrig="8305" w:dyaOrig="2040" w14:anchorId="183945C5">
          <v:shape id="_x0000_i1028" type="#_x0000_t75" style="width:307pt;height:75.45pt" o:ole="">
            <v:imagedata r:id="rId16" o:title=""/>
          </v:shape>
          <o:OLEObject Type="Embed" ProgID="Visio.Drawing.11" ShapeID="_x0000_i1028" DrawAspect="Content" ObjectID="_1608559502" r:id="rId17"/>
        </w:object>
      </w:r>
    </w:p>
    <w:p w14:paraId="42E6B1DF" w14:textId="2742881D"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
    <w:p w14:paraId="62AB3D40" w14:textId="2446330A"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Add the following new section </w:t>
      </w:r>
      <w:r w:rsidR="00976931">
        <w:rPr>
          <w:rFonts w:ascii="Arial-BoldMT" w:hAnsi="Arial-BoldMT" w:cs="Arial-BoldMT"/>
          <w:b/>
          <w:bCs/>
          <w:i/>
          <w:sz w:val="24"/>
          <w:szCs w:val="24"/>
          <w:lang w:val="en-US" w:eastAsia="zh-CN"/>
        </w:rPr>
        <w:t>before section starting with “</w:t>
      </w:r>
      <w:r w:rsidR="00882E77" w:rsidRPr="00882E77">
        <w:rPr>
          <w:rFonts w:ascii="Arial-BoldMT" w:hAnsi="Arial-BoldMT" w:cs="Arial-BoldMT"/>
          <w:b/>
          <w:bCs/>
          <w:i/>
          <w:sz w:val="24"/>
          <w:szCs w:val="24"/>
          <w:lang w:val="en-US" w:eastAsia="zh-CN"/>
        </w:rPr>
        <w:t>The TDD Link Maintenance Statistics subfield indicates</w:t>
      </w:r>
      <w:r w:rsidR="0097693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t>
      </w:r>
      <w:r w:rsidR="00882E77">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882E77">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6E42BF">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882E77">
        <w:rPr>
          <w:rFonts w:ascii="Arial-BoldMT" w:hAnsi="Arial-BoldMT" w:cs="Arial-BoldMT"/>
          <w:b/>
          <w:bCs/>
          <w:i/>
          <w:sz w:val="24"/>
          <w:szCs w:val="24"/>
          <w:lang w:val="en-US" w:eastAsia="zh-CN"/>
        </w:rPr>
        <w:t>08)</w:t>
      </w:r>
    </w:p>
    <w:p w14:paraId="3E6C7AAE" w14:textId="5D8CD6B3" w:rsidR="00D84B6E" w:rsidRDefault="00D84B6E" w:rsidP="00D84B6E">
      <w:pPr>
        <w:widowControl w:val="0"/>
        <w:autoSpaceDE w:val="0"/>
        <w:autoSpaceDN w:val="0"/>
        <w:adjustRightInd w:val="0"/>
        <w:outlineLvl w:val="0"/>
        <w:rPr>
          <w:b/>
          <w:bCs/>
          <w:sz w:val="24"/>
          <w:szCs w:val="24"/>
        </w:rPr>
      </w:pPr>
      <w:r w:rsidRPr="00D84B6E">
        <w:rPr>
          <w:b/>
          <w:bCs/>
          <w:sz w:val="24"/>
          <w:szCs w:val="24"/>
        </w:rPr>
        <w:t>9.4.2.127.</w:t>
      </w:r>
      <w:r>
        <w:rPr>
          <w:b/>
          <w:bCs/>
          <w:sz w:val="24"/>
          <w:szCs w:val="24"/>
        </w:rPr>
        <w:t>8</w:t>
      </w:r>
      <w:r w:rsidRPr="00D84B6E">
        <w:rPr>
          <w:b/>
          <w:bCs/>
          <w:sz w:val="24"/>
          <w:szCs w:val="24"/>
        </w:rPr>
        <w:t xml:space="preserve"> Link Maintenance Statistics Information field</w:t>
      </w:r>
    </w:p>
    <w:p w14:paraId="1A7C6EBF" w14:textId="32B14485" w:rsidR="00D84B6E" w:rsidRDefault="00D84B6E" w:rsidP="00D84B6E">
      <w:pPr>
        <w:widowControl w:val="0"/>
        <w:autoSpaceDE w:val="0"/>
        <w:autoSpaceDN w:val="0"/>
        <w:adjustRightInd w:val="0"/>
        <w:outlineLvl w:val="0"/>
        <w:rPr>
          <w:rFonts w:ascii="Arial-BoldMT" w:hAnsi="Arial-BoldMT" w:cs="Arial-BoldMT"/>
          <w:b/>
          <w:bCs/>
          <w:i/>
          <w:sz w:val="28"/>
          <w:szCs w:val="28"/>
          <w:lang w:val="en-US" w:eastAsia="zh-CN"/>
        </w:rPr>
      </w:pPr>
    </w:p>
    <w:p w14:paraId="11822AAE" w14:textId="77777777" w:rsidR="00297FC9" w:rsidRDefault="00297FC9">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7C0EDBC" w14:textId="6A704939"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lastRenderedPageBreak/>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Edit the first paragraph </w:t>
      </w:r>
      <w:r w:rsidR="00665B07">
        <w:rPr>
          <w:rFonts w:ascii="Arial-BoldMT" w:hAnsi="Arial-BoldMT" w:cs="Arial-BoldMT"/>
          <w:b/>
          <w:bCs/>
          <w:i/>
          <w:sz w:val="24"/>
          <w:szCs w:val="24"/>
          <w:lang w:val="en-US" w:eastAsia="zh-CN"/>
        </w:rPr>
        <w:t>(paragraph before Figure 31</w:t>
      </w:r>
      <w:r w:rsidR="00C8728B">
        <w:rPr>
          <w:rFonts w:ascii="Arial-BoldMT" w:hAnsi="Arial-BoldMT" w:cs="Arial-BoldMT"/>
          <w:b/>
          <w:bCs/>
          <w:i/>
          <w:sz w:val="24"/>
          <w:szCs w:val="24"/>
          <w:lang w:val="en-US" w:eastAsia="zh-CN"/>
        </w:rPr>
        <w:t xml:space="preserve"> in Draft2.</w:t>
      </w:r>
      <w:r w:rsidR="000F5392">
        <w:rPr>
          <w:rFonts w:ascii="Arial-BoldMT" w:hAnsi="Arial-BoldMT" w:cs="Arial-BoldMT"/>
          <w:b/>
          <w:bCs/>
          <w:i/>
          <w:sz w:val="24"/>
          <w:szCs w:val="24"/>
          <w:lang w:val="en-US" w:eastAsia="zh-CN"/>
        </w:rPr>
        <w:t>2</w:t>
      </w:r>
      <w:r w:rsidR="00C8728B">
        <w:rPr>
          <w:rFonts w:ascii="Arial-BoldMT" w:hAnsi="Arial-BoldMT" w:cs="Arial-BoldMT"/>
          <w:b/>
          <w:bCs/>
          <w:i/>
          <w:sz w:val="24"/>
          <w:szCs w:val="24"/>
          <w:lang w:val="en-US" w:eastAsia="zh-CN"/>
        </w:rPr>
        <w:t xml:space="preserve"> P102L08</w:t>
      </w:r>
      <w:r w:rsidR="00665B07">
        <w:rPr>
          <w:rFonts w:ascii="Arial-BoldMT" w:hAnsi="Arial-BoldMT" w:cs="Arial-BoldMT"/>
          <w:b/>
          <w:bCs/>
          <w:i/>
          <w:sz w:val="24"/>
          <w:szCs w:val="24"/>
          <w:lang w:val="en-US" w:eastAsia="zh-CN"/>
        </w:rPr>
        <w:t>)</w:t>
      </w:r>
    </w:p>
    <w:p w14:paraId="559E5F75" w14:textId="552F489A" w:rsidR="00D84B6E" w:rsidRDefault="00D84B6E" w:rsidP="00D84B6E">
      <w:pPr>
        <w:widowControl w:val="0"/>
        <w:autoSpaceDE w:val="0"/>
        <w:autoSpaceDN w:val="0"/>
        <w:adjustRightInd w:val="0"/>
        <w:rPr>
          <w:color w:val="000000"/>
        </w:rPr>
      </w:pPr>
      <w:r w:rsidRPr="00D84B6E">
        <w:rPr>
          <w:color w:val="000000"/>
        </w:rPr>
        <w:t xml:space="preserve">The </w:t>
      </w:r>
      <w:r w:rsidRPr="00D84B6E">
        <w:rPr>
          <w:strike/>
          <w:color w:val="FF0000"/>
        </w:rPr>
        <w:t>TDD Link Maintenance Statistics subfield</w:t>
      </w:r>
      <w:r w:rsidRPr="00D84B6E">
        <w:rPr>
          <w:color w:val="FF0000"/>
        </w:rPr>
        <w:t xml:space="preserve"> </w:t>
      </w:r>
      <w:r w:rsidRPr="00D84B6E">
        <w:rPr>
          <w:color w:val="FF0000"/>
          <w:u w:val="single"/>
        </w:rPr>
        <w:t>Link Maintenance Statistics Information field</w:t>
      </w:r>
      <w:r w:rsidRPr="00D84B6E">
        <w:rPr>
          <w:color w:val="FF0000"/>
        </w:rPr>
        <w:t xml:space="preserve"> </w:t>
      </w:r>
      <w:r w:rsidRPr="00D84B6E">
        <w:rPr>
          <w:color w:val="000000"/>
        </w:rPr>
        <w:t xml:space="preserve">indicates the capabilities of reporting </w:t>
      </w:r>
      <w:r w:rsidRPr="00D84B6E">
        <w:rPr>
          <w:strike/>
          <w:color w:val="FF0000"/>
        </w:rPr>
        <w:t>TDD rate adaptation 1</w:t>
      </w:r>
      <w:r w:rsidRPr="00D84B6E">
        <w:rPr>
          <w:color w:val="000000"/>
        </w:rPr>
        <w:t xml:space="preserve"> </w:t>
      </w:r>
      <w:r w:rsidRPr="00D84B6E">
        <w:rPr>
          <w:color w:val="FF0000"/>
          <w:u w:val="single"/>
        </w:rPr>
        <w:t>Link</w:t>
      </w:r>
      <w:r w:rsidRPr="00D84B6E">
        <w:rPr>
          <w:color w:val="FF0000"/>
        </w:rPr>
        <w:t xml:space="preserve"> </w:t>
      </w:r>
      <w:r w:rsidRPr="00D84B6E">
        <w:rPr>
          <w:color w:val="000000"/>
        </w:rPr>
        <w:t xml:space="preserve">statistics and is shown in Figure </w:t>
      </w:r>
      <w:r w:rsidR="008E366F">
        <w:rPr>
          <w:color w:val="000000"/>
        </w:rPr>
        <w:t>31</w:t>
      </w:r>
      <w:r w:rsidRPr="00D84B6E">
        <w:rPr>
          <w:color w:val="000000"/>
        </w:rPr>
        <w:t>.</w:t>
      </w:r>
    </w:p>
    <w:p w14:paraId="1201114B" w14:textId="77777777" w:rsidR="008E366F" w:rsidRDefault="008E366F" w:rsidP="00D84B6E">
      <w:pPr>
        <w:widowControl w:val="0"/>
        <w:autoSpaceDE w:val="0"/>
        <w:autoSpaceDN w:val="0"/>
        <w:adjustRightInd w:val="0"/>
        <w:rPr>
          <w:color w:val="000000"/>
        </w:rPr>
      </w:pPr>
    </w:p>
    <w:p w14:paraId="07498557" w14:textId="2A8D11C1" w:rsidR="00D84B6E" w:rsidRDefault="00D84B6E" w:rsidP="00D84B6E">
      <w:pPr>
        <w:widowControl w:val="0"/>
        <w:autoSpaceDE w:val="0"/>
        <w:autoSpaceDN w:val="0"/>
        <w:adjustRightInd w:val="0"/>
        <w:rPr>
          <w:color w:val="000000"/>
        </w:rPr>
      </w:pPr>
    </w:p>
    <w:p w14:paraId="44D80B55" w14:textId="1322D41B"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Figure </w:t>
      </w:r>
      <w:r w:rsidR="00B10B43">
        <w:rPr>
          <w:rFonts w:ascii="Arial-BoldMT" w:hAnsi="Arial-BoldMT" w:cs="Arial-BoldMT"/>
          <w:b/>
          <w:bCs/>
          <w:i/>
          <w:sz w:val="24"/>
          <w:szCs w:val="24"/>
          <w:lang w:val="en-US" w:eastAsia="zh-CN"/>
        </w:rPr>
        <w:t>31</w:t>
      </w:r>
      <w:r>
        <w:rPr>
          <w:rFonts w:ascii="Arial-BoldMT" w:hAnsi="Arial-BoldMT" w:cs="Arial-BoldMT"/>
          <w:b/>
          <w:bCs/>
          <w:i/>
          <w:sz w:val="24"/>
          <w:szCs w:val="24"/>
          <w:lang w:val="en-US" w:eastAsia="zh-CN"/>
        </w:rPr>
        <w:t xml:space="preserve"> </w:t>
      </w:r>
      <w:r w:rsidR="00297FC9">
        <w:rPr>
          <w:rFonts w:ascii="Arial-BoldMT" w:hAnsi="Arial-BoldMT" w:cs="Arial-BoldMT"/>
          <w:b/>
          <w:bCs/>
          <w:i/>
          <w:sz w:val="24"/>
          <w:szCs w:val="24"/>
          <w:lang w:val="en-US" w:eastAsia="zh-CN"/>
        </w:rPr>
        <w:t xml:space="preserve">and Figure name </w:t>
      </w:r>
      <w:r>
        <w:rPr>
          <w:rFonts w:ascii="Arial-BoldMT" w:hAnsi="Arial-BoldMT" w:cs="Arial-BoldMT"/>
          <w:b/>
          <w:bCs/>
          <w:i/>
          <w:sz w:val="24"/>
          <w:szCs w:val="24"/>
          <w:lang w:val="en-US" w:eastAsia="zh-CN"/>
        </w:rPr>
        <w:t>with the following(</w:t>
      </w:r>
      <w:r w:rsidR="005C37EB">
        <w:rPr>
          <w:rFonts w:ascii="Arial-BoldMT" w:hAnsi="Arial-BoldMT" w:cs="Arial-BoldMT"/>
          <w:b/>
          <w:bCs/>
          <w:i/>
          <w:sz w:val="24"/>
          <w:szCs w:val="24"/>
          <w:lang w:val="en-US" w:eastAsia="zh-CN"/>
        </w:rPr>
        <w:t>Draft2.</w:t>
      </w:r>
      <w:r w:rsidR="000F5392">
        <w:rPr>
          <w:rFonts w:ascii="Arial-BoldMT" w:hAnsi="Arial-BoldMT" w:cs="Arial-BoldMT"/>
          <w:b/>
          <w:bCs/>
          <w:i/>
          <w:sz w:val="24"/>
          <w:szCs w:val="24"/>
          <w:lang w:val="en-US" w:eastAsia="zh-CN"/>
        </w:rPr>
        <w:t>2</w:t>
      </w:r>
      <w:r w:rsidR="005C37EB">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w:t>
      </w:r>
      <w:r w:rsidR="005C37EB">
        <w:rPr>
          <w:rFonts w:ascii="Arial-BoldMT" w:hAnsi="Arial-BoldMT" w:cs="Arial-BoldMT"/>
          <w:b/>
          <w:bCs/>
          <w:i/>
          <w:sz w:val="24"/>
          <w:szCs w:val="24"/>
          <w:lang w:val="en-US" w:eastAsia="zh-CN"/>
        </w:rPr>
        <w:t>102</w:t>
      </w:r>
      <w:r>
        <w:rPr>
          <w:rFonts w:ascii="Arial-BoldMT" w:hAnsi="Arial-BoldMT" w:cs="Arial-BoldMT"/>
          <w:b/>
          <w:bCs/>
          <w:i/>
          <w:sz w:val="24"/>
          <w:szCs w:val="24"/>
          <w:lang w:val="en-US" w:eastAsia="zh-CN"/>
        </w:rPr>
        <w:t>L</w:t>
      </w:r>
      <w:r w:rsidR="005C37EB">
        <w:rPr>
          <w:rFonts w:ascii="Arial-BoldMT" w:hAnsi="Arial-BoldMT" w:cs="Arial-BoldMT"/>
          <w:b/>
          <w:bCs/>
          <w:i/>
          <w:sz w:val="24"/>
          <w:szCs w:val="24"/>
          <w:lang w:val="en-US" w:eastAsia="zh-CN"/>
        </w:rPr>
        <w:t>10</w:t>
      </w:r>
      <w:r>
        <w:rPr>
          <w:rFonts w:ascii="Arial-BoldMT" w:hAnsi="Arial-BoldMT" w:cs="Arial-BoldMT"/>
          <w:b/>
          <w:bCs/>
          <w:i/>
          <w:sz w:val="24"/>
          <w:szCs w:val="24"/>
          <w:lang w:val="en-US" w:eastAsia="zh-CN"/>
        </w:rPr>
        <w:t>)</w:t>
      </w:r>
    </w:p>
    <w:p w14:paraId="00EEE6F8" w14:textId="217FB442" w:rsidR="00D84B6E" w:rsidRPr="00D84B6E" w:rsidRDefault="00297FC9" w:rsidP="00D84B6E">
      <w:pPr>
        <w:widowControl w:val="0"/>
        <w:autoSpaceDE w:val="0"/>
        <w:autoSpaceDN w:val="0"/>
        <w:adjustRightInd w:val="0"/>
        <w:rPr>
          <w:color w:val="000000"/>
          <w:lang w:val="en-US"/>
        </w:rPr>
      </w:pPr>
      <w:r>
        <w:object w:dxaOrig="20671" w:dyaOrig="2230" w14:anchorId="035343EC">
          <v:shape id="_x0000_i1029" type="#_x0000_t75" style="width:467.15pt;height:50.1pt" o:ole="">
            <v:imagedata r:id="rId18" o:title=""/>
          </v:shape>
          <o:OLEObject Type="Embed" ProgID="Visio.Drawing.11" ShapeID="_x0000_i1029" DrawAspect="Content" ObjectID="_1608559503" r:id="rId19"/>
        </w:object>
      </w:r>
    </w:p>
    <w:p w14:paraId="16D943F3" w14:textId="28108564" w:rsidR="00D84B6E" w:rsidRDefault="00D84B6E" w:rsidP="00D84B6E">
      <w:pPr>
        <w:widowControl w:val="0"/>
        <w:autoSpaceDE w:val="0"/>
        <w:autoSpaceDN w:val="0"/>
        <w:adjustRightInd w:val="0"/>
        <w:rPr>
          <w:color w:val="000000"/>
        </w:rPr>
      </w:pPr>
    </w:p>
    <w:p w14:paraId="010284D2" w14:textId="557D5324" w:rsidR="00297FC9" w:rsidRPr="00297FC9" w:rsidRDefault="00297FC9" w:rsidP="00297FC9">
      <w:pPr>
        <w:autoSpaceDE w:val="0"/>
        <w:autoSpaceDN w:val="0"/>
        <w:adjustRightInd w:val="0"/>
        <w:jc w:val="center"/>
        <w:rPr>
          <w:rFonts w:ascii="Arial" w:hAnsi="Arial" w:cs="Arial"/>
          <w:color w:val="000000"/>
          <w:sz w:val="20"/>
          <w:lang w:val="en-US" w:bidi="he-IL"/>
        </w:rPr>
      </w:pPr>
      <w:r w:rsidRPr="00297FC9">
        <w:rPr>
          <w:rFonts w:ascii="Arial" w:hAnsi="Arial" w:cs="Arial"/>
          <w:b/>
          <w:bCs/>
          <w:color w:val="000000"/>
          <w:sz w:val="20"/>
          <w:lang w:val="en-US" w:bidi="he-IL"/>
        </w:rPr>
        <w:t xml:space="preserve">Figure </w:t>
      </w:r>
      <w:r w:rsidR="00B10B43">
        <w:rPr>
          <w:rFonts w:ascii="Arial" w:hAnsi="Arial" w:cs="Arial"/>
          <w:b/>
          <w:bCs/>
          <w:color w:val="000000"/>
          <w:sz w:val="20"/>
          <w:lang w:val="en-US" w:bidi="he-IL"/>
        </w:rPr>
        <w:t>31</w:t>
      </w:r>
      <w:r w:rsidRPr="00297FC9">
        <w:rPr>
          <w:rFonts w:ascii="Arial" w:hAnsi="Arial" w:cs="Arial"/>
          <w:b/>
          <w:bCs/>
          <w:color w:val="000000"/>
          <w:sz w:val="20"/>
          <w:lang w:val="en-US" w:bidi="he-IL"/>
        </w:rPr>
        <w:t xml:space="preserve"> —</w:t>
      </w:r>
      <w:r w:rsidRPr="00297FC9">
        <w:rPr>
          <w:rFonts w:ascii="Arial" w:hAnsi="Arial" w:cs="Arial"/>
          <w:b/>
          <w:bCs/>
          <w:strike/>
          <w:color w:val="FF0000"/>
          <w:sz w:val="20"/>
          <w:lang w:val="en-US" w:bidi="he-IL"/>
        </w:rPr>
        <w:t>TDD Link Maintenance Statistics subfield</w:t>
      </w:r>
      <w:r w:rsidRPr="00297FC9">
        <w:rPr>
          <w:rFonts w:ascii="Arial" w:hAnsi="Arial" w:cs="Arial"/>
          <w:b/>
          <w:bCs/>
          <w:color w:val="FF0000"/>
          <w:sz w:val="20"/>
          <w:lang w:val="en-US" w:bidi="he-IL"/>
        </w:rPr>
        <w:t xml:space="preserve"> </w:t>
      </w:r>
      <w:r w:rsidRPr="00297FC9">
        <w:rPr>
          <w:rFonts w:ascii="Arial" w:hAnsi="Arial" w:cs="Arial"/>
          <w:b/>
          <w:bCs/>
          <w:color w:val="FF0000"/>
          <w:sz w:val="20"/>
          <w:u w:val="single"/>
          <w:lang w:val="en-US" w:bidi="he-IL"/>
        </w:rPr>
        <w:t>Link Maintenance Statistics Information field</w:t>
      </w:r>
      <w:r w:rsidRPr="00297FC9">
        <w:rPr>
          <w:rFonts w:ascii="Arial" w:hAnsi="Arial" w:cs="Arial"/>
          <w:b/>
          <w:bCs/>
          <w:color w:val="FF0000"/>
          <w:sz w:val="20"/>
          <w:lang w:val="en-US" w:bidi="he-IL"/>
        </w:rPr>
        <w:t xml:space="preserve"> </w:t>
      </w:r>
      <w:r w:rsidRPr="00297FC9">
        <w:rPr>
          <w:rFonts w:ascii="Arial" w:hAnsi="Arial" w:cs="Arial"/>
          <w:b/>
          <w:bCs/>
          <w:color w:val="000000"/>
          <w:sz w:val="20"/>
          <w:lang w:val="en-US" w:bidi="he-IL"/>
        </w:rPr>
        <w:t>format</w:t>
      </w:r>
    </w:p>
    <w:p w14:paraId="1CDA0514" w14:textId="134CBEB4" w:rsidR="00D84B6E" w:rsidRDefault="00D84B6E" w:rsidP="00D84B6E">
      <w:pPr>
        <w:widowControl w:val="0"/>
        <w:autoSpaceDE w:val="0"/>
        <w:autoSpaceDN w:val="0"/>
        <w:adjustRightInd w:val="0"/>
        <w:rPr>
          <w:color w:val="000000"/>
          <w:lang w:val="en-US"/>
        </w:rPr>
      </w:pPr>
    </w:p>
    <w:p w14:paraId="023CAAA1" w14:textId="6C6A8E8B" w:rsidR="00297FC9" w:rsidRDefault="00297FC9" w:rsidP="00D84B6E">
      <w:pPr>
        <w:widowControl w:val="0"/>
        <w:autoSpaceDE w:val="0"/>
        <w:autoSpaceDN w:val="0"/>
        <w:adjustRightInd w:val="0"/>
        <w:rPr>
          <w:color w:val="000000"/>
          <w:lang w:val="en-US"/>
        </w:rPr>
      </w:pPr>
    </w:p>
    <w:p w14:paraId="164CD142" w14:textId="5722DA5A" w:rsidR="00297FC9" w:rsidRDefault="00297FC9" w:rsidP="00297FC9">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Edit Section 10.44.5 (P3</w:t>
      </w:r>
      <w:r w:rsidR="004F755A">
        <w:rPr>
          <w:rFonts w:ascii="Arial-BoldMT" w:hAnsi="Arial-BoldMT" w:cs="Arial-BoldMT"/>
          <w:b/>
          <w:bCs/>
          <w:i/>
          <w:sz w:val="24"/>
          <w:szCs w:val="24"/>
          <w:lang w:val="en-US" w:eastAsia="zh-CN"/>
        </w:rPr>
        <w:t>23</w:t>
      </w:r>
      <w:r>
        <w:rPr>
          <w:rFonts w:ascii="Arial-BoldMT" w:hAnsi="Arial-BoldMT" w:cs="Arial-BoldMT"/>
          <w:b/>
          <w:bCs/>
          <w:i/>
          <w:sz w:val="24"/>
          <w:szCs w:val="24"/>
          <w:lang w:val="en-US" w:eastAsia="zh-CN"/>
        </w:rPr>
        <w:t>L</w:t>
      </w:r>
      <w:r w:rsidR="004F755A">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72551CF0" w14:textId="3A5B7A4F" w:rsidR="00297FC9" w:rsidRPr="00297FC9" w:rsidRDefault="00297FC9" w:rsidP="00297FC9">
      <w:pPr>
        <w:autoSpaceDE w:val="0"/>
        <w:autoSpaceDN w:val="0"/>
        <w:adjustRightInd w:val="0"/>
        <w:rPr>
          <w:color w:val="000000"/>
          <w:sz w:val="24"/>
          <w:szCs w:val="24"/>
          <w:lang w:val="en-US" w:bidi="he-IL"/>
        </w:rPr>
      </w:pPr>
      <w:r w:rsidRPr="00297FC9">
        <w:rPr>
          <w:rFonts w:ascii="Arial" w:hAnsi="Arial" w:cs="Arial"/>
          <w:b/>
          <w:bCs/>
          <w:color w:val="000000"/>
          <w:szCs w:val="22"/>
          <w:lang w:val="en-US" w:bidi="he-IL"/>
        </w:rPr>
        <w:t xml:space="preserve">10.44.5 </w:t>
      </w:r>
      <w:r w:rsidRPr="00297FC9">
        <w:rPr>
          <w:rFonts w:ascii="Arial" w:hAnsi="Arial" w:cs="Arial"/>
          <w:b/>
          <w:bCs/>
          <w:strike/>
          <w:color w:val="FF0000"/>
          <w:szCs w:val="22"/>
          <w:lang w:val="en-US" w:bidi="he-IL"/>
        </w:rPr>
        <w:t>TDD</w:t>
      </w:r>
      <w:r w:rsidRPr="00297FC9">
        <w:rPr>
          <w:rFonts w:ascii="Arial" w:hAnsi="Arial" w:cs="Arial"/>
          <w:b/>
          <w:bCs/>
          <w:color w:val="FF0000"/>
          <w:szCs w:val="22"/>
          <w:lang w:val="en-US" w:bidi="he-IL"/>
        </w:rPr>
        <w:t xml:space="preserve"> </w:t>
      </w:r>
      <w:r w:rsidRPr="00297FC9">
        <w:rPr>
          <w:rFonts w:ascii="Arial" w:hAnsi="Arial" w:cs="Arial"/>
          <w:b/>
          <w:bCs/>
          <w:strike/>
          <w:color w:val="FF0000"/>
          <w:szCs w:val="22"/>
          <w:u w:val="single"/>
          <w:lang w:val="en-US" w:bidi="he-IL"/>
        </w:rPr>
        <w:t>l</w:t>
      </w:r>
      <w:r w:rsidRPr="00297FC9">
        <w:rPr>
          <w:rFonts w:ascii="Arial" w:hAnsi="Arial" w:cs="Arial"/>
          <w:b/>
          <w:bCs/>
          <w:strike/>
          <w:color w:val="FF0000"/>
          <w:szCs w:val="22"/>
          <w:lang w:val="en-US" w:bidi="he-IL"/>
        </w:rPr>
        <w:t>ink</w:t>
      </w:r>
      <w:r w:rsidRPr="00297FC9">
        <w:rPr>
          <w:rFonts w:ascii="Arial" w:hAnsi="Arial" w:cs="Arial"/>
          <w:b/>
          <w:bCs/>
          <w:color w:val="000000"/>
          <w:szCs w:val="22"/>
          <w:lang w:val="en-US" w:bidi="he-IL"/>
        </w:rPr>
        <w:t xml:space="preserve"> </w:t>
      </w:r>
      <w:proofErr w:type="spellStart"/>
      <w:r w:rsidRPr="00297FC9">
        <w:rPr>
          <w:rFonts w:ascii="Arial" w:hAnsi="Arial" w:cs="Arial"/>
          <w:b/>
          <w:bCs/>
          <w:color w:val="FF0000"/>
          <w:szCs w:val="22"/>
          <w:u w:val="single"/>
          <w:lang w:val="en-US" w:bidi="he-IL"/>
        </w:rPr>
        <w:t>Link</w:t>
      </w:r>
      <w:proofErr w:type="spellEnd"/>
      <w:r w:rsidRPr="00297FC9">
        <w:rPr>
          <w:rFonts w:ascii="Arial" w:hAnsi="Arial" w:cs="Arial"/>
          <w:b/>
          <w:bCs/>
          <w:color w:val="FF0000"/>
          <w:szCs w:val="22"/>
          <w:lang w:val="en-US" w:bidi="he-IL"/>
        </w:rPr>
        <w:t xml:space="preserve"> </w:t>
      </w:r>
      <w:r w:rsidRPr="00297FC9">
        <w:rPr>
          <w:rFonts w:ascii="Arial" w:hAnsi="Arial" w:cs="Arial"/>
          <w:b/>
          <w:bCs/>
          <w:color w:val="000000"/>
          <w:szCs w:val="22"/>
          <w:lang w:val="en-US" w:bidi="he-IL"/>
        </w:rPr>
        <w:t xml:space="preserve">maintenance </w:t>
      </w:r>
      <w:r w:rsidRPr="00297FC9">
        <w:rPr>
          <w:color w:val="000000"/>
          <w:sz w:val="24"/>
          <w:szCs w:val="24"/>
          <w:lang w:val="en-US" w:bidi="he-IL"/>
        </w:rPr>
        <w:t xml:space="preserve"> </w:t>
      </w:r>
    </w:p>
    <w:p w14:paraId="46442629" w14:textId="6E754855" w:rsidR="00297FC9" w:rsidRDefault="00297FC9" w:rsidP="00297FC9">
      <w:pPr>
        <w:autoSpaceDE w:val="0"/>
        <w:autoSpaceDN w:val="0"/>
        <w:adjustRightInd w:val="0"/>
        <w:rPr>
          <w:color w:val="000000"/>
          <w:sz w:val="20"/>
          <w:lang w:val="en-US" w:bidi="he-IL"/>
        </w:rPr>
      </w:pPr>
      <w:r w:rsidRPr="00297FC9">
        <w:rPr>
          <w:color w:val="000000"/>
          <w:sz w:val="20"/>
          <w:lang w:val="en-US" w:bidi="he-IL"/>
        </w:rPr>
        <w:t xml:space="preserve">A STA indicates support for </w:t>
      </w:r>
      <w:r w:rsidRPr="00297FC9">
        <w:rPr>
          <w:strike/>
          <w:color w:val="FF0000"/>
          <w:sz w:val="20"/>
          <w:lang w:val="en-US" w:bidi="he-IL"/>
        </w:rPr>
        <w:t>TDD link</w:t>
      </w:r>
      <w:r w:rsidRPr="00297FC9">
        <w:rPr>
          <w:color w:val="FF0000"/>
          <w:sz w:val="20"/>
          <w:lang w:val="en-US" w:bidi="he-IL"/>
        </w:rPr>
        <w:t xml:space="preserve"> </w:t>
      </w:r>
      <w:proofErr w:type="spellStart"/>
      <w:r w:rsidRPr="00297FC9">
        <w:rPr>
          <w:color w:val="FF0000"/>
          <w:sz w:val="20"/>
          <w:u w:val="single"/>
          <w:lang w:val="en-US" w:bidi="he-IL"/>
        </w:rPr>
        <w:t>Link</w:t>
      </w:r>
      <w:proofErr w:type="spellEnd"/>
      <w:r>
        <w:rPr>
          <w:color w:val="FF0000"/>
          <w:sz w:val="20"/>
          <w:lang w:val="en-US" w:bidi="he-IL"/>
        </w:rPr>
        <w:t xml:space="preserve"> </w:t>
      </w:r>
      <w:r w:rsidRPr="00297FC9">
        <w:rPr>
          <w:color w:val="000000"/>
          <w:sz w:val="20"/>
          <w:lang w:val="en-US" w:bidi="he-IL"/>
        </w:rPr>
        <w:t xml:space="preserve">maintenance by setting the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Statistics field within the STA’s DMG Capabilities element to a nonzero value. A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shall not initiate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as specified below, with a peer STA that does not support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 xml:space="preserve">link maintenance. </w:t>
      </w:r>
    </w:p>
    <w:p w14:paraId="4EBD78BB" w14:textId="77777777" w:rsidR="00297FC9" w:rsidRPr="00297FC9" w:rsidRDefault="00297FC9" w:rsidP="00297FC9">
      <w:pPr>
        <w:autoSpaceDE w:val="0"/>
        <w:autoSpaceDN w:val="0"/>
        <w:adjustRightInd w:val="0"/>
        <w:rPr>
          <w:color w:val="000000"/>
          <w:szCs w:val="22"/>
          <w:lang w:val="en-US" w:bidi="he-IL"/>
        </w:rPr>
      </w:pPr>
    </w:p>
    <w:p w14:paraId="3F78E037" w14:textId="7C26201F" w:rsidR="00297FC9" w:rsidRDefault="00297FC9" w:rsidP="00297FC9">
      <w:pPr>
        <w:autoSpaceDE w:val="0"/>
        <w:autoSpaceDN w:val="0"/>
        <w:adjustRightInd w:val="0"/>
        <w:rPr>
          <w:color w:val="000000"/>
          <w:sz w:val="20"/>
          <w:lang w:val="en-US" w:bidi="he-IL"/>
        </w:rPr>
      </w:pPr>
      <w:r w:rsidRPr="00297FC9">
        <w:rPr>
          <w:color w:val="000000"/>
          <w:sz w:val="20"/>
          <w:lang w:val="en-US" w:bidi="he-IL"/>
        </w:rPr>
        <w:t xml:space="preserve">The SME of the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link maintenance shall use the PLME-</w:t>
      </w:r>
      <w:proofErr w:type="spellStart"/>
      <w:r w:rsidRPr="00297FC9">
        <w:rPr>
          <w:color w:val="000000"/>
          <w:sz w:val="20"/>
          <w:lang w:val="en-US" w:bidi="he-IL"/>
        </w:rPr>
        <w:t>MINPAYLOADSTAT.request</w:t>
      </w:r>
      <w:proofErr w:type="spellEnd"/>
      <w:r w:rsidRPr="00297FC9">
        <w:rPr>
          <w:color w:val="000000"/>
          <w:sz w:val="20"/>
          <w:lang w:val="en-US" w:bidi="he-IL"/>
        </w:rPr>
        <w:t xml:space="preserve"> primitive to request the PHY to initiate measurement of signal power of received PPDUs and to compute the receiver statistics as described below. Upon receiving a PLME-</w:t>
      </w:r>
      <w:proofErr w:type="spellStart"/>
      <w:r w:rsidRPr="00297FC9">
        <w:rPr>
          <w:color w:val="000000"/>
          <w:sz w:val="20"/>
          <w:lang w:val="en-US" w:bidi="he-IL"/>
        </w:rPr>
        <w:t>MINPAYLOADSTAT.request</w:t>
      </w:r>
      <w:proofErr w:type="spellEnd"/>
      <w:r w:rsidRPr="00297FC9">
        <w:rPr>
          <w:color w:val="000000"/>
          <w:sz w:val="20"/>
          <w:lang w:val="en-US" w:bidi="he-IL"/>
        </w:rPr>
        <w:t xml:space="preserve"> primitive, the PHY shall use the parameter PSDU_MIN_LENGTH of the primitive to start the measurements and shall respond to the MAC with a PLME-</w:t>
      </w:r>
      <w:proofErr w:type="spellStart"/>
      <w:r w:rsidRPr="00297FC9">
        <w:rPr>
          <w:color w:val="000000"/>
          <w:sz w:val="20"/>
          <w:lang w:val="en-US" w:bidi="he-IL"/>
        </w:rPr>
        <w:t>MINPAYLOADSTAT.confirm</w:t>
      </w:r>
      <w:proofErr w:type="spellEnd"/>
      <w:r w:rsidRPr="00297FC9">
        <w:rPr>
          <w:color w:val="000000"/>
          <w:sz w:val="20"/>
          <w:lang w:val="en-US" w:bidi="he-IL"/>
        </w:rPr>
        <w:t xml:space="preserve"> primitive.</w:t>
      </w:r>
    </w:p>
    <w:p w14:paraId="5DAB3F3E" w14:textId="77777777" w:rsidR="00297FC9" w:rsidRPr="00297FC9" w:rsidRDefault="00297FC9" w:rsidP="00297FC9">
      <w:pPr>
        <w:autoSpaceDE w:val="0"/>
        <w:autoSpaceDN w:val="0"/>
        <w:adjustRightInd w:val="0"/>
        <w:rPr>
          <w:color w:val="000000"/>
          <w:szCs w:val="22"/>
          <w:lang w:val="en-US" w:bidi="he-IL"/>
        </w:rPr>
      </w:pPr>
    </w:p>
    <w:p w14:paraId="4EEB6335" w14:textId="1369AC45" w:rsidR="00297FC9" w:rsidRPr="00297FC9" w:rsidRDefault="00297FC9" w:rsidP="00297FC9">
      <w:pPr>
        <w:widowControl w:val="0"/>
        <w:autoSpaceDE w:val="0"/>
        <w:autoSpaceDN w:val="0"/>
        <w:adjustRightInd w:val="0"/>
        <w:rPr>
          <w:color w:val="000000"/>
          <w:lang w:val="en-US"/>
        </w:rPr>
      </w:pPr>
      <w:r w:rsidRPr="00297FC9">
        <w:rPr>
          <w:color w:val="000000"/>
          <w:sz w:val="20"/>
          <w:lang w:val="en-US" w:bidi="he-IL"/>
        </w:rPr>
        <w:t xml:space="preserve">A STA that supports </w:t>
      </w:r>
      <w:r w:rsidRPr="00297FC9">
        <w:rPr>
          <w:strike/>
          <w:color w:val="FF0000"/>
          <w:sz w:val="20"/>
          <w:lang w:val="en-US" w:bidi="he-IL"/>
        </w:rPr>
        <w:t>TDD</w:t>
      </w:r>
      <w:r w:rsidRPr="00297FC9">
        <w:rPr>
          <w:color w:val="FF0000"/>
          <w:sz w:val="20"/>
          <w:lang w:val="en-US" w:bidi="he-IL"/>
        </w:rPr>
        <w:t xml:space="preserve"> </w:t>
      </w:r>
      <w:r w:rsidRPr="00297FC9">
        <w:rPr>
          <w:color w:val="000000"/>
          <w:sz w:val="20"/>
          <w:lang w:val="en-US" w:bidi="he-IL"/>
        </w:rPr>
        <w:t>link maintenance and that receives a Link Measurement Request frame shall include a DMG Link Margin element in a transmitted Link Measurement Report frame. The STA shall perform the link statistics measurements and set the DMG Link Margin element according to the following rules:</w:t>
      </w:r>
    </w:p>
    <w:p w14:paraId="1CF6D863" w14:textId="2002CBD9" w:rsidR="00D84B6E" w:rsidRDefault="00D84B6E" w:rsidP="00D84B6E">
      <w:pPr>
        <w:widowControl w:val="0"/>
        <w:autoSpaceDE w:val="0"/>
        <w:autoSpaceDN w:val="0"/>
        <w:adjustRightInd w:val="0"/>
        <w:rPr>
          <w:color w:val="000000"/>
        </w:rPr>
      </w:pPr>
    </w:p>
    <w:p w14:paraId="30BD07F6" w14:textId="77777777" w:rsidR="00FA6C85" w:rsidRDefault="00FA6C85">
      <w:pPr>
        <w:rPr>
          <w:b/>
          <w:bCs/>
          <w:color w:val="000000"/>
        </w:rPr>
      </w:pPr>
      <w:r>
        <w:rPr>
          <w:b/>
          <w:bCs/>
          <w:color w:val="000000"/>
        </w:rPr>
        <w:br w:type="page"/>
      </w:r>
    </w:p>
    <w:p w14:paraId="2E15F361" w14:textId="1B268B5C" w:rsidR="00FA6C85" w:rsidRDefault="00FA6C85">
      <w:pPr>
        <w:rPr>
          <w:color w:val="000000"/>
        </w:rPr>
      </w:pPr>
      <w:r w:rsidRPr="00FA6C85">
        <w:rPr>
          <w:b/>
          <w:bCs/>
          <w:color w:val="000000"/>
        </w:rPr>
        <w:lastRenderedPageBreak/>
        <w:t>Discussion</w:t>
      </w:r>
      <w:r>
        <w:rPr>
          <w:color w:val="000000"/>
        </w:rPr>
        <w:t xml:space="preserve">: </w:t>
      </w:r>
      <w:r w:rsidRPr="00FA6C85">
        <w:rPr>
          <w:color w:val="000000"/>
        </w:rPr>
        <w:t>DMG Link Margin element</w:t>
      </w:r>
      <w:r>
        <w:rPr>
          <w:color w:val="000000"/>
        </w:rPr>
        <w:t xml:space="preserve"> includes EDMG TPC field which generates an issue since DMG is required to support EDMG field. Renamed as </w:t>
      </w:r>
      <w:proofErr w:type="spellStart"/>
      <w:r>
        <w:rPr>
          <w:color w:val="000000"/>
        </w:rPr>
        <w:t>Entended</w:t>
      </w:r>
      <w:proofErr w:type="spellEnd"/>
      <w:r>
        <w:rPr>
          <w:color w:val="000000"/>
        </w:rPr>
        <w:t xml:space="preserve"> TPC.</w:t>
      </w:r>
    </w:p>
    <w:p w14:paraId="69F224DE" w14:textId="77777777" w:rsidR="00FA6C85" w:rsidRDefault="00FA6C85">
      <w:pPr>
        <w:rPr>
          <w:color w:val="000000"/>
        </w:rPr>
      </w:pPr>
    </w:p>
    <w:p w14:paraId="097D5A94" w14:textId="11C94895" w:rsidR="00FA6C85" w:rsidRDefault="00FA6C85" w:rsidP="00FA6C85">
      <w:pPr>
        <w:widowControl w:val="0"/>
        <w:autoSpaceDE w:val="0"/>
        <w:autoSpaceDN w:val="0"/>
        <w:adjustRightInd w:val="0"/>
        <w:outlineLvl w:val="0"/>
        <w:rPr>
          <w:rFonts w:ascii="Arial-BoldMT" w:hAnsi="Arial-BoldMT" w:cs="Arial-BoldMT"/>
          <w:b/>
          <w:bCs/>
          <w:i/>
          <w:sz w:val="24"/>
          <w:szCs w:val="24"/>
          <w:lang w:val="en-US" w:eastAsia="zh-CN"/>
        </w:rPr>
      </w:pPr>
      <w:proofErr w:type="gramStart"/>
      <w:r w:rsidRPr="002F43A3">
        <w:rPr>
          <w:rFonts w:ascii="Arial-BoldMT" w:hAnsi="Arial-BoldMT" w:cs="Arial-BoldMT"/>
          <w:b/>
          <w:bCs/>
          <w:i/>
          <w:sz w:val="24"/>
          <w:szCs w:val="24"/>
          <w:lang w:val="en-US" w:eastAsia="zh-CN"/>
        </w:rPr>
        <w:t>TGay  Editor</w:t>
      </w:r>
      <w:proofErr w:type="gramEnd"/>
      <w:r w:rsidRPr="002F43A3">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Replace </w:t>
      </w:r>
      <w:r w:rsidR="00C437E9">
        <w:rPr>
          <w:rFonts w:ascii="Arial-BoldMT" w:hAnsi="Arial-BoldMT" w:cs="Arial-BoldMT"/>
          <w:b/>
          <w:bCs/>
          <w:i/>
          <w:sz w:val="24"/>
          <w:szCs w:val="24"/>
          <w:lang w:val="en-US" w:eastAsia="zh-CN"/>
        </w:rPr>
        <w:t>in all places:</w:t>
      </w:r>
    </w:p>
    <w:p w14:paraId="71F2470E" w14:textId="7B667C51" w:rsidR="00C437E9" w:rsidRDefault="00C437E9" w:rsidP="00C437E9">
      <w:pPr>
        <w:rPr>
          <w:color w:val="000000"/>
        </w:rPr>
      </w:pPr>
      <w:r w:rsidRPr="00C437E9">
        <w:rPr>
          <w:color w:val="000000"/>
        </w:rPr>
        <w:t xml:space="preserve">EDMG TPC   -- </w:t>
      </w:r>
      <w:proofErr w:type="gramStart"/>
      <w:r w:rsidRPr="00C437E9">
        <w:rPr>
          <w:color w:val="000000"/>
        </w:rPr>
        <w:t>&gt;  Extended</w:t>
      </w:r>
      <w:proofErr w:type="gramEnd"/>
      <w:r w:rsidRPr="00C437E9">
        <w:rPr>
          <w:color w:val="000000"/>
        </w:rPr>
        <w:t xml:space="preserve"> TPC</w:t>
      </w:r>
    </w:p>
    <w:p w14:paraId="25BC2092" w14:textId="3D3A3F4E" w:rsidR="00496226" w:rsidRDefault="00496226" w:rsidP="00C437E9">
      <w:pPr>
        <w:rPr>
          <w:color w:val="000000"/>
        </w:rPr>
      </w:pPr>
    </w:p>
    <w:p w14:paraId="7E9B6B00" w14:textId="2B64CCC6" w:rsidR="00496226" w:rsidRDefault="00496226" w:rsidP="00C437E9">
      <w:pPr>
        <w:rPr>
          <w:color w:val="000000"/>
        </w:rPr>
      </w:pPr>
    </w:p>
    <w:sectPr w:rsidR="00496226">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25FB" w14:textId="77777777" w:rsidR="004F1FB4" w:rsidRDefault="004F1FB4">
      <w:r>
        <w:separator/>
      </w:r>
    </w:p>
  </w:endnote>
  <w:endnote w:type="continuationSeparator" w:id="0">
    <w:p w14:paraId="1F532843" w14:textId="77777777" w:rsidR="004F1FB4" w:rsidRDefault="004F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F46A97">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D2DF" w14:textId="77777777" w:rsidR="004F1FB4" w:rsidRDefault="004F1FB4">
      <w:r>
        <w:separator/>
      </w:r>
    </w:p>
  </w:footnote>
  <w:footnote w:type="continuationSeparator" w:id="0">
    <w:p w14:paraId="1AA0FD55" w14:textId="77777777" w:rsidR="004F1FB4" w:rsidRDefault="004F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57236328" w:rsidR="000E0793" w:rsidRDefault="00A259CA">
    <w:pPr>
      <w:pStyle w:val="Header"/>
      <w:tabs>
        <w:tab w:val="clear" w:pos="6480"/>
        <w:tab w:val="center" w:pos="4680"/>
        <w:tab w:val="right" w:pos="9360"/>
      </w:tabs>
    </w:pPr>
    <w:r>
      <w:t>January 2019</w:t>
    </w:r>
    <w:r w:rsidR="000E0793">
      <w:tab/>
    </w:r>
    <w:r w:rsidR="000E0793">
      <w:tab/>
    </w:r>
    <w:r w:rsidR="00F46A97">
      <w:fldChar w:fldCharType="begin"/>
    </w:r>
    <w:r w:rsidR="00F46A97">
      <w:instrText xml:space="preserve"> TITLE  \* MERGEFORMAT </w:instrText>
    </w:r>
    <w:r w:rsidR="00F46A97">
      <w:fldChar w:fldCharType="separate"/>
    </w:r>
    <w:r w:rsidR="009B6DAD">
      <w:t>doc.: IEEE 802.11-18/</w:t>
    </w:r>
    <w:r w:rsidR="009162E6">
      <w:t>2079</w:t>
    </w:r>
    <w:r w:rsidR="009B6DAD">
      <w:t>r</w:t>
    </w:r>
    <w:r w:rsidR="00F46A97">
      <w:fldChar w:fldCharType="end"/>
    </w:r>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2AFB"/>
    <w:rsid w:val="000436AC"/>
    <w:rsid w:val="000509E6"/>
    <w:rsid w:val="00051861"/>
    <w:rsid w:val="00052CDA"/>
    <w:rsid w:val="00057546"/>
    <w:rsid w:val="000641C1"/>
    <w:rsid w:val="00067D04"/>
    <w:rsid w:val="00072A37"/>
    <w:rsid w:val="000771C7"/>
    <w:rsid w:val="00077F5F"/>
    <w:rsid w:val="00086101"/>
    <w:rsid w:val="00086E31"/>
    <w:rsid w:val="00090D80"/>
    <w:rsid w:val="0009459F"/>
    <w:rsid w:val="000A264B"/>
    <w:rsid w:val="000A3ADD"/>
    <w:rsid w:val="000B454A"/>
    <w:rsid w:val="000C02E5"/>
    <w:rsid w:val="000C3D51"/>
    <w:rsid w:val="000D2103"/>
    <w:rsid w:val="000D38C4"/>
    <w:rsid w:val="000D5D7B"/>
    <w:rsid w:val="000E0793"/>
    <w:rsid w:val="000E307E"/>
    <w:rsid w:val="000E58D6"/>
    <w:rsid w:val="000F181D"/>
    <w:rsid w:val="000F5392"/>
    <w:rsid w:val="00100E11"/>
    <w:rsid w:val="00104B5A"/>
    <w:rsid w:val="00112C74"/>
    <w:rsid w:val="0011783C"/>
    <w:rsid w:val="00120F2D"/>
    <w:rsid w:val="0013192E"/>
    <w:rsid w:val="00142EB8"/>
    <w:rsid w:val="001438E8"/>
    <w:rsid w:val="00146351"/>
    <w:rsid w:val="00157F26"/>
    <w:rsid w:val="001643D6"/>
    <w:rsid w:val="00166474"/>
    <w:rsid w:val="0019196C"/>
    <w:rsid w:val="00197576"/>
    <w:rsid w:val="001A0C6F"/>
    <w:rsid w:val="001A192F"/>
    <w:rsid w:val="001B602B"/>
    <w:rsid w:val="001C55D2"/>
    <w:rsid w:val="001D0758"/>
    <w:rsid w:val="001D141F"/>
    <w:rsid w:val="001D723B"/>
    <w:rsid w:val="001E3A3B"/>
    <w:rsid w:val="001E6B55"/>
    <w:rsid w:val="00200BC8"/>
    <w:rsid w:val="00214FD7"/>
    <w:rsid w:val="00222A64"/>
    <w:rsid w:val="00243A88"/>
    <w:rsid w:val="0024723F"/>
    <w:rsid w:val="00253AD5"/>
    <w:rsid w:val="00261D7D"/>
    <w:rsid w:val="00262A5C"/>
    <w:rsid w:val="00264552"/>
    <w:rsid w:val="00264ECD"/>
    <w:rsid w:val="00270A8C"/>
    <w:rsid w:val="00271132"/>
    <w:rsid w:val="00272BD4"/>
    <w:rsid w:val="00274F03"/>
    <w:rsid w:val="002820F8"/>
    <w:rsid w:val="002860A5"/>
    <w:rsid w:val="0029020B"/>
    <w:rsid w:val="00290927"/>
    <w:rsid w:val="0029691B"/>
    <w:rsid w:val="00297FC9"/>
    <w:rsid w:val="002A0CD6"/>
    <w:rsid w:val="002A2D0A"/>
    <w:rsid w:val="002A6B17"/>
    <w:rsid w:val="002A6F20"/>
    <w:rsid w:val="002B3C95"/>
    <w:rsid w:val="002C033F"/>
    <w:rsid w:val="002C0800"/>
    <w:rsid w:val="002D3CCB"/>
    <w:rsid w:val="002D44BE"/>
    <w:rsid w:val="002D7D0B"/>
    <w:rsid w:val="002E5ACD"/>
    <w:rsid w:val="002F3C48"/>
    <w:rsid w:val="002F3E78"/>
    <w:rsid w:val="002F43A3"/>
    <w:rsid w:val="00311699"/>
    <w:rsid w:val="00312431"/>
    <w:rsid w:val="003221A6"/>
    <w:rsid w:val="00343E67"/>
    <w:rsid w:val="00370D61"/>
    <w:rsid w:val="00372BB3"/>
    <w:rsid w:val="00382877"/>
    <w:rsid w:val="00382D45"/>
    <w:rsid w:val="00385E90"/>
    <w:rsid w:val="00395AAC"/>
    <w:rsid w:val="003A3DAA"/>
    <w:rsid w:val="003B7E31"/>
    <w:rsid w:val="003C2D96"/>
    <w:rsid w:val="003C492A"/>
    <w:rsid w:val="003C5D0D"/>
    <w:rsid w:val="003C6439"/>
    <w:rsid w:val="003D26C5"/>
    <w:rsid w:val="003E49EE"/>
    <w:rsid w:val="003E51C2"/>
    <w:rsid w:val="003E6362"/>
    <w:rsid w:val="003E7E3F"/>
    <w:rsid w:val="003F1254"/>
    <w:rsid w:val="003F446F"/>
    <w:rsid w:val="003F7AE2"/>
    <w:rsid w:val="00405F40"/>
    <w:rsid w:val="004334D0"/>
    <w:rsid w:val="00433BF4"/>
    <w:rsid w:val="00442037"/>
    <w:rsid w:val="004467A8"/>
    <w:rsid w:val="00450947"/>
    <w:rsid w:val="00452B17"/>
    <w:rsid w:val="0045772D"/>
    <w:rsid w:val="004918DB"/>
    <w:rsid w:val="00494007"/>
    <w:rsid w:val="004946A7"/>
    <w:rsid w:val="00496226"/>
    <w:rsid w:val="004A2ED5"/>
    <w:rsid w:val="004B064B"/>
    <w:rsid w:val="004B566B"/>
    <w:rsid w:val="004C36F4"/>
    <w:rsid w:val="004D4B32"/>
    <w:rsid w:val="004E0034"/>
    <w:rsid w:val="004E1F55"/>
    <w:rsid w:val="004F03D3"/>
    <w:rsid w:val="004F1FB4"/>
    <w:rsid w:val="004F3A55"/>
    <w:rsid w:val="004F6888"/>
    <w:rsid w:val="004F755A"/>
    <w:rsid w:val="00507A3E"/>
    <w:rsid w:val="00507BD7"/>
    <w:rsid w:val="005115B4"/>
    <w:rsid w:val="00523265"/>
    <w:rsid w:val="00537F72"/>
    <w:rsid w:val="00546FA1"/>
    <w:rsid w:val="005546B6"/>
    <w:rsid w:val="00561BB9"/>
    <w:rsid w:val="00564670"/>
    <w:rsid w:val="00564E37"/>
    <w:rsid w:val="00573303"/>
    <w:rsid w:val="005835DF"/>
    <w:rsid w:val="005856AD"/>
    <w:rsid w:val="005869AF"/>
    <w:rsid w:val="00593822"/>
    <w:rsid w:val="00595BFF"/>
    <w:rsid w:val="005977F8"/>
    <w:rsid w:val="005A28CA"/>
    <w:rsid w:val="005A5A2C"/>
    <w:rsid w:val="005B54B8"/>
    <w:rsid w:val="005C268F"/>
    <w:rsid w:val="005C37EB"/>
    <w:rsid w:val="005C692F"/>
    <w:rsid w:val="005D0B43"/>
    <w:rsid w:val="005D6C83"/>
    <w:rsid w:val="005E0E68"/>
    <w:rsid w:val="005E141C"/>
    <w:rsid w:val="005E2F7B"/>
    <w:rsid w:val="005E688B"/>
    <w:rsid w:val="005E7840"/>
    <w:rsid w:val="005F13C4"/>
    <w:rsid w:val="006015AF"/>
    <w:rsid w:val="00607C11"/>
    <w:rsid w:val="0062110B"/>
    <w:rsid w:val="00621638"/>
    <w:rsid w:val="0062440B"/>
    <w:rsid w:val="00626B9F"/>
    <w:rsid w:val="00630137"/>
    <w:rsid w:val="00631BB8"/>
    <w:rsid w:val="00633A84"/>
    <w:rsid w:val="0064310F"/>
    <w:rsid w:val="00643DD4"/>
    <w:rsid w:val="00650133"/>
    <w:rsid w:val="00650DEA"/>
    <w:rsid w:val="00651DD9"/>
    <w:rsid w:val="0065307E"/>
    <w:rsid w:val="00665B07"/>
    <w:rsid w:val="006677FF"/>
    <w:rsid w:val="00672825"/>
    <w:rsid w:val="00676D9B"/>
    <w:rsid w:val="006803D3"/>
    <w:rsid w:val="00682E7B"/>
    <w:rsid w:val="006A5A9A"/>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5F28"/>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B6BA8"/>
    <w:rsid w:val="007C2DC7"/>
    <w:rsid w:val="007C5F57"/>
    <w:rsid w:val="007D7A9E"/>
    <w:rsid w:val="007E1075"/>
    <w:rsid w:val="007E1E55"/>
    <w:rsid w:val="007F1238"/>
    <w:rsid w:val="00816EE0"/>
    <w:rsid w:val="00822EFA"/>
    <w:rsid w:val="00841B0D"/>
    <w:rsid w:val="00843A5A"/>
    <w:rsid w:val="008477E8"/>
    <w:rsid w:val="00851FD4"/>
    <w:rsid w:val="00853956"/>
    <w:rsid w:val="0086515C"/>
    <w:rsid w:val="00866190"/>
    <w:rsid w:val="00880ED4"/>
    <w:rsid w:val="00882E77"/>
    <w:rsid w:val="008A1FB5"/>
    <w:rsid w:val="008A2C65"/>
    <w:rsid w:val="008A57D1"/>
    <w:rsid w:val="008B0301"/>
    <w:rsid w:val="008B0F32"/>
    <w:rsid w:val="008B3542"/>
    <w:rsid w:val="008B3A42"/>
    <w:rsid w:val="008B3EF1"/>
    <w:rsid w:val="008C3A9B"/>
    <w:rsid w:val="008C3B96"/>
    <w:rsid w:val="008E1B68"/>
    <w:rsid w:val="008E366F"/>
    <w:rsid w:val="008E4DDC"/>
    <w:rsid w:val="008E7D31"/>
    <w:rsid w:val="008F1805"/>
    <w:rsid w:val="0090175B"/>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A0222F"/>
    <w:rsid w:val="00A02C1F"/>
    <w:rsid w:val="00A04416"/>
    <w:rsid w:val="00A13F86"/>
    <w:rsid w:val="00A143B8"/>
    <w:rsid w:val="00A259B6"/>
    <w:rsid w:val="00A259CA"/>
    <w:rsid w:val="00A33EBE"/>
    <w:rsid w:val="00A35F5C"/>
    <w:rsid w:val="00A375E1"/>
    <w:rsid w:val="00A44535"/>
    <w:rsid w:val="00A61A3D"/>
    <w:rsid w:val="00A62766"/>
    <w:rsid w:val="00A660C6"/>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C3857"/>
    <w:rsid w:val="00AC6D87"/>
    <w:rsid w:val="00AC795D"/>
    <w:rsid w:val="00AD6B39"/>
    <w:rsid w:val="00AD7553"/>
    <w:rsid w:val="00AE30FD"/>
    <w:rsid w:val="00AF0164"/>
    <w:rsid w:val="00AF0457"/>
    <w:rsid w:val="00AF7B47"/>
    <w:rsid w:val="00B0410D"/>
    <w:rsid w:val="00B07494"/>
    <w:rsid w:val="00B07D7E"/>
    <w:rsid w:val="00B10B43"/>
    <w:rsid w:val="00B1227A"/>
    <w:rsid w:val="00B126F0"/>
    <w:rsid w:val="00B1521F"/>
    <w:rsid w:val="00B174ED"/>
    <w:rsid w:val="00B40197"/>
    <w:rsid w:val="00B477A7"/>
    <w:rsid w:val="00B62993"/>
    <w:rsid w:val="00B63071"/>
    <w:rsid w:val="00B63589"/>
    <w:rsid w:val="00B66052"/>
    <w:rsid w:val="00B70BA4"/>
    <w:rsid w:val="00B80F99"/>
    <w:rsid w:val="00B821D4"/>
    <w:rsid w:val="00B832BC"/>
    <w:rsid w:val="00B9376F"/>
    <w:rsid w:val="00B96811"/>
    <w:rsid w:val="00BA6CC7"/>
    <w:rsid w:val="00BB63B3"/>
    <w:rsid w:val="00BC0270"/>
    <w:rsid w:val="00BC3B91"/>
    <w:rsid w:val="00BE65CE"/>
    <w:rsid w:val="00BE68C2"/>
    <w:rsid w:val="00BF7697"/>
    <w:rsid w:val="00C0242B"/>
    <w:rsid w:val="00C041D0"/>
    <w:rsid w:val="00C077A1"/>
    <w:rsid w:val="00C15EE6"/>
    <w:rsid w:val="00C16F3D"/>
    <w:rsid w:val="00C22CB7"/>
    <w:rsid w:val="00C315EC"/>
    <w:rsid w:val="00C32B22"/>
    <w:rsid w:val="00C41092"/>
    <w:rsid w:val="00C415B3"/>
    <w:rsid w:val="00C437E9"/>
    <w:rsid w:val="00C52077"/>
    <w:rsid w:val="00C541FA"/>
    <w:rsid w:val="00C7093F"/>
    <w:rsid w:val="00C86428"/>
    <w:rsid w:val="00C8728B"/>
    <w:rsid w:val="00CA01B1"/>
    <w:rsid w:val="00CA09B2"/>
    <w:rsid w:val="00CA5E81"/>
    <w:rsid w:val="00CB0134"/>
    <w:rsid w:val="00CB0E04"/>
    <w:rsid w:val="00CC09DB"/>
    <w:rsid w:val="00CC2CAB"/>
    <w:rsid w:val="00CC353C"/>
    <w:rsid w:val="00CC6D8A"/>
    <w:rsid w:val="00CD0F0B"/>
    <w:rsid w:val="00CE1D26"/>
    <w:rsid w:val="00CE6CEA"/>
    <w:rsid w:val="00CF289E"/>
    <w:rsid w:val="00D12FF9"/>
    <w:rsid w:val="00D136A1"/>
    <w:rsid w:val="00D1771B"/>
    <w:rsid w:val="00D2198A"/>
    <w:rsid w:val="00D36595"/>
    <w:rsid w:val="00D43B28"/>
    <w:rsid w:val="00D43CD3"/>
    <w:rsid w:val="00D46269"/>
    <w:rsid w:val="00D4710D"/>
    <w:rsid w:val="00D558B3"/>
    <w:rsid w:val="00D723A4"/>
    <w:rsid w:val="00D83EB0"/>
    <w:rsid w:val="00D84B6E"/>
    <w:rsid w:val="00D84E0F"/>
    <w:rsid w:val="00D90D32"/>
    <w:rsid w:val="00DA3989"/>
    <w:rsid w:val="00DA4BE5"/>
    <w:rsid w:val="00DC205B"/>
    <w:rsid w:val="00DC5A7B"/>
    <w:rsid w:val="00DC6A98"/>
    <w:rsid w:val="00DD3530"/>
    <w:rsid w:val="00E05B03"/>
    <w:rsid w:val="00E11414"/>
    <w:rsid w:val="00E12375"/>
    <w:rsid w:val="00E16C1F"/>
    <w:rsid w:val="00E2353A"/>
    <w:rsid w:val="00E23DD2"/>
    <w:rsid w:val="00E275A0"/>
    <w:rsid w:val="00E3688E"/>
    <w:rsid w:val="00E475AB"/>
    <w:rsid w:val="00E60089"/>
    <w:rsid w:val="00E64B24"/>
    <w:rsid w:val="00E76EFE"/>
    <w:rsid w:val="00E810F4"/>
    <w:rsid w:val="00E841D2"/>
    <w:rsid w:val="00EA72D6"/>
    <w:rsid w:val="00EC02CD"/>
    <w:rsid w:val="00EC3CF2"/>
    <w:rsid w:val="00EC7A0E"/>
    <w:rsid w:val="00ED4E39"/>
    <w:rsid w:val="00EE5778"/>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757E"/>
    <w:rsid w:val="00F912A6"/>
    <w:rsid w:val="00F96808"/>
    <w:rsid w:val="00FA6435"/>
    <w:rsid w:val="00FA6AD5"/>
    <w:rsid w:val="00FA6C85"/>
    <w:rsid w:val="00FB1B10"/>
    <w:rsid w:val="00FC389E"/>
    <w:rsid w:val="00FC4E94"/>
    <w:rsid w:val="00FC5A35"/>
    <w:rsid w:val="00FD37BF"/>
    <w:rsid w:val="00FD698D"/>
    <w:rsid w:val="00FE39C1"/>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89</TotalTime>
  <Pages>13</Pages>
  <Words>2423</Words>
  <Characters>13203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40</cp:revision>
  <cp:lastPrinted>2017-02-23T01:37:00Z</cp:lastPrinted>
  <dcterms:created xsi:type="dcterms:W3CDTF">2018-12-02T15:23:00Z</dcterms:created>
  <dcterms:modified xsi:type="dcterms:W3CDTF">2019-01-09T15:15:00Z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