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0D7E5" w14:textId="77777777" w:rsidR="00CA09B2" w:rsidRPr="00F320BB" w:rsidRDefault="00CA09B2">
      <w:pPr>
        <w:pStyle w:val="T1"/>
        <w:pBdr>
          <w:bottom w:val="single" w:sz="6" w:space="0" w:color="auto"/>
        </w:pBdr>
        <w:spacing w:after="240"/>
      </w:pPr>
      <w:r w:rsidRPr="00F320BB">
        <w:t>IEEE P802.11</w:t>
      </w:r>
      <w:r w:rsidRPr="00F320B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170"/>
        <w:gridCol w:w="2741"/>
      </w:tblGrid>
      <w:tr w:rsidR="00F320BB" w:rsidRPr="00F320BB" w14:paraId="34759AEE" w14:textId="77777777" w:rsidTr="00897557">
        <w:trPr>
          <w:trHeight w:val="485"/>
          <w:jc w:val="center"/>
        </w:trPr>
        <w:tc>
          <w:tcPr>
            <w:tcW w:w="9576" w:type="dxa"/>
            <w:gridSpan w:val="5"/>
            <w:vAlign w:val="center"/>
          </w:tcPr>
          <w:p w14:paraId="7F672EA6" w14:textId="3BFF7ACA" w:rsidR="00CA09B2" w:rsidRPr="000F196E" w:rsidRDefault="00335D41" w:rsidP="00DB54F4">
            <w:pPr>
              <w:pStyle w:val="T2"/>
              <w:rPr>
                <w:lang w:eastAsia="ko-KR"/>
              </w:rPr>
            </w:pPr>
            <w:r w:rsidRPr="00335D41">
              <w:rPr>
                <w:lang w:eastAsia="ko-KR"/>
              </w:rPr>
              <w:t>Efficient TDD slot schedule mechanism</w:t>
            </w:r>
            <w:r w:rsidR="00545C3A" w:rsidRPr="00545C3A">
              <w:rPr>
                <w:rFonts w:hint="eastAsia"/>
                <w:lang w:eastAsia="ko-KR"/>
              </w:rPr>
              <w:t xml:space="preserve"> </w:t>
            </w:r>
            <w:r w:rsidR="00545C3A">
              <w:rPr>
                <w:rFonts w:hint="eastAsia"/>
                <w:lang w:eastAsia="ko-KR"/>
              </w:rPr>
              <w:t>text</w:t>
            </w:r>
          </w:p>
        </w:tc>
      </w:tr>
      <w:tr w:rsidR="00F320BB" w:rsidRPr="00F320BB" w14:paraId="1583DA3D" w14:textId="77777777" w:rsidTr="00897557">
        <w:trPr>
          <w:trHeight w:val="359"/>
          <w:jc w:val="center"/>
        </w:trPr>
        <w:tc>
          <w:tcPr>
            <w:tcW w:w="9576" w:type="dxa"/>
            <w:gridSpan w:val="5"/>
            <w:vAlign w:val="center"/>
          </w:tcPr>
          <w:p w14:paraId="1EC5636C" w14:textId="67C56261" w:rsidR="00CA09B2" w:rsidRPr="00F320BB" w:rsidRDefault="00CA09B2" w:rsidP="00644FAB">
            <w:pPr>
              <w:pStyle w:val="T2"/>
              <w:ind w:left="0"/>
              <w:rPr>
                <w:sz w:val="20"/>
                <w:lang w:eastAsia="ko-KR"/>
              </w:rPr>
            </w:pPr>
            <w:r w:rsidRPr="00F320BB">
              <w:rPr>
                <w:sz w:val="20"/>
              </w:rPr>
              <w:t>Date:</w:t>
            </w:r>
            <w:r w:rsidRPr="00F320BB">
              <w:rPr>
                <w:b w:val="0"/>
                <w:sz w:val="20"/>
              </w:rPr>
              <w:t xml:space="preserve">  </w:t>
            </w:r>
            <w:r w:rsidR="00F348A3" w:rsidRPr="00F320BB">
              <w:rPr>
                <w:b w:val="0"/>
                <w:sz w:val="20"/>
              </w:rPr>
              <w:t>201</w:t>
            </w:r>
            <w:r w:rsidR="00545C3A">
              <w:rPr>
                <w:b w:val="0"/>
                <w:sz w:val="20"/>
              </w:rPr>
              <w:t>8</w:t>
            </w:r>
            <w:r w:rsidRPr="00F320BB">
              <w:rPr>
                <w:b w:val="0"/>
                <w:sz w:val="20"/>
              </w:rPr>
              <w:t>-</w:t>
            </w:r>
            <w:r w:rsidR="000853CA" w:rsidRPr="00F320BB">
              <w:rPr>
                <w:b w:val="0"/>
                <w:sz w:val="20"/>
              </w:rPr>
              <w:t>0</w:t>
            </w:r>
            <w:r w:rsidR="00335D41">
              <w:rPr>
                <w:rFonts w:hint="eastAsia"/>
                <w:b w:val="0"/>
                <w:sz w:val="20"/>
                <w:lang w:eastAsia="ko-KR"/>
              </w:rPr>
              <w:t>5-10</w:t>
            </w:r>
          </w:p>
        </w:tc>
      </w:tr>
      <w:tr w:rsidR="00F320BB" w:rsidRPr="00F320BB" w14:paraId="12CCC003" w14:textId="77777777" w:rsidTr="00897557">
        <w:trPr>
          <w:cantSplit/>
          <w:jc w:val="center"/>
        </w:trPr>
        <w:tc>
          <w:tcPr>
            <w:tcW w:w="9576" w:type="dxa"/>
            <w:gridSpan w:val="5"/>
            <w:vAlign w:val="center"/>
          </w:tcPr>
          <w:p w14:paraId="7E580BE1" w14:textId="77777777" w:rsidR="00CA09B2" w:rsidRPr="00F320BB" w:rsidRDefault="00CA09B2">
            <w:pPr>
              <w:pStyle w:val="T2"/>
              <w:spacing w:after="0"/>
              <w:ind w:left="0" w:right="0"/>
              <w:jc w:val="left"/>
              <w:rPr>
                <w:sz w:val="20"/>
              </w:rPr>
            </w:pPr>
            <w:r w:rsidRPr="00F320BB">
              <w:rPr>
                <w:sz w:val="20"/>
              </w:rPr>
              <w:t>Author(s):</w:t>
            </w:r>
          </w:p>
        </w:tc>
      </w:tr>
      <w:tr w:rsidR="00F320BB" w:rsidRPr="00F320BB" w14:paraId="1A788879" w14:textId="77777777" w:rsidTr="004518E6">
        <w:trPr>
          <w:jc w:val="center"/>
        </w:trPr>
        <w:tc>
          <w:tcPr>
            <w:tcW w:w="2178" w:type="dxa"/>
            <w:vAlign w:val="center"/>
          </w:tcPr>
          <w:p w14:paraId="53EEDD93" w14:textId="77777777" w:rsidR="00CA09B2" w:rsidRPr="00F320BB" w:rsidRDefault="00CA09B2">
            <w:pPr>
              <w:pStyle w:val="T2"/>
              <w:spacing w:after="0"/>
              <w:ind w:left="0" w:right="0"/>
              <w:jc w:val="left"/>
              <w:rPr>
                <w:sz w:val="20"/>
              </w:rPr>
            </w:pPr>
            <w:r w:rsidRPr="00F320BB">
              <w:rPr>
                <w:sz w:val="20"/>
              </w:rPr>
              <w:t>Name</w:t>
            </w:r>
          </w:p>
        </w:tc>
        <w:tc>
          <w:tcPr>
            <w:tcW w:w="1147" w:type="dxa"/>
            <w:vAlign w:val="center"/>
          </w:tcPr>
          <w:p w14:paraId="0DB729DF" w14:textId="77777777" w:rsidR="00CA09B2" w:rsidRPr="00F320BB" w:rsidRDefault="0062440B">
            <w:pPr>
              <w:pStyle w:val="T2"/>
              <w:spacing w:after="0"/>
              <w:ind w:left="0" w:right="0"/>
              <w:jc w:val="left"/>
              <w:rPr>
                <w:sz w:val="20"/>
              </w:rPr>
            </w:pPr>
            <w:r w:rsidRPr="00F320BB">
              <w:rPr>
                <w:sz w:val="20"/>
              </w:rPr>
              <w:t>Affiliation</w:t>
            </w:r>
          </w:p>
        </w:tc>
        <w:tc>
          <w:tcPr>
            <w:tcW w:w="2340" w:type="dxa"/>
            <w:vAlign w:val="center"/>
          </w:tcPr>
          <w:p w14:paraId="46CDFED8" w14:textId="77777777" w:rsidR="00CA09B2" w:rsidRPr="00F320BB" w:rsidRDefault="00CA09B2">
            <w:pPr>
              <w:pStyle w:val="T2"/>
              <w:spacing w:after="0"/>
              <w:ind w:left="0" w:right="0"/>
              <w:jc w:val="left"/>
              <w:rPr>
                <w:sz w:val="20"/>
              </w:rPr>
            </w:pPr>
            <w:r w:rsidRPr="00F320BB">
              <w:rPr>
                <w:sz w:val="20"/>
              </w:rPr>
              <w:t>Address</w:t>
            </w:r>
          </w:p>
        </w:tc>
        <w:tc>
          <w:tcPr>
            <w:tcW w:w="1170" w:type="dxa"/>
            <w:vAlign w:val="center"/>
          </w:tcPr>
          <w:p w14:paraId="67B66C19" w14:textId="77777777" w:rsidR="00CA09B2" w:rsidRPr="00F320BB" w:rsidRDefault="00CA09B2">
            <w:pPr>
              <w:pStyle w:val="T2"/>
              <w:spacing w:after="0"/>
              <w:ind w:left="0" w:right="0"/>
              <w:jc w:val="left"/>
              <w:rPr>
                <w:sz w:val="20"/>
              </w:rPr>
            </w:pPr>
            <w:r w:rsidRPr="00F320BB">
              <w:rPr>
                <w:sz w:val="20"/>
              </w:rPr>
              <w:t>Phone</w:t>
            </w:r>
          </w:p>
        </w:tc>
        <w:tc>
          <w:tcPr>
            <w:tcW w:w="2741" w:type="dxa"/>
            <w:vAlign w:val="center"/>
          </w:tcPr>
          <w:p w14:paraId="5C5DEDCC" w14:textId="4ED454BF" w:rsidR="00CA09B2" w:rsidRPr="00F320BB" w:rsidRDefault="00335D41">
            <w:pPr>
              <w:pStyle w:val="T2"/>
              <w:spacing w:after="0"/>
              <w:ind w:left="0" w:right="0"/>
              <w:jc w:val="left"/>
              <w:rPr>
                <w:sz w:val="20"/>
              </w:rPr>
            </w:pPr>
            <w:r w:rsidRPr="00F320BB">
              <w:rPr>
                <w:sz w:val="20"/>
              </w:rPr>
              <w:t>E</w:t>
            </w:r>
            <w:r w:rsidR="00CA09B2" w:rsidRPr="00F320BB">
              <w:rPr>
                <w:sz w:val="20"/>
              </w:rPr>
              <w:t>mail</w:t>
            </w:r>
          </w:p>
        </w:tc>
      </w:tr>
      <w:tr w:rsidR="00F320BB" w:rsidRPr="00F320BB" w14:paraId="7CABBB3B" w14:textId="77777777" w:rsidTr="004518E6">
        <w:trPr>
          <w:jc w:val="center"/>
        </w:trPr>
        <w:tc>
          <w:tcPr>
            <w:tcW w:w="2178" w:type="dxa"/>
            <w:vAlign w:val="center"/>
          </w:tcPr>
          <w:p w14:paraId="1D1849E0" w14:textId="2CD2C6B4" w:rsidR="00104B4E" w:rsidRPr="00F320BB" w:rsidRDefault="00F03762" w:rsidP="00F03762">
            <w:pPr>
              <w:pStyle w:val="T2"/>
              <w:spacing w:after="0"/>
              <w:ind w:left="0" w:right="0"/>
              <w:rPr>
                <w:b w:val="0"/>
                <w:sz w:val="20"/>
              </w:rPr>
            </w:pPr>
            <w:proofErr w:type="spellStart"/>
            <w:r>
              <w:rPr>
                <w:b w:val="0"/>
                <w:sz w:val="20"/>
              </w:rPr>
              <w:t>Saehee</w:t>
            </w:r>
            <w:proofErr w:type="spellEnd"/>
            <w:r>
              <w:rPr>
                <w:b w:val="0"/>
                <w:sz w:val="20"/>
              </w:rPr>
              <w:t xml:space="preserve"> Bang</w:t>
            </w:r>
          </w:p>
        </w:tc>
        <w:tc>
          <w:tcPr>
            <w:tcW w:w="1147" w:type="dxa"/>
            <w:vAlign w:val="center"/>
          </w:tcPr>
          <w:p w14:paraId="47D6C787" w14:textId="491E5C96" w:rsidR="00104B4E" w:rsidRPr="00F320BB" w:rsidRDefault="00F03762" w:rsidP="00F03762">
            <w:pPr>
              <w:pStyle w:val="T2"/>
              <w:spacing w:after="0"/>
              <w:ind w:left="0" w:right="0"/>
              <w:rPr>
                <w:b w:val="0"/>
                <w:sz w:val="20"/>
                <w:lang w:eastAsia="ko-KR"/>
              </w:rPr>
            </w:pPr>
            <w:r>
              <w:rPr>
                <w:rFonts w:hint="eastAsia"/>
                <w:b w:val="0"/>
                <w:sz w:val="20"/>
                <w:lang w:eastAsia="ko-KR"/>
              </w:rPr>
              <w:t>LG</w:t>
            </w:r>
          </w:p>
        </w:tc>
        <w:tc>
          <w:tcPr>
            <w:tcW w:w="2340" w:type="dxa"/>
            <w:vAlign w:val="center"/>
          </w:tcPr>
          <w:p w14:paraId="15B165E1" w14:textId="77777777" w:rsidR="00104B4E" w:rsidRPr="00F320BB" w:rsidRDefault="00104B4E">
            <w:pPr>
              <w:pStyle w:val="T2"/>
              <w:spacing w:after="0"/>
              <w:ind w:left="0" w:right="0"/>
              <w:rPr>
                <w:b w:val="0"/>
                <w:sz w:val="20"/>
              </w:rPr>
            </w:pPr>
          </w:p>
        </w:tc>
        <w:tc>
          <w:tcPr>
            <w:tcW w:w="1170" w:type="dxa"/>
            <w:vAlign w:val="center"/>
          </w:tcPr>
          <w:p w14:paraId="519E286D" w14:textId="77777777" w:rsidR="00104B4E" w:rsidRPr="00F320BB" w:rsidRDefault="00104B4E">
            <w:pPr>
              <w:pStyle w:val="T2"/>
              <w:spacing w:after="0"/>
              <w:ind w:left="0" w:right="0"/>
              <w:rPr>
                <w:b w:val="0"/>
                <w:sz w:val="20"/>
              </w:rPr>
            </w:pPr>
          </w:p>
        </w:tc>
        <w:tc>
          <w:tcPr>
            <w:tcW w:w="2741" w:type="dxa"/>
            <w:vAlign w:val="center"/>
          </w:tcPr>
          <w:p w14:paraId="3B81C693" w14:textId="04AFFA20" w:rsidR="00104B4E" w:rsidRPr="004B1139" w:rsidRDefault="00335D41" w:rsidP="00D06651">
            <w:pPr>
              <w:pStyle w:val="T2"/>
              <w:spacing w:after="0"/>
              <w:ind w:left="0" w:right="0"/>
              <w:rPr>
                <w:rStyle w:val="a6"/>
                <w:b w:val="0"/>
                <w:sz w:val="20"/>
              </w:rPr>
            </w:pPr>
            <w:hyperlink r:id="rId8" w:history="1">
              <w:r w:rsidRPr="005C43C5">
                <w:rPr>
                  <w:rStyle w:val="a6"/>
                  <w:b w:val="0"/>
                  <w:sz w:val="20"/>
                </w:rPr>
                <w:t>Saehee.bang@lge.com</w:t>
              </w:r>
            </w:hyperlink>
          </w:p>
        </w:tc>
      </w:tr>
      <w:tr w:rsidR="004B1139" w:rsidRPr="00F320BB" w14:paraId="7C5D1061" w14:textId="77777777" w:rsidTr="004518E6">
        <w:trPr>
          <w:jc w:val="center"/>
        </w:trPr>
        <w:tc>
          <w:tcPr>
            <w:tcW w:w="2178" w:type="dxa"/>
            <w:vAlign w:val="center"/>
          </w:tcPr>
          <w:p w14:paraId="447DD2D2" w14:textId="4DF3F650" w:rsidR="004B1139" w:rsidRPr="00F320BB" w:rsidRDefault="00C201A8" w:rsidP="004B1139">
            <w:pPr>
              <w:pStyle w:val="T2"/>
              <w:spacing w:after="0"/>
              <w:ind w:left="0" w:right="0"/>
              <w:rPr>
                <w:b w:val="0"/>
                <w:sz w:val="20"/>
              </w:rPr>
            </w:pPr>
            <w:proofErr w:type="spellStart"/>
            <w:r>
              <w:rPr>
                <w:b w:val="0"/>
                <w:sz w:val="20"/>
              </w:rPr>
              <w:t>Jinmin</w:t>
            </w:r>
            <w:proofErr w:type="spellEnd"/>
            <w:r>
              <w:rPr>
                <w:b w:val="0"/>
                <w:sz w:val="20"/>
              </w:rPr>
              <w:t xml:space="preserve"> Kim</w:t>
            </w:r>
            <w:r w:rsidR="004B1139">
              <w:rPr>
                <w:b w:val="0"/>
                <w:sz w:val="20"/>
              </w:rPr>
              <w:t xml:space="preserve"> </w:t>
            </w:r>
          </w:p>
        </w:tc>
        <w:tc>
          <w:tcPr>
            <w:tcW w:w="1147" w:type="dxa"/>
            <w:vAlign w:val="center"/>
          </w:tcPr>
          <w:p w14:paraId="2A0D95FC" w14:textId="6F0C5DD6" w:rsidR="004B1139" w:rsidRPr="00F320BB" w:rsidRDefault="00C201A8" w:rsidP="004B1139">
            <w:pPr>
              <w:pStyle w:val="T2"/>
              <w:spacing w:after="0"/>
              <w:ind w:left="0" w:right="0"/>
              <w:rPr>
                <w:b w:val="0"/>
                <w:sz w:val="20"/>
              </w:rPr>
            </w:pPr>
            <w:r>
              <w:rPr>
                <w:rFonts w:hint="eastAsia"/>
                <w:b w:val="0"/>
                <w:sz w:val="20"/>
                <w:lang w:eastAsia="ko-KR"/>
              </w:rPr>
              <w:t>LG</w:t>
            </w:r>
          </w:p>
        </w:tc>
        <w:tc>
          <w:tcPr>
            <w:tcW w:w="2340" w:type="dxa"/>
            <w:vAlign w:val="center"/>
          </w:tcPr>
          <w:p w14:paraId="663FBA43" w14:textId="77777777" w:rsidR="004B1139" w:rsidRPr="00F320BB" w:rsidRDefault="004B1139" w:rsidP="004B1139">
            <w:pPr>
              <w:pStyle w:val="T2"/>
              <w:spacing w:after="0"/>
              <w:ind w:left="0" w:right="0"/>
              <w:rPr>
                <w:b w:val="0"/>
                <w:sz w:val="20"/>
              </w:rPr>
            </w:pPr>
          </w:p>
        </w:tc>
        <w:tc>
          <w:tcPr>
            <w:tcW w:w="1170" w:type="dxa"/>
            <w:vAlign w:val="center"/>
          </w:tcPr>
          <w:p w14:paraId="35D994C0" w14:textId="77777777" w:rsidR="004B1139" w:rsidRPr="00F320BB" w:rsidRDefault="004B1139" w:rsidP="004B1139">
            <w:pPr>
              <w:pStyle w:val="T2"/>
              <w:spacing w:after="0"/>
              <w:ind w:left="0" w:right="0"/>
              <w:rPr>
                <w:b w:val="0"/>
                <w:sz w:val="20"/>
              </w:rPr>
            </w:pPr>
          </w:p>
        </w:tc>
        <w:tc>
          <w:tcPr>
            <w:tcW w:w="2741" w:type="dxa"/>
            <w:vAlign w:val="center"/>
          </w:tcPr>
          <w:p w14:paraId="772C5F9D" w14:textId="10D5B417" w:rsidR="004B1139" w:rsidRPr="00F320BB" w:rsidRDefault="00087AA5" w:rsidP="00C201A8">
            <w:pPr>
              <w:pStyle w:val="T2"/>
              <w:spacing w:after="0"/>
              <w:ind w:left="0" w:right="0"/>
              <w:rPr>
                <w:b w:val="0"/>
                <w:sz w:val="20"/>
              </w:rPr>
            </w:pPr>
            <w:hyperlink r:id="rId9" w:history="1">
              <w:r w:rsidR="00C201A8" w:rsidRPr="00A95BAC">
                <w:rPr>
                  <w:rStyle w:val="a6"/>
                  <w:b w:val="0"/>
                  <w:sz w:val="20"/>
                </w:rPr>
                <w:t>jinmin1230.kim@lge.com</w:t>
              </w:r>
            </w:hyperlink>
          </w:p>
        </w:tc>
      </w:tr>
      <w:tr w:rsidR="00314A90" w:rsidRPr="00F320BB" w14:paraId="6A8A86C2" w14:textId="77777777" w:rsidTr="004518E6">
        <w:trPr>
          <w:jc w:val="center"/>
        </w:trPr>
        <w:tc>
          <w:tcPr>
            <w:tcW w:w="2178" w:type="dxa"/>
            <w:vAlign w:val="center"/>
          </w:tcPr>
          <w:p w14:paraId="2D7B8DFA" w14:textId="02918863" w:rsidR="00314A90" w:rsidRDefault="00C201A8" w:rsidP="00CD5CBA">
            <w:pPr>
              <w:pStyle w:val="T2"/>
              <w:spacing w:after="0"/>
              <w:ind w:left="0" w:right="0"/>
              <w:rPr>
                <w:b w:val="0"/>
                <w:sz w:val="20"/>
                <w:lang w:eastAsia="ko-KR"/>
              </w:rPr>
            </w:pPr>
            <w:r>
              <w:rPr>
                <w:rFonts w:hint="eastAsia"/>
                <w:b w:val="0"/>
                <w:sz w:val="20"/>
                <w:lang w:eastAsia="ko-KR"/>
              </w:rPr>
              <w:t>Jinsoo Cho</w:t>
            </w:r>
            <w:r>
              <w:rPr>
                <w:b w:val="0"/>
                <w:sz w:val="20"/>
                <w:lang w:eastAsia="ko-KR"/>
              </w:rPr>
              <w:t>i</w:t>
            </w:r>
          </w:p>
        </w:tc>
        <w:tc>
          <w:tcPr>
            <w:tcW w:w="1147" w:type="dxa"/>
            <w:vAlign w:val="center"/>
          </w:tcPr>
          <w:p w14:paraId="78026CA9" w14:textId="5B977426" w:rsidR="00314A90" w:rsidRDefault="00C201A8" w:rsidP="004B1139">
            <w:pPr>
              <w:pStyle w:val="T2"/>
              <w:spacing w:after="0"/>
              <w:ind w:left="0" w:right="0"/>
              <w:rPr>
                <w:b w:val="0"/>
                <w:sz w:val="20"/>
              </w:rPr>
            </w:pPr>
            <w:r>
              <w:rPr>
                <w:rFonts w:hint="eastAsia"/>
                <w:b w:val="0"/>
                <w:sz w:val="20"/>
                <w:lang w:eastAsia="ko-KR"/>
              </w:rPr>
              <w:t>LG</w:t>
            </w:r>
          </w:p>
        </w:tc>
        <w:tc>
          <w:tcPr>
            <w:tcW w:w="2340" w:type="dxa"/>
            <w:vAlign w:val="center"/>
          </w:tcPr>
          <w:p w14:paraId="100F7C1E" w14:textId="77777777" w:rsidR="00314A90" w:rsidRPr="00F320BB" w:rsidRDefault="00314A90" w:rsidP="004B1139">
            <w:pPr>
              <w:pStyle w:val="T2"/>
              <w:spacing w:after="0"/>
              <w:ind w:left="0" w:right="0"/>
              <w:rPr>
                <w:b w:val="0"/>
                <w:sz w:val="20"/>
              </w:rPr>
            </w:pPr>
          </w:p>
        </w:tc>
        <w:tc>
          <w:tcPr>
            <w:tcW w:w="1170" w:type="dxa"/>
            <w:vAlign w:val="center"/>
          </w:tcPr>
          <w:p w14:paraId="3D1953F4" w14:textId="77777777" w:rsidR="00314A90" w:rsidRPr="00F320BB" w:rsidRDefault="00314A90" w:rsidP="004B1139">
            <w:pPr>
              <w:pStyle w:val="T2"/>
              <w:spacing w:after="0"/>
              <w:ind w:left="0" w:right="0"/>
              <w:rPr>
                <w:b w:val="0"/>
                <w:sz w:val="20"/>
              </w:rPr>
            </w:pPr>
          </w:p>
        </w:tc>
        <w:tc>
          <w:tcPr>
            <w:tcW w:w="2741" w:type="dxa"/>
            <w:vAlign w:val="center"/>
          </w:tcPr>
          <w:p w14:paraId="0FB6954E" w14:textId="105DFBDE" w:rsidR="00314A90" w:rsidRPr="00314A90" w:rsidRDefault="00335D41" w:rsidP="00CD5CBA">
            <w:pPr>
              <w:pStyle w:val="T2"/>
              <w:spacing w:after="0"/>
              <w:ind w:left="0" w:right="0"/>
              <w:rPr>
                <w:rStyle w:val="a6"/>
                <w:b w:val="0"/>
                <w:sz w:val="20"/>
              </w:rPr>
            </w:pPr>
            <w:hyperlink r:id="rId10" w:history="1">
              <w:r w:rsidRPr="005C43C5">
                <w:rPr>
                  <w:rStyle w:val="a6"/>
                  <w:b w:val="0"/>
                  <w:sz w:val="20"/>
                </w:rPr>
                <w:t>js.choi@lge.com</w:t>
              </w:r>
            </w:hyperlink>
          </w:p>
        </w:tc>
      </w:tr>
      <w:tr w:rsidR="006D07F0" w:rsidRPr="00F320BB" w14:paraId="36618AE5" w14:textId="77777777" w:rsidTr="004518E6">
        <w:trPr>
          <w:jc w:val="center"/>
        </w:trPr>
        <w:tc>
          <w:tcPr>
            <w:tcW w:w="2178" w:type="dxa"/>
            <w:vAlign w:val="center"/>
          </w:tcPr>
          <w:p w14:paraId="706A11FB" w14:textId="61562FF9" w:rsidR="006D07F0" w:rsidRDefault="00C201A8" w:rsidP="00C201A8">
            <w:pPr>
              <w:pStyle w:val="T2"/>
              <w:spacing w:after="0"/>
              <w:ind w:left="0" w:right="0"/>
              <w:rPr>
                <w:b w:val="0"/>
                <w:sz w:val="20"/>
              </w:rPr>
            </w:pPr>
            <w:proofErr w:type="spellStart"/>
            <w:r>
              <w:rPr>
                <w:b w:val="0"/>
                <w:sz w:val="20"/>
              </w:rPr>
              <w:t>Sungjin</w:t>
            </w:r>
            <w:proofErr w:type="spellEnd"/>
            <w:r>
              <w:rPr>
                <w:b w:val="0"/>
                <w:sz w:val="20"/>
              </w:rPr>
              <w:t xml:space="preserve"> Park</w:t>
            </w:r>
          </w:p>
        </w:tc>
        <w:tc>
          <w:tcPr>
            <w:tcW w:w="1147" w:type="dxa"/>
            <w:vAlign w:val="center"/>
          </w:tcPr>
          <w:p w14:paraId="3040C42B" w14:textId="78C73676" w:rsidR="006D07F0" w:rsidRDefault="00C201A8" w:rsidP="004B1139">
            <w:pPr>
              <w:pStyle w:val="T2"/>
              <w:spacing w:after="0"/>
              <w:ind w:left="0" w:right="0"/>
              <w:rPr>
                <w:b w:val="0"/>
                <w:sz w:val="20"/>
              </w:rPr>
            </w:pPr>
            <w:r>
              <w:rPr>
                <w:rFonts w:hint="eastAsia"/>
                <w:b w:val="0"/>
                <w:sz w:val="20"/>
                <w:lang w:eastAsia="ko-KR"/>
              </w:rPr>
              <w:t>LG</w:t>
            </w:r>
          </w:p>
        </w:tc>
        <w:tc>
          <w:tcPr>
            <w:tcW w:w="2340" w:type="dxa"/>
            <w:vAlign w:val="center"/>
          </w:tcPr>
          <w:p w14:paraId="3FB2745F" w14:textId="77777777" w:rsidR="006D07F0" w:rsidRPr="00F320BB" w:rsidRDefault="006D07F0" w:rsidP="004B1139">
            <w:pPr>
              <w:pStyle w:val="T2"/>
              <w:spacing w:after="0"/>
              <w:ind w:left="0" w:right="0"/>
              <w:rPr>
                <w:b w:val="0"/>
                <w:sz w:val="20"/>
              </w:rPr>
            </w:pPr>
          </w:p>
        </w:tc>
        <w:tc>
          <w:tcPr>
            <w:tcW w:w="1170" w:type="dxa"/>
            <w:vAlign w:val="center"/>
          </w:tcPr>
          <w:p w14:paraId="3C2736AE" w14:textId="77777777" w:rsidR="006D07F0" w:rsidRPr="00F320BB" w:rsidRDefault="006D07F0" w:rsidP="004B1139">
            <w:pPr>
              <w:pStyle w:val="T2"/>
              <w:spacing w:after="0"/>
              <w:ind w:left="0" w:right="0"/>
              <w:rPr>
                <w:b w:val="0"/>
                <w:sz w:val="20"/>
              </w:rPr>
            </w:pPr>
          </w:p>
        </w:tc>
        <w:tc>
          <w:tcPr>
            <w:tcW w:w="2741" w:type="dxa"/>
            <w:vAlign w:val="center"/>
          </w:tcPr>
          <w:p w14:paraId="476986B4" w14:textId="6A9AA8AB" w:rsidR="006D07F0" w:rsidRDefault="00335D41" w:rsidP="00CD5CBA">
            <w:pPr>
              <w:pStyle w:val="T2"/>
              <w:spacing w:after="0"/>
              <w:ind w:left="0" w:right="0"/>
              <w:rPr>
                <w:rStyle w:val="a6"/>
                <w:b w:val="0"/>
                <w:sz w:val="20"/>
              </w:rPr>
            </w:pPr>
            <w:hyperlink r:id="rId11" w:history="1">
              <w:r w:rsidRPr="005C43C5">
                <w:rPr>
                  <w:rStyle w:val="a6"/>
                  <w:b w:val="0"/>
                  <w:sz w:val="20"/>
                </w:rPr>
                <w:t>allean.park@lge.com</w:t>
              </w:r>
            </w:hyperlink>
          </w:p>
        </w:tc>
      </w:tr>
      <w:tr w:rsidR="004B1139" w:rsidRPr="00F320BB" w14:paraId="6A412936" w14:textId="77777777" w:rsidTr="004518E6">
        <w:trPr>
          <w:jc w:val="center"/>
        </w:trPr>
        <w:tc>
          <w:tcPr>
            <w:tcW w:w="2178" w:type="dxa"/>
            <w:vAlign w:val="center"/>
          </w:tcPr>
          <w:p w14:paraId="7243EAF3" w14:textId="4AF6B8E6" w:rsidR="004B1139" w:rsidRPr="00F320BB" w:rsidRDefault="00C201A8" w:rsidP="00C201A8">
            <w:pPr>
              <w:pStyle w:val="T2"/>
              <w:spacing w:after="0"/>
              <w:ind w:left="0" w:right="0"/>
              <w:rPr>
                <w:b w:val="0"/>
                <w:sz w:val="20"/>
                <w:lang w:eastAsia="ko-KR"/>
              </w:rPr>
            </w:pPr>
            <w:proofErr w:type="spellStart"/>
            <w:r>
              <w:rPr>
                <w:rFonts w:hint="eastAsia"/>
                <w:b w:val="0"/>
                <w:sz w:val="20"/>
                <w:lang w:eastAsia="ko-KR"/>
              </w:rPr>
              <w:t>Sunwoong</w:t>
            </w:r>
            <w:proofErr w:type="spellEnd"/>
            <w:r>
              <w:rPr>
                <w:rFonts w:hint="eastAsia"/>
                <w:b w:val="0"/>
                <w:sz w:val="20"/>
                <w:lang w:eastAsia="ko-KR"/>
              </w:rPr>
              <w:t xml:space="preserve"> </w:t>
            </w:r>
            <w:r>
              <w:rPr>
                <w:b w:val="0"/>
                <w:sz w:val="20"/>
                <w:lang w:eastAsia="ko-KR"/>
              </w:rPr>
              <w:t>Yun</w:t>
            </w:r>
          </w:p>
        </w:tc>
        <w:tc>
          <w:tcPr>
            <w:tcW w:w="1147" w:type="dxa"/>
            <w:vAlign w:val="center"/>
          </w:tcPr>
          <w:p w14:paraId="329957F3" w14:textId="35BB4E99" w:rsidR="004B1139" w:rsidRPr="00F320BB" w:rsidRDefault="00C201A8" w:rsidP="004B1139">
            <w:pPr>
              <w:pStyle w:val="T2"/>
              <w:spacing w:after="0"/>
              <w:ind w:left="0" w:right="0"/>
              <w:rPr>
                <w:b w:val="0"/>
                <w:sz w:val="20"/>
              </w:rPr>
            </w:pPr>
            <w:r>
              <w:rPr>
                <w:rFonts w:hint="eastAsia"/>
                <w:b w:val="0"/>
                <w:sz w:val="20"/>
                <w:lang w:eastAsia="ko-KR"/>
              </w:rPr>
              <w:t>LG</w:t>
            </w:r>
          </w:p>
        </w:tc>
        <w:tc>
          <w:tcPr>
            <w:tcW w:w="2340" w:type="dxa"/>
            <w:vAlign w:val="center"/>
          </w:tcPr>
          <w:p w14:paraId="3FCFDFDE" w14:textId="77777777" w:rsidR="004B1139" w:rsidRPr="00F320BB" w:rsidRDefault="004B1139" w:rsidP="004B1139">
            <w:pPr>
              <w:pStyle w:val="T2"/>
              <w:spacing w:after="0"/>
              <w:ind w:left="0" w:right="0"/>
              <w:rPr>
                <w:b w:val="0"/>
                <w:sz w:val="20"/>
              </w:rPr>
            </w:pPr>
          </w:p>
        </w:tc>
        <w:tc>
          <w:tcPr>
            <w:tcW w:w="1170" w:type="dxa"/>
            <w:vAlign w:val="center"/>
          </w:tcPr>
          <w:p w14:paraId="24CC1247" w14:textId="77777777" w:rsidR="004B1139" w:rsidRPr="00F320BB" w:rsidRDefault="004B1139" w:rsidP="004B1139">
            <w:pPr>
              <w:pStyle w:val="T2"/>
              <w:spacing w:after="0"/>
              <w:ind w:left="0" w:right="0"/>
              <w:rPr>
                <w:b w:val="0"/>
                <w:sz w:val="20"/>
              </w:rPr>
            </w:pPr>
          </w:p>
        </w:tc>
        <w:tc>
          <w:tcPr>
            <w:tcW w:w="2741" w:type="dxa"/>
            <w:vAlign w:val="center"/>
          </w:tcPr>
          <w:p w14:paraId="43E60456" w14:textId="74FF125C" w:rsidR="004B1139" w:rsidRPr="00F320BB" w:rsidRDefault="00087AA5" w:rsidP="00C201A8">
            <w:pPr>
              <w:pStyle w:val="T2"/>
              <w:spacing w:after="0"/>
              <w:ind w:left="0" w:right="0"/>
              <w:rPr>
                <w:b w:val="0"/>
                <w:sz w:val="20"/>
              </w:rPr>
            </w:pPr>
            <w:hyperlink r:id="rId12" w:history="1">
              <w:r w:rsidR="000F196E" w:rsidRPr="00BB489A">
                <w:rPr>
                  <w:rStyle w:val="a6"/>
                  <w:b w:val="0"/>
                  <w:sz w:val="20"/>
                </w:rPr>
                <w:t>sunwoong.yun@lge.com</w:t>
              </w:r>
            </w:hyperlink>
          </w:p>
        </w:tc>
      </w:tr>
      <w:tr w:rsidR="00387FE2" w:rsidRPr="00F320BB" w14:paraId="4601803B" w14:textId="77777777" w:rsidTr="004518E6">
        <w:trPr>
          <w:jc w:val="center"/>
        </w:trPr>
        <w:tc>
          <w:tcPr>
            <w:tcW w:w="2178" w:type="dxa"/>
            <w:vAlign w:val="center"/>
          </w:tcPr>
          <w:p w14:paraId="467FB63F" w14:textId="28E2FC33" w:rsidR="00387FE2" w:rsidRDefault="00C201A8" w:rsidP="00387FE2">
            <w:pPr>
              <w:pStyle w:val="T2"/>
              <w:spacing w:after="0"/>
              <w:ind w:left="0" w:right="0"/>
              <w:rPr>
                <w:b w:val="0"/>
                <w:sz w:val="20"/>
              </w:rPr>
            </w:pPr>
            <w:r>
              <w:rPr>
                <w:b w:val="0"/>
                <w:sz w:val="20"/>
              </w:rPr>
              <w:t>Sang G. Kim</w:t>
            </w:r>
            <w:r w:rsidR="00387FE2" w:rsidRPr="00387FE2">
              <w:rPr>
                <w:b w:val="0"/>
                <w:sz w:val="20"/>
              </w:rPr>
              <w:t xml:space="preserve"> </w:t>
            </w:r>
          </w:p>
        </w:tc>
        <w:tc>
          <w:tcPr>
            <w:tcW w:w="1147" w:type="dxa"/>
            <w:vAlign w:val="center"/>
          </w:tcPr>
          <w:p w14:paraId="2C7F6C19" w14:textId="6D6F5349" w:rsidR="00387FE2" w:rsidRDefault="00C201A8" w:rsidP="004B1139">
            <w:pPr>
              <w:pStyle w:val="T2"/>
              <w:spacing w:after="0"/>
              <w:ind w:left="0" w:right="0"/>
              <w:rPr>
                <w:b w:val="0"/>
                <w:sz w:val="20"/>
              </w:rPr>
            </w:pPr>
            <w:r>
              <w:rPr>
                <w:rFonts w:hint="eastAsia"/>
                <w:b w:val="0"/>
                <w:sz w:val="20"/>
                <w:lang w:eastAsia="ko-KR"/>
              </w:rPr>
              <w:t>LG</w:t>
            </w:r>
          </w:p>
        </w:tc>
        <w:tc>
          <w:tcPr>
            <w:tcW w:w="2340" w:type="dxa"/>
            <w:vAlign w:val="center"/>
          </w:tcPr>
          <w:p w14:paraId="2F62D36C" w14:textId="77777777" w:rsidR="00387FE2" w:rsidRPr="00F320BB" w:rsidRDefault="00387FE2" w:rsidP="004B1139">
            <w:pPr>
              <w:pStyle w:val="T2"/>
              <w:spacing w:after="0"/>
              <w:ind w:left="0" w:right="0"/>
              <w:rPr>
                <w:b w:val="0"/>
                <w:sz w:val="20"/>
              </w:rPr>
            </w:pPr>
          </w:p>
        </w:tc>
        <w:tc>
          <w:tcPr>
            <w:tcW w:w="1170" w:type="dxa"/>
            <w:vAlign w:val="center"/>
          </w:tcPr>
          <w:p w14:paraId="7D55B5FD" w14:textId="77777777" w:rsidR="00387FE2" w:rsidRPr="00F320BB" w:rsidRDefault="00387FE2" w:rsidP="004B1139">
            <w:pPr>
              <w:pStyle w:val="T2"/>
              <w:spacing w:after="0"/>
              <w:ind w:left="0" w:right="0"/>
              <w:rPr>
                <w:b w:val="0"/>
                <w:sz w:val="20"/>
              </w:rPr>
            </w:pPr>
          </w:p>
        </w:tc>
        <w:tc>
          <w:tcPr>
            <w:tcW w:w="2741" w:type="dxa"/>
            <w:vAlign w:val="center"/>
          </w:tcPr>
          <w:p w14:paraId="5C33B05B" w14:textId="0F48346B" w:rsidR="00387FE2" w:rsidRPr="00387FE2" w:rsidRDefault="00087AA5" w:rsidP="00387FE2">
            <w:pPr>
              <w:pStyle w:val="T2"/>
              <w:spacing w:after="0"/>
              <w:ind w:left="0" w:right="0"/>
              <w:rPr>
                <w:rStyle w:val="a6"/>
                <w:b w:val="0"/>
                <w:sz w:val="20"/>
              </w:rPr>
            </w:pPr>
            <w:hyperlink r:id="rId13" w:history="1">
              <w:r w:rsidR="00442EDC" w:rsidRPr="00FD0326">
                <w:rPr>
                  <w:rStyle w:val="a6"/>
                  <w:b w:val="0"/>
                  <w:sz w:val="20"/>
                </w:rPr>
                <w:t>sanggook.kim@lge.com</w:t>
              </w:r>
            </w:hyperlink>
          </w:p>
        </w:tc>
      </w:tr>
    </w:tbl>
    <w:p w14:paraId="633AD1B9" w14:textId="77777777" w:rsidR="00CA09B2" w:rsidRPr="00F320BB" w:rsidRDefault="00157EA4">
      <w:pPr>
        <w:pStyle w:val="T1"/>
        <w:spacing w:after="120"/>
        <w:rPr>
          <w:sz w:val="22"/>
        </w:rPr>
      </w:pPr>
      <w:r w:rsidRPr="00F320BB">
        <w:rPr>
          <w:noProof/>
          <w:lang w:val="en-US" w:eastAsia="ko-KR"/>
        </w:rPr>
        <mc:AlternateContent>
          <mc:Choice Requires="wps">
            <w:drawing>
              <wp:anchor distT="0" distB="0" distL="114300" distR="114300" simplePos="0" relativeHeight="251657728" behindDoc="0" locked="0" layoutInCell="0" allowOverlap="1" wp14:anchorId="74F59821" wp14:editId="59F1A3A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6F814" w14:textId="77777777" w:rsidR="009C533D" w:rsidRDefault="009C533D">
                            <w:pPr>
                              <w:pStyle w:val="T1"/>
                              <w:spacing w:after="120"/>
                            </w:pPr>
                            <w:r>
                              <w:t>Abstract</w:t>
                            </w:r>
                          </w:p>
                          <w:p w14:paraId="28E47523" w14:textId="25A4A1FB" w:rsidR="009C533D" w:rsidRDefault="00D0390B" w:rsidP="00CE57CB">
                            <w:pPr>
                              <w:jc w:val="both"/>
                            </w:pPr>
                            <w:r>
                              <w:t>This document proposes</w:t>
                            </w:r>
                            <w:r w:rsidR="00DB54F4">
                              <w:rPr>
                                <w:rFonts w:hint="eastAsia"/>
                                <w:lang w:eastAsia="ko-KR"/>
                              </w:rPr>
                              <w:t xml:space="preserve"> </w:t>
                            </w:r>
                            <w:r w:rsidR="00DB54F4" w:rsidRPr="00DB54F4">
                              <w:rPr>
                                <w:lang w:eastAsia="ko-KR"/>
                              </w:rPr>
                              <w:t xml:space="preserve">to </w:t>
                            </w:r>
                            <w:r w:rsidR="005A5F05">
                              <w:rPr>
                                <w:lang w:eastAsia="ko-KR"/>
                              </w:rPr>
                              <w:t>modify of TDD Slot Schedule element. The TDD Slot Schedule Duration subfield to indicate the duration of the TDD intervals including TDD slots allocated to a STA. (</w:t>
                            </w:r>
                            <w:r w:rsidR="005A5F05" w:rsidRPr="005A5F05">
                              <w:rPr>
                                <w:lang w:eastAsia="ko-KR"/>
                              </w:rPr>
                              <w:t>11-18-0842-00-00ay-Efficient TDD slot schedule mechanism</w:t>
                            </w:r>
                            <w:r w:rsidR="005A5F05">
                              <w:rPr>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5982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0D6F814" w14:textId="77777777" w:rsidR="009C533D" w:rsidRDefault="009C533D">
                      <w:pPr>
                        <w:pStyle w:val="T1"/>
                        <w:spacing w:after="120"/>
                      </w:pPr>
                      <w:r>
                        <w:t>Abstract</w:t>
                      </w:r>
                    </w:p>
                    <w:p w14:paraId="28E47523" w14:textId="25A4A1FB" w:rsidR="009C533D" w:rsidRDefault="00D0390B" w:rsidP="00CE57CB">
                      <w:pPr>
                        <w:jc w:val="both"/>
                      </w:pPr>
                      <w:r>
                        <w:t>This document proposes</w:t>
                      </w:r>
                      <w:r w:rsidR="00DB54F4">
                        <w:rPr>
                          <w:rFonts w:hint="eastAsia"/>
                          <w:lang w:eastAsia="ko-KR"/>
                        </w:rPr>
                        <w:t xml:space="preserve"> </w:t>
                      </w:r>
                      <w:r w:rsidR="00DB54F4" w:rsidRPr="00DB54F4">
                        <w:rPr>
                          <w:lang w:eastAsia="ko-KR"/>
                        </w:rPr>
                        <w:t xml:space="preserve">to </w:t>
                      </w:r>
                      <w:r w:rsidR="005A5F05">
                        <w:rPr>
                          <w:lang w:eastAsia="ko-KR"/>
                        </w:rPr>
                        <w:t>modify of TDD Slot Schedule element. The TDD Slot Schedule Duration subfield to indicate the duration of the TDD intervals including TDD slots allocated to a STA. (</w:t>
                      </w:r>
                      <w:r w:rsidR="005A5F05" w:rsidRPr="005A5F05">
                        <w:rPr>
                          <w:lang w:eastAsia="ko-KR"/>
                        </w:rPr>
                        <w:t>11-18-0842-00-00ay-Efficient TDD slot schedule mechanism</w:t>
                      </w:r>
                      <w:r w:rsidR="005A5F05">
                        <w:rPr>
                          <w:lang w:eastAsia="ko-KR"/>
                        </w:rPr>
                        <w:t>)</w:t>
                      </w:r>
                    </w:p>
                  </w:txbxContent>
                </v:textbox>
              </v:shape>
            </w:pict>
          </mc:Fallback>
        </mc:AlternateContent>
      </w:r>
    </w:p>
    <w:p w14:paraId="628C99D2" w14:textId="77777777" w:rsidR="00C07B4E" w:rsidRPr="00F320BB" w:rsidRDefault="00C07B4E"/>
    <w:p w14:paraId="46F5F18B" w14:textId="77777777" w:rsidR="00C07B4E" w:rsidRPr="00F320BB" w:rsidRDefault="00C07B4E" w:rsidP="00C07B4E"/>
    <w:p w14:paraId="64403CAF" w14:textId="77777777" w:rsidR="00C07B4E" w:rsidRPr="00F320BB" w:rsidRDefault="00C07B4E" w:rsidP="00C07B4E"/>
    <w:p w14:paraId="0F64E197" w14:textId="77777777" w:rsidR="00C07B4E" w:rsidRPr="00F320BB" w:rsidRDefault="00C07B4E" w:rsidP="00C07B4E"/>
    <w:p w14:paraId="2C2F136E" w14:textId="77777777" w:rsidR="00C07B4E" w:rsidRDefault="00C07B4E" w:rsidP="00C07B4E"/>
    <w:p w14:paraId="5B877369" w14:textId="77777777" w:rsidR="005A5F05" w:rsidRPr="005A5F05" w:rsidRDefault="005A5F05" w:rsidP="005A5F05">
      <w:r w:rsidRPr="005A5F05">
        <w:t xml:space="preserve">We propose the modification of TDD Slot Schedule element as </w:t>
      </w:r>
      <w:proofErr w:type="gramStart"/>
      <w:r w:rsidRPr="005A5F05">
        <w:t>follows :</w:t>
      </w:r>
      <w:proofErr w:type="gramEnd"/>
    </w:p>
    <w:p w14:paraId="76636FA3" w14:textId="77777777" w:rsidR="005A5F05" w:rsidRPr="005A5F05" w:rsidRDefault="005A5F05" w:rsidP="005A5F05">
      <w:r w:rsidRPr="005A5F05">
        <w:t>The TDD Slot Schedule Duration subfield to indicate the duration of the TDD intervals including TDD slots allocated to a STA.</w:t>
      </w:r>
    </w:p>
    <w:p w14:paraId="2333C80E" w14:textId="77777777" w:rsidR="005A5F05" w:rsidRPr="005A5F05" w:rsidRDefault="005A5F05" w:rsidP="00C07B4E"/>
    <w:p w14:paraId="250937EE" w14:textId="77777777" w:rsidR="00C07B4E" w:rsidRPr="00F320BB" w:rsidRDefault="00C07B4E" w:rsidP="00C07B4E"/>
    <w:p w14:paraId="6DB37E8C" w14:textId="77777777" w:rsidR="00C07B4E" w:rsidRPr="00F320BB" w:rsidRDefault="00C07B4E" w:rsidP="00C07B4E"/>
    <w:p w14:paraId="1A0ABFF1" w14:textId="77777777" w:rsidR="00C07B4E" w:rsidRPr="00F320BB" w:rsidRDefault="00C07B4E" w:rsidP="00C07B4E"/>
    <w:p w14:paraId="2972366D" w14:textId="77777777" w:rsidR="00C07B4E" w:rsidRPr="00F320BB" w:rsidRDefault="00C07B4E" w:rsidP="00C07B4E"/>
    <w:p w14:paraId="1D9EBE14" w14:textId="77777777" w:rsidR="00C07B4E" w:rsidRPr="00F320BB" w:rsidRDefault="00C07B4E" w:rsidP="00C07B4E"/>
    <w:p w14:paraId="6DEECDDE" w14:textId="77777777" w:rsidR="00C07B4E" w:rsidRPr="005A5F05" w:rsidRDefault="00C07B4E" w:rsidP="00C07B4E"/>
    <w:p w14:paraId="7D5CBE39" w14:textId="77777777" w:rsidR="00C07B4E" w:rsidRPr="00F320BB" w:rsidRDefault="00C07B4E" w:rsidP="00C07B4E"/>
    <w:p w14:paraId="69FA8538" w14:textId="77777777" w:rsidR="00C07B4E" w:rsidRPr="00F320BB" w:rsidRDefault="00C07B4E" w:rsidP="00C07B4E"/>
    <w:p w14:paraId="4AD5A091" w14:textId="77777777" w:rsidR="00C07B4E" w:rsidRPr="00F320BB" w:rsidRDefault="00C07B4E" w:rsidP="00C07B4E"/>
    <w:p w14:paraId="007DB1BF" w14:textId="77777777" w:rsidR="00C07B4E" w:rsidRPr="00F320BB" w:rsidRDefault="00C07B4E" w:rsidP="00C07B4E"/>
    <w:p w14:paraId="7118A268" w14:textId="77777777" w:rsidR="00C07B4E" w:rsidRPr="00F320BB" w:rsidRDefault="00C07B4E" w:rsidP="00C07B4E"/>
    <w:p w14:paraId="591B6E8F" w14:textId="77777777" w:rsidR="00C07B4E" w:rsidRPr="00F320BB" w:rsidRDefault="00C07B4E" w:rsidP="00C07B4E"/>
    <w:p w14:paraId="0C6D5638" w14:textId="77777777" w:rsidR="00CA09B2" w:rsidRPr="00F320BB" w:rsidRDefault="00CA09B2" w:rsidP="00461356"/>
    <w:p w14:paraId="599155E5" w14:textId="77777777" w:rsidR="00CA09B2" w:rsidRPr="00F320BB" w:rsidRDefault="00CA09B2"/>
    <w:p w14:paraId="37990AD5" w14:textId="77777777" w:rsidR="00CA09B2" w:rsidRPr="00F320BB" w:rsidRDefault="00CA09B2">
      <w:r w:rsidRPr="00F320BB">
        <w:br w:type="page"/>
      </w:r>
    </w:p>
    <w:p w14:paraId="45C6B0D1" w14:textId="51FFCA59" w:rsidR="00E75315" w:rsidRDefault="00E75315" w:rsidP="00CE57CB">
      <w:pPr>
        <w:rPr>
          <w:rFonts w:ascii="Arial" w:hAnsi="Arial" w:cs="Arial"/>
          <w:b/>
          <w:bCs/>
          <w:sz w:val="20"/>
          <w:lang w:val="en-US" w:bidi="he-IL"/>
        </w:rPr>
      </w:pPr>
      <w:r w:rsidRPr="00E75315">
        <w:rPr>
          <w:rFonts w:ascii="Arial" w:hAnsi="Arial" w:cs="Arial"/>
          <w:b/>
          <w:bCs/>
          <w:sz w:val="20"/>
          <w:lang w:val="en-US" w:bidi="he-IL"/>
        </w:rPr>
        <w:lastRenderedPageBreak/>
        <w:t xml:space="preserve">9.4 Management and Extension frame body components </w:t>
      </w:r>
    </w:p>
    <w:p w14:paraId="7310E353" w14:textId="727A2AAC" w:rsidR="000E310E" w:rsidRPr="00F320BB" w:rsidRDefault="00E75315" w:rsidP="00CE57CB">
      <w:pPr>
        <w:rPr>
          <w:sz w:val="24"/>
          <w:szCs w:val="24"/>
          <w:lang w:val="en-US" w:eastAsia="ko-KR" w:bidi="he-IL"/>
        </w:rPr>
      </w:pPr>
      <w:r w:rsidRPr="00E75315">
        <w:rPr>
          <w:rFonts w:ascii="Arial" w:hAnsi="Arial" w:cs="Arial"/>
          <w:b/>
          <w:bCs/>
          <w:sz w:val="20"/>
          <w:lang w:val="en-US" w:bidi="he-IL"/>
        </w:rPr>
        <w:t>9.4.2 Elements</w:t>
      </w:r>
      <w:r w:rsidR="00CE57CB">
        <w:rPr>
          <w:rFonts w:ascii="Arial" w:hAnsi="Arial" w:cs="Arial"/>
          <w:b/>
          <w:bCs/>
          <w:sz w:val="20"/>
          <w:lang w:val="en-US" w:bidi="he-IL"/>
        </w:rPr>
        <w:t xml:space="preserve"> </w:t>
      </w:r>
      <w:r w:rsidR="000E310E" w:rsidRPr="000E310E">
        <w:rPr>
          <w:rFonts w:ascii="Arial" w:hAnsi="Arial" w:cs="Arial"/>
          <w:b/>
          <w:bCs/>
          <w:sz w:val="20"/>
          <w:lang w:val="en-US" w:bidi="he-IL"/>
        </w:rPr>
        <w:br/>
      </w:r>
    </w:p>
    <w:p w14:paraId="69EDC9E8" w14:textId="0C8D1093" w:rsidR="0080786C" w:rsidRDefault="00E75315" w:rsidP="0080786C">
      <w:pPr>
        <w:rPr>
          <w:rFonts w:ascii="Arial-BoldMT" w:hAnsi="Arial-BoldMT" w:hint="eastAsia"/>
          <w:b/>
          <w:bCs/>
          <w:color w:val="000000"/>
          <w:sz w:val="20"/>
          <w:lang w:eastAsia="ko-KR"/>
        </w:rPr>
      </w:pPr>
      <w:r>
        <w:rPr>
          <w:b/>
          <w:bCs/>
          <w:sz w:val="20"/>
        </w:rPr>
        <w:t>9.4.2.267 TDD Slot Structure element</w:t>
      </w:r>
    </w:p>
    <w:p w14:paraId="2B7F4F89" w14:textId="77777777" w:rsidR="003476D1" w:rsidRDefault="003476D1" w:rsidP="0080786C">
      <w:pPr>
        <w:rPr>
          <w:lang w:eastAsia="ko-KR"/>
        </w:rPr>
      </w:pPr>
    </w:p>
    <w:p w14:paraId="10971B83" w14:textId="0B718FE2" w:rsidR="00D967B8" w:rsidRPr="004A31DE" w:rsidRDefault="00CD6697" w:rsidP="005A095E">
      <w:pPr>
        <w:rPr>
          <w:i/>
          <w:iCs/>
          <w:sz w:val="20"/>
          <w:lang w:val="en-US" w:bidi="he-IL"/>
        </w:rPr>
      </w:pPr>
      <w:r w:rsidRPr="004A31DE">
        <w:rPr>
          <w:rFonts w:hint="eastAsia"/>
          <w:i/>
          <w:iCs/>
          <w:sz w:val="20"/>
          <w:lang w:val="en-US" w:bidi="he-IL"/>
        </w:rPr>
        <w:t xml:space="preserve">Change </w:t>
      </w:r>
      <w:r w:rsidR="001151E9">
        <w:rPr>
          <w:i/>
          <w:iCs/>
          <w:sz w:val="20"/>
          <w:lang w:val="en-US" w:bidi="he-IL"/>
        </w:rPr>
        <w:t xml:space="preserve">the original text </w:t>
      </w:r>
      <w:r w:rsidRPr="004A31DE">
        <w:rPr>
          <w:rFonts w:hint="eastAsia"/>
          <w:i/>
          <w:iCs/>
          <w:sz w:val="20"/>
          <w:lang w:val="en-US" w:bidi="he-IL"/>
        </w:rPr>
        <w:t>as follows</w:t>
      </w:r>
    </w:p>
    <w:p w14:paraId="49B7898D" w14:textId="77777777" w:rsidR="001151E9" w:rsidRDefault="001151E9" w:rsidP="005A095E">
      <w:pPr>
        <w:rPr>
          <w:rFonts w:ascii="TimesNewRomanPSMT" w:hAnsi="TimesNewRomanPSMT"/>
          <w:color w:val="000000"/>
          <w:sz w:val="20"/>
          <w:lang w:eastAsia="ko-KR"/>
        </w:rPr>
      </w:pPr>
    </w:p>
    <w:p w14:paraId="060D66DA" w14:textId="77777777" w:rsidR="007E55BD" w:rsidRDefault="007E55BD" w:rsidP="005A095E">
      <w:pPr>
        <w:rPr>
          <w:rFonts w:ascii="TimesNewRomanPSMT" w:hAnsi="TimesNewRomanPSMT"/>
          <w:color w:val="000000"/>
          <w:sz w:val="20"/>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252"/>
        <w:gridCol w:w="567"/>
        <w:gridCol w:w="1276"/>
        <w:gridCol w:w="1843"/>
        <w:gridCol w:w="1134"/>
        <w:gridCol w:w="1341"/>
        <w:gridCol w:w="886"/>
      </w:tblGrid>
      <w:tr w:rsidR="00805BCD" w14:paraId="1F894750" w14:textId="77777777" w:rsidTr="00965AC8">
        <w:trPr>
          <w:jc w:val="center"/>
        </w:trPr>
        <w:tc>
          <w:tcPr>
            <w:tcW w:w="0" w:type="auto"/>
            <w:tcBorders>
              <w:top w:val="nil"/>
              <w:left w:val="nil"/>
              <w:bottom w:val="nil"/>
              <w:right w:val="nil"/>
            </w:tcBorders>
            <w:shd w:val="clear" w:color="auto" w:fill="auto"/>
          </w:tcPr>
          <w:p w14:paraId="207CD6FD" w14:textId="77777777" w:rsidR="00805BCD" w:rsidRDefault="00805BCD" w:rsidP="00965AC8">
            <w:pPr>
              <w:pStyle w:val="IEEEStdsTableData-Center"/>
            </w:pPr>
          </w:p>
        </w:tc>
        <w:tc>
          <w:tcPr>
            <w:tcW w:w="1252" w:type="dxa"/>
            <w:tcBorders>
              <w:top w:val="nil"/>
              <w:left w:val="nil"/>
              <w:bottom w:val="single" w:sz="4" w:space="0" w:color="auto"/>
              <w:right w:val="nil"/>
            </w:tcBorders>
            <w:shd w:val="clear" w:color="auto" w:fill="auto"/>
          </w:tcPr>
          <w:p w14:paraId="70507921" w14:textId="77777777" w:rsidR="00805BCD" w:rsidRDefault="00805BCD" w:rsidP="00965AC8">
            <w:pPr>
              <w:pStyle w:val="IEEEStdsTableData-Center"/>
            </w:pPr>
            <w:r>
              <w:t>B0</w:t>
            </w:r>
          </w:p>
        </w:tc>
        <w:tc>
          <w:tcPr>
            <w:tcW w:w="567" w:type="dxa"/>
            <w:tcBorders>
              <w:top w:val="nil"/>
              <w:left w:val="nil"/>
              <w:bottom w:val="single" w:sz="4" w:space="0" w:color="auto"/>
              <w:right w:val="nil"/>
            </w:tcBorders>
            <w:shd w:val="clear" w:color="auto" w:fill="auto"/>
          </w:tcPr>
          <w:p w14:paraId="5A43E34B" w14:textId="77777777" w:rsidR="00805BCD" w:rsidRDefault="00805BCD" w:rsidP="00965AC8">
            <w:pPr>
              <w:pStyle w:val="IEEEStdsTableData-Center"/>
            </w:pPr>
            <w:r>
              <w:t>B1 B8</w:t>
            </w:r>
          </w:p>
        </w:tc>
        <w:tc>
          <w:tcPr>
            <w:tcW w:w="1276" w:type="dxa"/>
            <w:tcBorders>
              <w:top w:val="nil"/>
              <w:left w:val="nil"/>
              <w:bottom w:val="single" w:sz="4" w:space="0" w:color="auto"/>
              <w:right w:val="nil"/>
            </w:tcBorders>
            <w:shd w:val="clear" w:color="auto" w:fill="auto"/>
          </w:tcPr>
          <w:p w14:paraId="79739B45" w14:textId="77777777" w:rsidR="00805BCD" w:rsidRPr="002934E6" w:rsidRDefault="00805BCD" w:rsidP="00965AC8">
            <w:pPr>
              <w:pStyle w:val="IEEEStdsTableData-Center"/>
            </w:pPr>
            <w:r>
              <w:t>B9 B40</w:t>
            </w:r>
          </w:p>
        </w:tc>
        <w:tc>
          <w:tcPr>
            <w:tcW w:w="1843" w:type="dxa"/>
            <w:tcBorders>
              <w:top w:val="nil"/>
              <w:left w:val="nil"/>
              <w:bottom w:val="single" w:sz="4" w:space="0" w:color="auto"/>
              <w:right w:val="nil"/>
            </w:tcBorders>
          </w:tcPr>
          <w:p w14:paraId="63189CE7" w14:textId="77777777" w:rsidR="00805BCD" w:rsidRPr="002934E6" w:rsidRDefault="00805BCD" w:rsidP="00965AC8">
            <w:pPr>
              <w:pStyle w:val="IEEEStdsTableData-Center"/>
            </w:pPr>
            <w:r>
              <w:t>B41 B50</w:t>
            </w:r>
          </w:p>
        </w:tc>
        <w:tc>
          <w:tcPr>
            <w:tcW w:w="1134" w:type="dxa"/>
            <w:tcBorders>
              <w:top w:val="nil"/>
              <w:left w:val="nil"/>
              <w:bottom w:val="single" w:sz="4" w:space="0" w:color="auto"/>
              <w:right w:val="nil"/>
            </w:tcBorders>
          </w:tcPr>
          <w:p w14:paraId="4248270E" w14:textId="77777777" w:rsidR="00805BCD" w:rsidRPr="002934E6" w:rsidRDefault="00805BCD" w:rsidP="00965AC8">
            <w:pPr>
              <w:pStyle w:val="IEEEStdsTableData-Center"/>
            </w:pPr>
            <w:r>
              <w:t>B51 B54</w:t>
            </w:r>
          </w:p>
        </w:tc>
        <w:tc>
          <w:tcPr>
            <w:tcW w:w="1341" w:type="dxa"/>
            <w:tcBorders>
              <w:top w:val="nil"/>
              <w:left w:val="nil"/>
              <w:bottom w:val="single" w:sz="4" w:space="0" w:color="auto"/>
              <w:right w:val="nil"/>
            </w:tcBorders>
          </w:tcPr>
          <w:p w14:paraId="650F1575" w14:textId="77777777" w:rsidR="00805BCD" w:rsidRPr="00831C89" w:rsidRDefault="00805BCD" w:rsidP="00965AC8">
            <w:pPr>
              <w:pStyle w:val="IEEEStdsTableData-Center"/>
              <w:rPr>
                <w:rFonts w:hint="eastAsia"/>
                <w:color w:val="FF0000"/>
                <w:lang w:eastAsia="ko-KR"/>
              </w:rPr>
            </w:pPr>
            <w:r w:rsidRPr="00831C89">
              <w:rPr>
                <w:rFonts w:hint="eastAsia"/>
                <w:color w:val="FF0000"/>
                <w:lang w:eastAsia="ko-KR"/>
              </w:rPr>
              <w:t xml:space="preserve">B55 </w:t>
            </w:r>
            <w:r w:rsidRPr="00831C89">
              <w:rPr>
                <w:color w:val="FF0000"/>
                <w:lang w:eastAsia="ko-KR"/>
              </w:rPr>
              <w:t>B70</w:t>
            </w:r>
          </w:p>
        </w:tc>
        <w:tc>
          <w:tcPr>
            <w:tcW w:w="0" w:type="auto"/>
            <w:tcBorders>
              <w:top w:val="nil"/>
              <w:left w:val="nil"/>
              <w:bottom w:val="single" w:sz="4" w:space="0" w:color="auto"/>
              <w:right w:val="nil"/>
            </w:tcBorders>
          </w:tcPr>
          <w:p w14:paraId="0EB70D63" w14:textId="77777777" w:rsidR="00805BCD" w:rsidRDefault="00805BCD" w:rsidP="00965AC8">
            <w:pPr>
              <w:pStyle w:val="IEEEStdsTableData-Center"/>
            </w:pPr>
            <w:r w:rsidRPr="00831C89">
              <w:rPr>
                <w:strike/>
              </w:rPr>
              <w:t>B55</w:t>
            </w:r>
            <w:r>
              <w:t xml:space="preserve"> </w:t>
            </w:r>
            <w:r w:rsidRPr="00831C89">
              <w:rPr>
                <w:color w:val="FF0000"/>
              </w:rPr>
              <w:t>B71</w:t>
            </w:r>
          </w:p>
        </w:tc>
      </w:tr>
      <w:tr w:rsidR="00805BCD" w14:paraId="7D2A490F" w14:textId="77777777" w:rsidTr="00965AC8">
        <w:trPr>
          <w:jc w:val="center"/>
        </w:trPr>
        <w:tc>
          <w:tcPr>
            <w:tcW w:w="0" w:type="auto"/>
            <w:tcBorders>
              <w:top w:val="nil"/>
              <w:left w:val="nil"/>
              <w:bottom w:val="nil"/>
            </w:tcBorders>
            <w:shd w:val="clear" w:color="auto" w:fill="auto"/>
          </w:tcPr>
          <w:p w14:paraId="70819250" w14:textId="77777777" w:rsidR="00805BCD" w:rsidRDefault="00805BCD" w:rsidP="00965AC8">
            <w:pPr>
              <w:pStyle w:val="IEEEStdsTableData-Center"/>
            </w:pPr>
          </w:p>
        </w:tc>
        <w:tc>
          <w:tcPr>
            <w:tcW w:w="1252" w:type="dxa"/>
            <w:tcBorders>
              <w:top w:val="single" w:sz="4" w:space="0" w:color="auto"/>
            </w:tcBorders>
            <w:shd w:val="clear" w:color="auto" w:fill="auto"/>
          </w:tcPr>
          <w:p w14:paraId="35D7077E" w14:textId="77777777" w:rsidR="00805BCD" w:rsidRDefault="00805BCD" w:rsidP="00965AC8">
            <w:pPr>
              <w:pStyle w:val="IEEEStdsTableData-Center"/>
            </w:pPr>
            <w:r>
              <w:t>Channel Aggregation</w:t>
            </w:r>
          </w:p>
        </w:tc>
        <w:tc>
          <w:tcPr>
            <w:tcW w:w="567" w:type="dxa"/>
            <w:tcBorders>
              <w:top w:val="single" w:sz="4" w:space="0" w:color="auto"/>
            </w:tcBorders>
            <w:shd w:val="clear" w:color="auto" w:fill="auto"/>
          </w:tcPr>
          <w:p w14:paraId="15472D24" w14:textId="77777777" w:rsidR="00805BCD" w:rsidRDefault="00805BCD" w:rsidP="00965AC8">
            <w:pPr>
              <w:pStyle w:val="IEEEStdsTableData-Center"/>
            </w:pPr>
            <w:r>
              <w:t>BW</w:t>
            </w:r>
          </w:p>
        </w:tc>
        <w:tc>
          <w:tcPr>
            <w:tcW w:w="1276" w:type="dxa"/>
            <w:tcBorders>
              <w:top w:val="single" w:sz="4" w:space="0" w:color="auto"/>
            </w:tcBorders>
            <w:shd w:val="clear" w:color="auto" w:fill="auto"/>
          </w:tcPr>
          <w:p w14:paraId="669B72AD" w14:textId="77777777" w:rsidR="00805BCD" w:rsidRDefault="00805BCD" w:rsidP="00965AC8">
            <w:pPr>
              <w:pStyle w:val="IEEEStdsTableData-Center"/>
            </w:pPr>
            <w:r w:rsidRPr="002934E6">
              <w:t>Slot Schedule Start Time</w:t>
            </w:r>
          </w:p>
        </w:tc>
        <w:tc>
          <w:tcPr>
            <w:tcW w:w="1843" w:type="dxa"/>
            <w:tcBorders>
              <w:top w:val="single" w:sz="4" w:space="0" w:color="auto"/>
            </w:tcBorders>
          </w:tcPr>
          <w:p w14:paraId="748B4451" w14:textId="77777777" w:rsidR="00805BCD" w:rsidRPr="002934E6" w:rsidRDefault="00805BCD" w:rsidP="00965AC8">
            <w:pPr>
              <w:pStyle w:val="IEEEStdsTableData-Center"/>
            </w:pPr>
            <w:r w:rsidRPr="002934E6">
              <w:t>Number of TDD Intervals in the Bitmap</w:t>
            </w:r>
          </w:p>
        </w:tc>
        <w:tc>
          <w:tcPr>
            <w:tcW w:w="1134" w:type="dxa"/>
            <w:tcBorders>
              <w:top w:val="single" w:sz="4" w:space="0" w:color="auto"/>
            </w:tcBorders>
          </w:tcPr>
          <w:p w14:paraId="1DC8BFBA" w14:textId="77777777" w:rsidR="00805BCD" w:rsidRPr="002934E6" w:rsidRDefault="00805BCD" w:rsidP="00965AC8">
            <w:pPr>
              <w:pStyle w:val="IEEEStdsTableData-Center"/>
            </w:pPr>
            <w:r w:rsidRPr="002934E6">
              <w:t>Allocation ID</w:t>
            </w:r>
          </w:p>
        </w:tc>
        <w:tc>
          <w:tcPr>
            <w:tcW w:w="1341" w:type="dxa"/>
            <w:tcBorders>
              <w:top w:val="single" w:sz="4" w:space="0" w:color="auto"/>
            </w:tcBorders>
          </w:tcPr>
          <w:p w14:paraId="3970166A" w14:textId="77777777" w:rsidR="00805BCD" w:rsidRPr="00831C89" w:rsidRDefault="00805BCD" w:rsidP="00965AC8">
            <w:pPr>
              <w:pStyle w:val="IEEEStdsTableData-Center"/>
              <w:rPr>
                <w:rFonts w:hint="eastAsia"/>
                <w:color w:val="FF0000"/>
                <w:lang w:eastAsia="ko-KR"/>
              </w:rPr>
            </w:pPr>
            <w:r w:rsidRPr="00831C89">
              <w:rPr>
                <w:rFonts w:hint="eastAsia"/>
                <w:color w:val="FF0000"/>
                <w:lang w:eastAsia="ko-KR"/>
              </w:rPr>
              <w:t>T</w:t>
            </w:r>
            <w:r w:rsidRPr="00831C89">
              <w:rPr>
                <w:color w:val="FF0000"/>
                <w:lang w:eastAsia="ko-KR"/>
              </w:rPr>
              <w:t>DD Slot Schedule Duration</w:t>
            </w:r>
          </w:p>
        </w:tc>
        <w:tc>
          <w:tcPr>
            <w:tcW w:w="0" w:type="auto"/>
            <w:tcBorders>
              <w:top w:val="single" w:sz="4" w:space="0" w:color="auto"/>
            </w:tcBorders>
          </w:tcPr>
          <w:p w14:paraId="1C18C42A" w14:textId="77777777" w:rsidR="00805BCD" w:rsidRPr="002934E6" w:rsidRDefault="00805BCD" w:rsidP="00965AC8">
            <w:pPr>
              <w:pStyle w:val="IEEEStdsTableData-Center"/>
            </w:pPr>
            <w:r>
              <w:t>Reserved</w:t>
            </w:r>
          </w:p>
        </w:tc>
      </w:tr>
      <w:tr w:rsidR="00805BCD" w14:paraId="2EC8C039" w14:textId="77777777" w:rsidTr="00965AC8">
        <w:trPr>
          <w:jc w:val="center"/>
        </w:trPr>
        <w:tc>
          <w:tcPr>
            <w:tcW w:w="0" w:type="auto"/>
            <w:tcBorders>
              <w:top w:val="nil"/>
              <w:left w:val="nil"/>
              <w:bottom w:val="nil"/>
              <w:right w:val="nil"/>
            </w:tcBorders>
            <w:shd w:val="clear" w:color="auto" w:fill="auto"/>
          </w:tcPr>
          <w:p w14:paraId="5A41C16E" w14:textId="77777777" w:rsidR="00805BCD" w:rsidRDefault="00805BCD" w:rsidP="00965AC8">
            <w:pPr>
              <w:pStyle w:val="IEEEStdsTableData-Center"/>
            </w:pPr>
            <w:r>
              <w:t>Bits:</w:t>
            </w:r>
          </w:p>
        </w:tc>
        <w:tc>
          <w:tcPr>
            <w:tcW w:w="1252" w:type="dxa"/>
            <w:tcBorders>
              <w:left w:val="nil"/>
              <w:bottom w:val="nil"/>
              <w:right w:val="nil"/>
            </w:tcBorders>
            <w:shd w:val="clear" w:color="auto" w:fill="auto"/>
          </w:tcPr>
          <w:p w14:paraId="27A671E7" w14:textId="77777777" w:rsidR="00805BCD" w:rsidRDefault="00805BCD" w:rsidP="00965AC8">
            <w:pPr>
              <w:pStyle w:val="IEEEStdsTableData-Center"/>
            </w:pPr>
            <w:r>
              <w:t>1</w:t>
            </w:r>
          </w:p>
        </w:tc>
        <w:tc>
          <w:tcPr>
            <w:tcW w:w="567" w:type="dxa"/>
            <w:tcBorders>
              <w:left w:val="nil"/>
              <w:bottom w:val="nil"/>
              <w:right w:val="nil"/>
            </w:tcBorders>
            <w:shd w:val="clear" w:color="auto" w:fill="auto"/>
          </w:tcPr>
          <w:p w14:paraId="376C75B2" w14:textId="77777777" w:rsidR="00805BCD" w:rsidRDefault="00805BCD" w:rsidP="00965AC8">
            <w:pPr>
              <w:pStyle w:val="IEEEStdsTableData-Center"/>
            </w:pPr>
            <w:r>
              <w:t>8</w:t>
            </w:r>
          </w:p>
        </w:tc>
        <w:tc>
          <w:tcPr>
            <w:tcW w:w="1276" w:type="dxa"/>
            <w:tcBorders>
              <w:left w:val="nil"/>
              <w:bottom w:val="nil"/>
              <w:right w:val="nil"/>
            </w:tcBorders>
            <w:shd w:val="clear" w:color="auto" w:fill="auto"/>
          </w:tcPr>
          <w:p w14:paraId="56EC1224" w14:textId="77777777" w:rsidR="00805BCD" w:rsidRDefault="00805BCD" w:rsidP="00965AC8">
            <w:pPr>
              <w:pStyle w:val="IEEEStdsTableData-Center"/>
            </w:pPr>
            <w:r>
              <w:t>32</w:t>
            </w:r>
          </w:p>
        </w:tc>
        <w:tc>
          <w:tcPr>
            <w:tcW w:w="1843" w:type="dxa"/>
            <w:tcBorders>
              <w:left w:val="nil"/>
              <w:bottom w:val="nil"/>
              <w:right w:val="nil"/>
            </w:tcBorders>
          </w:tcPr>
          <w:p w14:paraId="3980DF2C" w14:textId="77777777" w:rsidR="00805BCD" w:rsidRDefault="00805BCD" w:rsidP="00965AC8">
            <w:pPr>
              <w:pStyle w:val="IEEEStdsTableData-Center"/>
            </w:pPr>
            <w:r>
              <w:t>10</w:t>
            </w:r>
          </w:p>
        </w:tc>
        <w:tc>
          <w:tcPr>
            <w:tcW w:w="1134" w:type="dxa"/>
            <w:tcBorders>
              <w:left w:val="nil"/>
              <w:bottom w:val="nil"/>
              <w:right w:val="nil"/>
            </w:tcBorders>
          </w:tcPr>
          <w:p w14:paraId="1FFE6AA3" w14:textId="77777777" w:rsidR="00805BCD" w:rsidRDefault="00805BCD" w:rsidP="00965AC8">
            <w:pPr>
              <w:pStyle w:val="IEEEStdsTableData-Center"/>
            </w:pPr>
            <w:r>
              <w:t>4</w:t>
            </w:r>
          </w:p>
        </w:tc>
        <w:tc>
          <w:tcPr>
            <w:tcW w:w="1341" w:type="dxa"/>
            <w:tcBorders>
              <w:left w:val="nil"/>
              <w:bottom w:val="nil"/>
              <w:right w:val="nil"/>
            </w:tcBorders>
          </w:tcPr>
          <w:p w14:paraId="7E4DA5E9" w14:textId="77777777" w:rsidR="00805BCD" w:rsidRPr="00831C89" w:rsidRDefault="00805BCD" w:rsidP="00965AC8">
            <w:pPr>
              <w:pStyle w:val="IEEEStdsTableData-Center"/>
              <w:rPr>
                <w:rFonts w:hint="eastAsia"/>
                <w:color w:val="FF0000"/>
                <w:lang w:eastAsia="ko-KR"/>
              </w:rPr>
            </w:pPr>
            <w:r w:rsidRPr="00831C89">
              <w:rPr>
                <w:rFonts w:hint="eastAsia"/>
                <w:color w:val="FF0000"/>
                <w:lang w:eastAsia="ko-KR"/>
              </w:rPr>
              <w:t>16</w:t>
            </w:r>
          </w:p>
        </w:tc>
        <w:tc>
          <w:tcPr>
            <w:tcW w:w="0" w:type="auto"/>
            <w:tcBorders>
              <w:left w:val="nil"/>
              <w:bottom w:val="nil"/>
              <w:right w:val="nil"/>
            </w:tcBorders>
          </w:tcPr>
          <w:p w14:paraId="03E2CC6A" w14:textId="77777777" w:rsidR="00805BCD" w:rsidRDefault="00805BCD" w:rsidP="00965AC8">
            <w:pPr>
              <w:pStyle w:val="IEEEStdsTableData-Center"/>
            </w:pPr>
            <w:r>
              <w:t>1</w:t>
            </w:r>
          </w:p>
        </w:tc>
      </w:tr>
    </w:tbl>
    <w:p w14:paraId="668309A5" w14:textId="77777777" w:rsidR="00805BCD" w:rsidRDefault="00805BCD" w:rsidP="00805BCD">
      <w:pPr>
        <w:pStyle w:val="IEEEStdsRegularFigureCaption"/>
      </w:pPr>
      <w:bookmarkStart w:id="0" w:name="_Ref499061731"/>
      <w:bookmarkStart w:id="1" w:name="_Toc499223361"/>
      <w:r>
        <w:t xml:space="preserve">—Slot Schedule Control </w:t>
      </w:r>
      <w:r w:rsidRPr="00BF4464">
        <w:t>field</w:t>
      </w:r>
      <w:r>
        <w:t xml:space="preserve"> format</w:t>
      </w:r>
      <w:bookmarkEnd w:id="0"/>
      <w:bookmarkEnd w:id="1"/>
    </w:p>
    <w:p w14:paraId="4B2F5E6F" w14:textId="5F216DC4" w:rsidR="007E55BD" w:rsidRDefault="007E55BD" w:rsidP="005A095E">
      <w:pPr>
        <w:rPr>
          <w:rFonts w:ascii="TimesNewRomanPSMT" w:hAnsi="TimesNewRomanPSMT"/>
          <w:color w:val="000000"/>
          <w:sz w:val="20"/>
          <w:lang w:eastAsia="ko-KR"/>
        </w:rPr>
      </w:pPr>
    </w:p>
    <w:p w14:paraId="4C6AC78C" w14:textId="77777777" w:rsidR="007E55BD" w:rsidRDefault="007E55BD" w:rsidP="005A095E">
      <w:pPr>
        <w:rPr>
          <w:rFonts w:ascii="TimesNewRomanPSMT" w:hAnsi="TimesNewRomanPSMT"/>
          <w:color w:val="000000"/>
          <w:sz w:val="20"/>
          <w:lang w:eastAsia="ko-KR"/>
        </w:rPr>
      </w:pPr>
      <w:bookmarkStart w:id="2" w:name="_GoBack"/>
      <w:bookmarkEnd w:id="2"/>
    </w:p>
    <w:p w14:paraId="65FEA1EC" w14:textId="77777777" w:rsidR="007E55BD" w:rsidRDefault="007E55BD" w:rsidP="005A095E">
      <w:pPr>
        <w:rPr>
          <w:rFonts w:ascii="TimesNewRomanPSMT" w:hAnsi="TimesNewRomanPSMT"/>
          <w:color w:val="000000"/>
          <w:sz w:val="20"/>
          <w:lang w:eastAsia="ko-KR"/>
        </w:rPr>
      </w:pPr>
    </w:p>
    <w:p w14:paraId="09670608" w14:textId="77777777" w:rsidR="007E55BD" w:rsidRDefault="007E55BD" w:rsidP="005A095E">
      <w:pPr>
        <w:rPr>
          <w:rFonts w:ascii="TimesNewRomanPSMT" w:hAnsi="TimesNewRomanPSMT" w:hint="eastAsia"/>
          <w:color w:val="000000"/>
          <w:sz w:val="20"/>
          <w:lang w:eastAsia="ko-KR"/>
        </w:rPr>
      </w:pPr>
    </w:p>
    <w:p w14:paraId="2B342D8D" w14:textId="603C6E79" w:rsidR="007E55BD" w:rsidRDefault="007E55BD" w:rsidP="007E55BD">
      <w:pPr>
        <w:pStyle w:val="Default"/>
        <w:rPr>
          <w:sz w:val="22"/>
          <w:szCs w:val="22"/>
        </w:rPr>
      </w:pPr>
      <w:r>
        <w:rPr>
          <w:sz w:val="20"/>
          <w:szCs w:val="20"/>
        </w:rPr>
        <w:t xml:space="preserve">The Channel Aggregation and BW subfields are defined in Table 36. </w:t>
      </w:r>
      <w:r>
        <w:rPr>
          <w:sz w:val="22"/>
          <w:szCs w:val="22"/>
        </w:rPr>
        <w:t xml:space="preserve"> </w:t>
      </w:r>
    </w:p>
    <w:p w14:paraId="505F1954" w14:textId="77777777" w:rsidR="007E55BD" w:rsidRDefault="007E55BD" w:rsidP="007E55BD">
      <w:pPr>
        <w:pStyle w:val="Default"/>
        <w:rPr>
          <w:sz w:val="20"/>
          <w:szCs w:val="20"/>
        </w:rPr>
      </w:pPr>
    </w:p>
    <w:p w14:paraId="0BC44D9F" w14:textId="6E67DEF8" w:rsidR="007E55BD" w:rsidRDefault="007E55BD" w:rsidP="007E55BD">
      <w:pPr>
        <w:pStyle w:val="Default"/>
        <w:rPr>
          <w:sz w:val="22"/>
          <w:szCs w:val="22"/>
        </w:rPr>
      </w:pPr>
      <w:r>
        <w:rPr>
          <w:sz w:val="20"/>
          <w:szCs w:val="20"/>
        </w:rPr>
        <w:t>The Slot Schedule Start Time subfield indicates the lower 4 octets of the TSF timer at the start of the first</w:t>
      </w:r>
      <w:r>
        <w:rPr>
          <w:sz w:val="22"/>
          <w:szCs w:val="22"/>
        </w:rPr>
        <w:t xml:space="preserve"> </w:t>
      </w:r>
      <w:r>
        <w:rPr>
          <w:sz w:val="20"/>
          <w:szCs w:val="20"/>
        </w:rPr>
        <w:t xml:space="preserve">TDD interval in which the schedule takes effect. </w:t>
      </w:r>
    </w:p>
    <w:p w14:paraId="21E1C6EF" w14:textId="77777777" w:rsidR="007E55BD" w:rsidRDefault="007E55BD" w:rsidP="007E55BD">
      <w:pPr>
        <w:pStyle w:val="Default"/>
        <w:rPr>
          <w:sz w:val="22"/>
          <w:szCs w:val="22"/>
        </w:rPr>
      </w:pPr>
    </w:p>
    <w:p w14:paraId="04E2869C" w14:textId="693F57AB" w:rsidR="007E55BD" w:rsidRDefault="007E55BD" w:rsidP="007E55BD">
      <w:pPr>
        <w:pStyle w:val="Default"/>
        <w:rPr>
          <w:sz w:val="22"/>
          <w:szCs w:val="22"/>
        </w:rPr>
      </w:pPr>
      <w:r>
        <w:rPr>
          <w:sz w:val="20"/>
          <w:szCs w:val="20"/>
        </w:rPr>
        <w:t>The Number of TDD Intervals in the Bitmap subfield indicates the number of TDD intervals in the bitmap</w:t>
      </w:r>
      <w:r>
        <w:rPr>
          <w:sz w:val="22"/>
          <w:szCs w:val="22"/>
        </w:rPr>
        <w:t xml:space="preserve"> </w:t>
      </w:r>
      <w:r>
        <w:rPr>
          <w:sz w:val="20"/>
          <w:szCs w:val="20"/>
        </w:rPr>
        <w:t xml:space="preserve">following the time indicated by the Slot Schedule Start Time subfield. </w:t>
      </w:r>
    </w:p>
    <w:p w14:paraId="3E1327C4" w14:textId="77777777" w:rsidR="007E55BD" w:rsidRDefault="007E55BD" w:rsidP="007E55BD">
      <w:pPr>
        <w:pStyle w:val="Default"/>
        <w:rPr>
          <w:sz w:val="22"/>
          <w:szCs w:val="22"/>
        </w:rPr>
      </w:pPr>
    </w:p>
    <w:p w14:paraId="7496C1FC" w14:textId="7F81774C" w:rsidR="007E55BD" w:rsidRDefault="007E55BD" w:rsidP="007E55BD">
      <w:pPr>
        <w:rPr>
          <w:sz w:val="20"/>
        </w:rPr>
      </w:pPr>
      <w:r>
        <w:rPr>
          <w:sz w:val="20"/>
        </w:rPr>
        <w:t>The Allocation ID subfield is set to the same value of the Allocation ID subfield in Allocation Control field</w:t>
      </w:r>
      <w:r>
        <w:rPr>
          <w:szCs w:val="22"/>
        </w:rPr>
        <w:t xml:space="preserve"> </w:t>
      </w:r>
      <w:r>
        <w:rPr>
          <w:sz w:val="20"/>
        </w:rPr>
        <w:t>of the Extended Schedule element describing the SP allocation</w:t>
      </w:r>
      <w:r>
        <w:rPr>
          <w:sz w:val="20"/>
        </w:rPr>
        <w:t>.</w:t>
      </w:r>
    </w:p>
    <w:p w14:paraId="2C8FFD3F" w14:textId="77777777" w:rsidR="007E55BD" w:rsidRDefault="007E55BD" w:rsidP="007E55BD">
      <w:pPr>
        <w:rPr>
          <w:sz w:val="20"/>
        </w:rPr>
      </w:pPr>
    </w:p>
    <w:p w14:paraId="348F2A5D" w14:textId="2C96A381" w:rsidR="007E55BD" w:rsidRPr="007E55BD" w:rsidRDefault="007E55BD" w:rsidP="007E55BD">
      <w:pPr>
        <w:rPr>
          <w:sz w:val="20"/>
        </w:rPr>
      </w:pPr>
      <w:r w:rsidRPr="007E55BD">
        <w:rPr>
          <w:color w:val="FF0000"/>
          <w:sz w:val="20"/>
          <w:u w:val="single"/>
        </w:rPr>
        <w:t>TDD Slot Schedule Duration subfield indicates the duration from the start of the first TDD interval to the end of the last TDD interval in which the schedule takes effect.</w:t>
      </w:r>
      <w:r>
        <w:rPr>
          <w:color w:val="FF0000"/>
          <w:sz w:val="20"/>
          <w:u w:val="single"/>
        </w:rPr>
        <w:t xml:space="preserve"> </w:t>
      </w:r>
      <w:r w:rsidRPr="007E55BD">
        <w:rPr>
          <w:color w:val="FF0000"/>
          <w:sz w:val="20"/>
          <w:u w:val="single"/>
        </w:rPr>
        <w:t>TDD Slot Schedule Duration subfield size is 16 bits and indicated with the unit of us.</w:t>
      </w:r>
      <w:r w:rsidRPr="007E55BD">
        <w:rPr>
          <w:sz w:val="20"/>
        </w:rPr>
        <w:tab/>
      </w:r>
    </w:p>
    <w:p w14:paraId="24CA8F27" w14:textId="77777777" w:rsidR="007E55BD" w:rsidRPr="007E55BD" w:rsidRDefault="007E55BD" w:rsidP="007E55BD">
      <w:pPr>
        <w:rPr>
          <w:sz w:val="20"/>
        </w:rPr>
      </w:pPr>
    </w:p>
    <w:p w14:paraId="10583270" w14:textId="2293BC1F" w:rsidR="007E55BD" w:rsidRPr="007E55BD" w:rsidRDefault="007E55BD" w:rsidP="007E55BD">
      <w:pPr>
        <w:rPr>
          <w:color w:val="FF0000"/>
          <w:sz w:val="20"/>
        </w:rPr>
      </w:pPr>
      <w:r>
        <w:rPr>
          <w:sz w:val="20"/>
        </w:rPr>
        <w:t>The Bitmap and Access Type Schedule field defines the type of a TDD slot and the access permission of a DMG STA to the TDD slots covered by this bitmap. Each pair of consecutive 2 bits indicates the type and access permission of the TDD slot. A value of 00 (binary) indicates that the TDD slot is unassigned. A</w:t>
      </w:r>
      <w:r>
        <w:rPr>
          <w:sz w:val="20"/>
        </w:rPr>
        <w:t xml:space="preserve"> </w:t>
      </w:r>
      <w:r>
        <w:rPr>
          <w:sz w:val="20"/>
        </w:rPr>
        <w:t>value of 01 (binary) indicates the STA is assigned to a simplex TX TDD slot. A value of 10 (binary) indicates the STA is assigned to a simplex RX TDD slot. Value 11 (binary) is reserved. The size of the</w:t>
      </w:r>
      <w:r>
        <w:rPr>
          <w:szCs w:val="22"/>
        </w:rPr>
        <w:t xml:space="preserve"> </w:t>
      </w:r>
      <w:r>
        <w:rPr>
          <w:sz w:val="20"/>
        </w:rPr>
        <w:t>Bitmap and Access Type Schedule field is a function of the value of the Number of TDD Slots per TDD</w:t>
      </w:r>
      <w:r>
        <w:rPr>
          <w:szCs w:val="22"/>
        </w:rPr>
        <w:t xml:space="preserve"> </w:t>
      </w:r>
      <w:r>
        <w:rPr>
          <w:sz w:val="20"/>
        </w:rPr>
        <w:t xml:space="preserve">Interval subfield in the TDD Slot Structure element, </w:t>
      </w:r>
      <w:r>
        <w:rPr>
          <w:i/>
          <w:iCs/>
          <w:sz w:val="20"/>
        </w:rPr>
        <w:t>M</w:t>
      </w:r>
      <w:r>
        <w:rPr>
          <w:sz w:val="20"/>
        </w:rPr>
        <w:t>, and the value of the Number of TDD Intervals in</w:t>
      </w:r>
      <w:r>
        <w:rPr>
          <w:szCs w:val="22"/>
        </w:rPr>
        <w:t xml:space="preserve"> </w:t>
      </w:r>
      <w:r>
        <w:rPr>
          <w:sz w:val="20"/>
        </w:rPr>
        <w:t xml:space="preserve">the Bitmap subfield, </w:t>
      </w:r>
      <w:r>
        <w:rPr>
          <w:i/>
          <w:iCs/>
          <w:sz w:val="20"/>
        </w:rPr>
        <w:t>Q</w:t>
      </w:r>
      <w:r>
        <w:rPr>
          <w:sz w:val="20"/>
        </w:rPr>
        <w:t>.</w:t>
      </w:r>
      <w:r>
        <w:rPr>
          <w:sz w:val="20"/>
        </w:rPr>
        <w:t xml:space="preserve"> </w:t>
      </w:r>
      <w:r w:rsidRPr="007E55BD">
        <w:rPr>
          <w:color w:val="FF0000"/>
          <w:sz w:val="20"/>
          <w:u w:val="single"/>
        </w:rPr>
        <w:t>The Bitmap and Access Type Schedule and the Slot Category Schedule of the TDD slots covered by the bitmap are repeated during the time indicated in the TDD Slot Schedule Duration field</w:t>
      </w:r>
      <w:r>
        <w:rPr>
          <w:color w:val="FF0000"/>
          <w:sz w:val="20"/>
          <w:u w:val="single"/>
        </w:rPr>
        <w:t>.</w:t>
      </w:r>
      <w:r w:rsidRPr="007E55BD">
        <w:rPr>
          <w:color w:val="FF0000"/>
          <w:sz w:val="20"/>
          <w:u w:val="single"/>
        </w:rPr>
        <w:t xml:space="preserve">         </w:t>
      </w:r>
    </w:p>
    <w:p w14:paraId="09E29E6B" w14:textId="2A0B58BE" w:rsidR="007E55BD" w:rsidRDefault="007E55BD" w:rsidP="007E55BD">
      <w:pPr>
        <w:rPr>
          <w:rFonts w:ascii="TimesNewRomanPSMT" w:hAnsi="TimesNewRomanPSMT"/>
          <w:color w:val="000000"/>
          <w:sz w:val="20"/>
          <w:lang w:eastAsia="ko-KR"/>
        </w:rPr>
      </w:pPr>
    </w:p>
    <w:p w14:paraId="30B6594E" w14:textId="77777777" w:rsidR="003E0089" w:rsidRDefault="003E0089" w:rsidP="007E55BD">
      <w:pPr>
        <w:rPr>
          <w:rFonts w:ascii="TimesNewRomanPSMT" w:hAnsi="TimesNewRomanPSMT"/>
          <w:color w:val="000000"/>
          <w:sz w:val="20"/>
          <w:lang w:eastAsia="ko-KR"/>
        </w:rPr>
      </w:pPr>
    </w:p>
    <w:p w14:paraId="5E8CDF1A" w14:textId="77777777" w:rsidR="003E0089" w:rsidRDefault="003E0089" w:rsidP="007E55BD">
      <w:pPr>
        <w:rPr>
          <w:rFonts w:ascii="TimesNewRomanPSMT" w:hAnsi="TimesNewRomanPSMT"/>
          <w:color w:val="000000"/>
          <w:sz w:val="20"/>
          <w:lang w:eastAsia="ko-KR"/>
        </w:rPr>
      </w:pPr>
    </w:p>
    <w:p w14:paraId="5D57BEA6" w14:textId="77777777" w:rsidR="003E0089" w:rsidRPr="003E0089" w:rsidRDefault="003E0089" w:rsidP="007E55BD">
      <w:pPr>
        <w:rPr>
          <w:rFonts w:ascii="TimesNewRomanPSMT" w:hAnsi="TimesNewRomanPSMT"/>
          <w:b/>
          <w:color w:val="000000"/>
          <w:sz w:val="20"/>
          <w:lang w:eastAsia="ko-KR"/>
        </w:rPr>
      </w:pPr>
    </w:p>
    <w:p w14:paraId="0A39D281" w14:textId="32714B08" w:rsidR="003E0089" w:rsidRPr="003E0089" w:rsidRDefault="003E0089" w:rsidP="007E55BD">
      <w:pPr>
        <w:rPr>
          <w:rFonts w:ascii="TimesNewRomanPSMT" w:hAnsi="TimesNewRomanPSMT"/>
          <w:b/>
          <w:color w:val="000000"/>
          <w:sz w:val="20"/>
          <w:lang w:eastAsia="ko-KR"/>
        </w:rPr>
      </w:pPr>
      <w:r w:rsidRPr="003E0089">
        <w:rPr>
          <w:rFonts w:ascii="TimesNewRomanPSMT" w:hAnsi="TimesNewRomanPSMT" w:hint="eastAsia"/>
          <w:b/>
          <w:color w:val="000000"/>
          <w:sz w:val="20"/>
          <w:lang w:eastAsia="ko-KR"/>
        </w:rPr>
        <w:t>Straw poll</w:t>
      </w:r>
    </w:p>
    <w:p w14:paraId="21D617A0" w14:textId="2E071DCE" w:rsidR="00000000" w:rsidRPr="003E0089" w:rsidRDefault="00087AA5" w:rsidP="003E0089">
      <w:pPr>
        <w:numPr>
          <w:ilvl w:val="0"/>
          <w:numId w:val="41"/>
        </w:numPr>
        <w:rPr>
          <w:rFonts w:ascii="TimesNewRomanPSMT" w:hAnsi="TimesNewRomanPSMT"/>
          <w:color w:val="000000"/>
          <w:sz w:val="20"/>
          <w:lang w:val="en-US" w:eastAsia="ko-KR"/>
        </w:rPr>
      </w:pPr>
      <w:r w:rsidRPr="003E0089">
        <w:rPr>
          <w:rFonts w:ascii="TimesNewRomanPSMT" w:hAnsi="TimesNewRomanPSMT"/>
          <w:b/>
          <w:bCs/>
          <w:color w:val="000000"/>
          <w:sz w:val="20"/>
          <w:lang w:val="en-US" w:eastAsia="ko-KR"/>
        </w:rPr>
        <w:t>Do you agree to include the text for TDD slot schedule duration m</w:t>
      </w:r>
      <w:r w:rsidR="003E0089">
        <w:rPr>
          <w:rFonts w:ascii="TimesNewRomanPSMT" w:hAnsi="TimesNewRomanPSMT"/>
          <w:b/>
          <w:bCs/>
          <w:color w:val="000000"/>
          <w:sz w:val="20"/>
          <w:lang w:val="en-US" w:eastAsia="ko-KR"/>
        </w:rPr>
        <w:t>echanism proposed in (11-18-0951</w:t>
      </w:r>
      <w:r w:rsidRPr="003E0089">
        <w:rPr>
          <w:rFonts w:ascii="TimesNewRomanPSMT" w:hAnsi="TimesNewRomanPSMT"/>
          <w:b/>
          <w:bCs/>
          <w:color w:val="000000"/>
          <w:sz w:val="20"/>
          <w:lang w:val="en-US" w:eastAsia="ko-KR"/>
        </w:rPr>
        <w:t>-00-00ay-Efficient TDD slot schedule mechanism</w:t>
      </w:r>
      <w:r w:rsidR="003E0089">
        <w:rPr>
          <w:rFonts w:ascii="TimesNewRomanPSMT" w:hAnsi="TimesNewRomanPSMT"/>
          <w:b/>
          <w:bCs/>
          <w:color w:val="000000"/>
          <w:sz w:val="20"/>
          <w:lang w:val="en-US" w:eastAsia="ko-KR"/>
        </w:rPr>
        <w:t xml:space="preserve"> text</w:t>
      </w:r>
      <w:r w:rsidRPr="003E0089">
        <w:rPr>
          <w:rFonts w:ascii="TimesNewRomanPSMT" w:hAnsi="TimesNewRomanPSMT"/>
          <w:b/>
          <w:bCs/>
          <w:color w:val="000000"/>
          <w:sz w:val="20"/>
          <w:lang w:val="en-US" w:eastAsia="ko-KR"/>
        </w:rPr>
        <w:t>) to the spec draft?</w:t>
      </w:r>
    </w:p>
    <w:p w14:paraId="674D5D6D" w14:textId="77777777" w:rsidR="003E0089" w:rsidRPr="003E0089" w:rsidRDefault="003E0089" w:rsidP="007E55BD">
      <w:pPr>
        <w:rPr>
          <w:rFonts w:ascii="TimesNewRomanPSMT" w:hAnsi="TimesNewRomanPSMT" w:hint="eastAsia"/>
          <w:color w:val="000000"/>
          <w:sz w:val="20"/>
          <w:lang w:val="en-US" w:eastAsia="ko-KR"/>
        </w:rPr>
      </w:pPr>
    </w:p>
    <w:sectPr w:rsidR="003E0089" w:rsidRPr="003E008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572C8" w14:textId="77777777" w:rsidR="00087AA5" w:rsidRDefault="00087AA5">
      <w:r>
        <w:separator/>
      </w:r>
    </w:p>
  </w:endnote>
  <w:endnote w:type="continuationSeparator" w:id="0">
    <w:p w14:paraId="40BC6DB7" w14:textId="77777777" w:rsidR="00087AA5" w:rsidRDefault="0008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1F04" w14:textId="77777777" w:rsidR="009C533D" w:rsidRDefault="002F36BA" w:rsidP="00D06651">
    <w:pPr>
      <w:pStyle w:val="a3"/>
      <w:tabs>
        <w:tab w:val="clear" w:pos="6480"/>
        <w:tab w:val="center" w:pos="4680"/>
        <w:tab w:val="right" w:pos="9360"/>
      </w:tabs>
    </w:pPr>
    <w:fldSimple w:instr=" SUBJECT  \* MERGEFORMAT ">
      <w:r w:rsidR="009C533D">
        <w:t>Submission</w:t>
      </w:r>
    </w:fldSimple>
    <w:r w:rsidR="009C533D">
      <w:tab/>
      <w:t xml:space="preserve">page </w:t>
    </w:r>
    <w:r w:rsidR="009C533D">
      <w:fldChar w:fldCharType="begin"/>
    </w:r>
    <w:r w:rsidR="009C533D">
      <w:instrText xml:space="preserve">page </w:instrText>
    </w:r>
    <w:r w:rsidR="009C533D">
      <w:fldChar w:fldCharType="separate"/>
    </w:r>
    <w:r w:rsidR="00805BCD">
      <w:rPr>
        <w:noProof/>
      </w:rPr>
      <w:t>2</w:t>
    </w:r>
    <w:r w:rsidR="009C533D">
      <w:fldChar w:fldCharType="end"/>
    </w:r>
    <w:r w:rsidR="009C533D">
      <w:tab/>
    </w:r>
    <w:r w:rsidR="00DA60BE">
      <w:fldChar w:fldCharType="begin"/>
    </w:r>
    <w:r w:rsidR="00DA60BE">
      <w:instrText xml:space="preserve"> COMMENTS  \* MERGEFORMAT </w:instrText>
    </w:r>
    <w:r w:rsidR="00DA60BE">
      <w:fldChar w:fldCharType="separate"/>
    </w:r>
    <w:r w:rsidR="009C533D">
      <w:t xml:space="preserve">Oren </w:t>
    </w:r>
    <w:proofErr w:type="spellStart"/>
    <w:r w:rsidR="009C533D">
      <w:t>Kedem</w:t>
    </w:r>
    <w:proofErr w:type="spellEnd"/>
    <w:r w:rsidR="009C533D">
      <w:t>, Intel</w:t>
    </w:r>
    <w:r w:rsidR="00DA60BE">
      <w:fldChar w:fldCharType="end"/>
    </w:r>
  </w:p>
  <w:p w14:paraId="58B9A668" w14:textId="77777777" w:rsidR="009C533D" w:rsidRDefault="009C53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5A5AF" w14:textId="77777777" w:rsidR="00087AA5" w:rsidRDefault="00087AA5">
      <w:r>
        <w:separator/>
      </w:r>
    </w:p>
  </w:footnote>
  <w:footnote w:type="continuationSeparator" w:id="0">
    <w:p w14:paraId="0E5DF474" w14:textId="77777777" w:rsidR="00087AA5" w:rsidRDefault="00087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C3B1" w14:textId="41A00366" w:rsidR="009C533D" w:rsidRDefault="002F36BA">
    <w:pPr>
      <w:pStyle w:val="a4"/>
      <w:tabs>
        <w:tab w:val="clear" w:pos="6480"/>
        <w:tab w:val="center" w:pos="4680"/>
        <w:tab w:val="right" w:pos="9360"/>
      </w:tabs>
    </w:pPr>
    <w:r>
      <w:fldChar w:fldCharType="begin"/>
    </w:r>
    <w:r>
      <w:instrText xml:space="preserve"> KEYWORDS  \* MERGEFORMAT </w:instrText>
    </w:r>
    <w:r>
      <w:fldChar w:fldCharType="separate"/>
    </w:r>
    <w:r w:rsidR="00DB54F4">
      <w:rPr>
        <w:rFonts w:hint="eastAsia"/>
        <w:lang w:eastAsia="ko-KR"/>
      </w:rPr>
      <w:t>Ma</w:t>
    </w:r>
    <w:r w:rsidR="009C533D">
      <w:t>y 201</w:t>
    </w:r>
    <w:r>
      <w:fldChar w:fldCharType="end"/>
    </w:r>
    <w:r w:rsidR="00E75315">
      <w:t>8</w:t>
    </w:r>
    <w:r w:rsidR="009C533D">
      <w:tab/>
    </w:r>
    <w:r w:rsidR="009C533D">
      <w:tab/>
    </w:r>
    <w:fldSimple w:instr=" TITLE  \* MERGEFORMAT ">
      <w:r w:rsidR="009C533D">
        <w:t>doc.: IEEE 802.11-</w:t>
      </w:r>
      <w:r w:rsidR="009E2C28">
        <w:rPr>
          <w:rFonts w:hint="eastAsia"/>
          <w:lang w:eastAsia="ko-KR"/>
        </w:rPr>
        <w:t>17</w:t>
      </w:r>
      <w:r w:rsidR="009E2C28">
        <w:t>/</w:t>
      </w:r>
      <w:r w:rsidR="009E2C28">
        <w:rPr>
          <w:rFonts w:hint="eastAsia"/>
          <w:lang w:eastAsia="ko-KR"/>
        </w:rPr>
        <w:t>0</w:t>
      </w:r>
      <w:r w:rsidR="00335D41">
        <w:rPr>
          <w:lang w:eastAsia="ko-KR"/>
        </w:rPr>
        <w:t>95</w:t>
      </w:r>
      <w:r w:rsidR="009C533D">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0CC"/>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F4E4F"/>
    <w:multiLevelType w:val="hybridMultilevel"/>
    <w:tmpl w:val="0C4AF344"/>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2D1147"/>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A479A3"/>
    <w:multiLevelType w:val="hybridMultilevel"/>
    <w:tmpl w:val="4FEC7744"/>
    <w:lvl w:ilvl="0" w:tplc="C330C2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0191C"/>
    <w:multiLevelType w:val="hybridMultilevel"/>
    <w:tmpl w:val="337EF41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231E749C"/>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8F55293"/>
    <w:multiLevelType w:val="hybridMultilevel"/>
    <w:tmpl w:val="B980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C03A4"/>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D453F32"/>
    <w:multiLevelType w:val="hybridMultilevel"/>
    <w:tmpl w:val="64DEF5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60B65"/>
    <w:multiLevelType w:val="hybridMultilevel"/>
    <w:tmpl w:val="BF28FB4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DA"/>
    <w:multiLevelType w:val="hybridMultilevel"/>
    <w:tmpl w:val="337EF41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D32037"/>
    <w:multiLevelType w:val="hybridMultilevel"/>
    <w:tmpl w:val="D1CC3DD6"/>
    <w:lvl w:ilvl="0" w:tplc="C330C2C2">
      <w:start w:val="1"/>
      <w:numFmt w:val="bullet"/>
      <w:lvlText w:val=""/>
      <w:lvlJc w:val="left"/>
      <w:pPr>
        <w:ind w:left="720" w:hanging="360"/>
      </w:pPr>
      <w:rPr>
        <w:rFonts w:ascii="Symbol" w:hAnsi="Symbol" w:hint="default"/>
      </w:rPr>
    </w:lvl>
    <w:lvl w:ilvl="1" w:tplc="C330C2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92312"/>
    <w:multiLevelType w:val="hybridMultilevel"/>
    <w:tmpl w:val="D374B55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34330AE"/>
    <w:multiLevelType w:val="hybridMultilevel"/>
    <w:tmpl w:val="378A06E2"/>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9003C9C"/>
    <w:multiLevelType w:val="hybridMultilevel"/>
    <w:tmpl w:val="ECAAE000"/>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893EFD"/>
    <w:multiLevelType w:val="hybridMultilevel"/>
    <w:tmpl w:val="A0C07EB8"/>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70CFE"/>
    <w:multiLevelType w:val="hybridMultilevel"/>
    <w:tmpl w:val="337EF41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DB31737"/>
    <w:multiLevelType w:val="hybridMultilevel"/>
    <w:tmpl w:val="24400E9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5" w15:restartNumberingAfterBreak="0">
    <w:nsid w:val="4EBE05F1"/>
    <w:multiLevelType w:val="hybridMultilevel"/>
    <w:tmpl w:val="C5943742"/>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371191"/>
    <w:multiLevelType w:val="hybridMultilevel"/>
    <w:tmpl w:val="4D10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A5ACA"/>
    <w:multiLevelType w:val="hybridMultilevel"/>
    <w:tmpl w:val="64DEF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B07F90"/>
    <w:multiLevelType w:val="hybridMultilevel"/>
    <w:tmpl w:val="24400E9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03D418E"/>
    <w:multiLevelType w:val="hybridMultilevel"/>
    <w:tmpl w:val="24C28BC8"/>
    <w:lvl w:ilvl="0" w:tplc="C330C2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E34DF"/>
    <w:multiLevelType w:val="hybridMultilevel"/>
    <w:tmpl w:val="FA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A05E5"/>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4E018E"/>
    <w:multiLevelType w:val="hybridMultilevel"/>
    <w:tmpl w:val="0ECC05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0D7CE4"/>
    <w:multiLevelType w:val="hybridMultilevel"/>
    <w:tmpl w:val="F4E46732"/>
    <w:lvl w:ilvl="0" w:tplc="C330C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D5AC9"/>
    <w:multiLevelType w:val="hybridMultilevel"/>
    <w:tmpl w:val="CFFED2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951371"/>
    <w:multiLevelType w:val="hybridMultilevel"/>
    <w:tmpl w:val="0674CB9A"/>
    <w:lvl w:ilvl="0" w:tplc="C330C2C2">
      <w:start w:val="1"/>
      <w:numFmt w:val="bullet"/>
      <w:lvlText w:val=""/>
      <w:lvlJc w:val="left"/>
      <w:pPr>
        <w:ind w:left="720" w:hanging="360"/>
      </w:pPr>
      <w:rPr>
        <w:rFonts w:ascii="Symbol" w:hAnsi="Symbol" w:hint="default"/>
      </w:rPr>
    </w:lvl>
    <w:lvl w:ilvl="1" w:tplc="C330C2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A7856"/>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5A63ED"/>
    <w:multiLevelType w:val="hybridMultilevel"/>
    <w:tmpl w:val="64DEF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9C1849"/>
    <w:multiLevelType w:val="hybridMultilevel"/>
    <w:tmpl w:val="24400E9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C8B2208"/>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C420AD"/>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
  </w:num>
  <w:num w:numId="3">
    <w:abstractNumId w:val="30"/>
  </w:num>
  <w:num w:numId="4">
    <w:abstractNumId w:val="13"/>
  </w:num>
  <w:num w:numId="5">
    <w:abstractNumId w:val="1"/>
  </w:num>
  <w:num w:numId="6">
    <w:abstractNumId w:val="9"/>
  </w:num>
  <w:num w:numId="7">
    <w:abstractNumId w:val="26"/>
  </w:num>
  <w:num w:numId="8">
    <w:abstractNumId w:val="31"/>
  </w:num>
  <w:num w:numId="9">
    <w:abstractNumId w:val="5"/>
  </w:num>
  <w:num w:numId="10">
    <w:abstractNumId w:val="14"/>
  </w:num>
  <w:num w:numId="11">
    <w:abstractNumId w:val="10"/>
  </w:num>
  <w:num w:numId="12">
    <w:abstractNumId w:val="34"/>
  </w:num>
  <w:num w:numId="13">
    <w:abstractNumId w:val="16"/>
  </w:num>
  <w:num w:numId="14">
    <w:abstractNumId w:val="29"/>
  </w:num>
  <w:num w:numId="15">
    <w:abstractNumId w:val="35"/>
  </w:num>
  <w:num w:numId="16">
    <w:abstractNumId w:val="28"/>
  </w:num>
  <w:num w:numId="17">
    <w:abstractNumId w:val="19"/>
  </w:num>
  <w:num w:numId="18">
    <w:abstractNumId w:val="3"/>
  </w:num>
  <w:num w:numId="19">
    <w:abstractNumId w:val="22"/>
  </w:num>
  <w:num w:numId="20">
    <w:abstractNumId w:val="6"/>
  </w:num>
  <w:num w:numId="21">
    <w:abstractNumId w:val="12"/>
  </w:num>
  <w:num w:numId="22">
    <w:abstractNumId w:val="39"/>
  </w:num>
  <w:num w:numId="23">
    <w:abstractNumId w:val="27"/>
  </w:num>
  <w:num w:numId="24">
    <w:abstractNumId w:val="23"/>
  </w:num>
  <w:num w:numId="25">
    <w:abstractNumId w:val="17"/>
  </w:num>
  <w:num w:numId="26">
    <w:abstractNumId w:val="4"/>
  </w:num>
  <w:num w:numId="27">
    <w:abstractNumId w:val="0"/>
  </w:num>
  <w:num w:numId="28">
    <w:abstractNumId w:val="32"/>
  </w:num>
  <w:num w:numId="29">
    <w:abstractNumId w:val="25"/>
  </w:num>
  <w:num w:numId="30">
    <w:abstractNumId w:val="38"/>
  </w:num>
  <w:num w:numId="31">
    <w:abstractNumId w:val="18"/>
  </w:num>
  <w:num w:numId="32">
    <w:abstractNumId w:val="8"/>
  </w:num>
  <w:num w:numId="33">
    <w:abstractNumId w:val="37"/>
  </w:num>
  <w:num w:numId="34">
    <w:abstractNumId w:val="15"/>
  </w:num>
  <w:num w:numId="35">
    <w:abstractNumId w:val="20"/>
  </w:num>
  <w:num w:numId="36">
    <w:abstractNumId w:val="41"/>
  </w:num>
  <w:num w:numId="37">
    <w:abstractNumId w:val="11"/>
  </w:num>
  <w:num w:numId="38">
    <w:abstractNumId w:val="33"/>
  </w:num>
  <w:num w:numId="39">
    <w:abstractNumId w:val="40"/>
  </w:num>
  <w:num w:numId="40">
    <w:abstractNumId w:val="36"/>
  </w:num>
  <w:num w:numId="41">
    <w:abstractNumId w:val="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2B67"/>
    <w:rsid w:val="0000347E"/>
    <w:rsid w:val="00011123"/>
    <w:rsid w:val="00011893"/>
    <w:rsid w:val="000128BB"/>
    <w:rsid w:val="00016A68"/>
    <w:rsid w:val="00033FB4"/>
    <w:rsid w:val="000363A3"/>
    <w:rsid w:val="00040802"/>
    <w:rsid w:val="00054F44"/>
    <w:rsid w:val="00071A34"/>
    <w:rsid w:val="00076875"/>
    <w:rsid w:val="00076F91"/>
    <w:rsid w:val="00082A3C"/>
    <w:rsid w:val="000853CA"/>
    <w:rsid w:val="00086535"/>
    <w:rsid w:val="00086A92"/>
    <w:rsid w:val="00087AA5"/>
    <w:rsid w:val="00090756"/>
    <w:rsid w:val="000A0D6B"/>
    <w:rsid w:val="000A6D14"/>
    <w:rsid w:val="000B0FCF"/>
    <w:rsid w:val="000B7E81"/>
    <w:rsid w:val="000C0FAB"/>
    <w:rsid w:val="000D6F12"/>
    <w:rsid w:val="000D738B"/>
    <w:rsid w:val="000E07D4"/>
    <w:rsid w:val="000E1B9E"/>
    <w:rsid w:val="000E310E"/>
    <w:rsid w:val="000E513E"/>
    <w:rsid w:val="000F196E"/>
    <w:rsid w:val="000F3078"/>
    <w:rsid w:val="000F4E4C"/>
    <w:rsid w:val="000F5882"/>
    <w:rsid w:val="000F5924"/>
    <w:rsid w:val="000F646A"/>
    <w:rsid w:val="00102715"/>
    <w:rsid w:val="00104B4E"/>
    <w:rsid w:val="00110A7B"/>
    <w:rsid w:val="00114D8C"/>
    <w:rsid w:val="001151E9"/>
    <w:rsid w:val="00124F53"/>
    <w:rsid w:val="0012586F"/>
    <w:rsid w:val="00136917"/>
    <w:rsid w:val="00137DCA"/>
    <w:rsid w:val="001404C0"/>
    <w:rsid w:val="001429BA"/>
    <w:rsid w:val="0014677D"/>
    <w:rsid w:val="00147C35"/>
    <w:rsid w:val="00153D5D"/>
    <w:rsid w:val="00157EA4"/>
    <w:rsid w:val="001619EA"/>
    <w:rsid w:val="0016421F"/>
    <w:rsid w:val="00171EFD"/>
    <w:rsid w:val="0017376A"/>
    <w:rsid w:val="001745BA"/>
    <w:rsid w:val="00175C36"/>
    <w:rsid w:val="00176848"/>
    <w:rsid w:val="00180CEE"/>
    <w:rsid w:val="00187C63"/>
    <w:rsid w:val="001906CC"/>
    <w:rsid w:val="00190C5C"/>
    <w:rsid w:val="00193ABA"/>
    <w:rsid w:val="001A19A1"/>
    <w:rsid w:val="001A3722"/>
    <w:rsid w:val="001A437F"/>
    <w:rsid w:val="001A4B55"/>
    <w:rsid w:val="001B0387"/>
    <w:rsid w:val="001B13C8"/>
    <w:rsid w:val="001B38C2"/>
    <w:rsid w:val="001C066F"/>
    <w:rsid w:val="001D26BC"/>
    <w:rsid w:val="001D323C"/>
    <w:rsid w:val="001D36F9"/>
    <w:rsid w:val="001D60C0"/>
    <w:rsid w:val="001D6E81"/>
    <w:rsid w:val="001D723B"/>
    <w:rsid w:val="001E5480"/>
    <w:rsid w:val="001E7EEC"/>
    <w:rsid w:val="001F15D9"/>
    <w:rsid w:val="001F5218"/>
    <w:rsid w:val="001F7509"/>
    <w:rsid w:val="002068CC"/>
    <w:rsid w:val="00206F2A"/>
    <w:rsid w:val="0021291F"/>
    <w:rsid w:val="002146E7"/>
    <w:rsid w:val="00216BB2"/>
    <w:rsid w:val="002224CC"/>
    <w:rsid w:val="00225DF9"/>
    <w:rsid w:val="0022657A"/>
    <w:rsid w:val="002350B5"/>
    <w:rsid w:val="00241455"/>
    <w:rsid w:val="00243A30"/>
    <w:rsid w:val="002453B8"/>
    <w:rsid w:val="002504F0"/>
    <w:rsid w:val="00251670"/>
    <w:rsid w:val="002533B0"/>
    <w:rsid w:val="00253CD4"/>
    <w:rsid w:val="002571EE"/>
    <w:rsid w:val="00257887"/>
    <w:rsid w:val="00261D35"/>
    <w:rsid w:val="002629E0"/>
    <w:rsid w:val="0026322D"/>
    <w:rsid w:val="00263AD8"/>
    <w:rsid w:val="00265C1D"/>
    <w:rsid w:val="00266495"/>
    <w:rsid w:val="00272561"/>
    <w:rsid w:val="00277486"/>
    <w:rsid w:val="002774C1"/>
    <w:rsid w:val="00286E24"/>
    <w:rsid w:val="00287F7E"/>
    <w:rsid w:val="0029020B"/>
    <w:rsid w:val="0029122F"/>
    <w:rsid w:val="002A50E3"/>
    <w:rsid w:val="002B3E05"/>
    <w:rsid w:val="002B6105"/>
    <w:rsid w:val="002B72BC"/>
    <w:rsid w:val="002C111A"/>
    <w:rsid w:val="002C1DA1"/>
    <w:rsid w:val="002C70CA"/>
    <w:rsid w:val="002D2A1D"/>
    <w:rsid w:val="002D44BE"/>
    <w:rsid w:val="002D7E2A"/>
    <w:rsid w:val="002E586A"/>
    <w:rsid w:val="002F01EF"/>
    <w:rsid w:val="002F236D"/>
    <w:rsid w:val="002F36BA"/>
    <w:rsid w:val="002F387C"/>
    <w:rsid w:val="00303E46"/>
    <w:rsid w:val="00310EC6"/>
    <w:rsid w:val="00314A90"/>
    <w:rsid w:val="0031594A"/>
    <w:rsid w:val="0031702E"/>
    <w:rsid w:val="00325D2C"/>
    <w:rsid w:val="003271BE"/>
    <w:rsid w:val="0032746F"/>
    <w:rsid w:val="00331069"/>
    <w:rsid w:val="00332A65"/>
    <w:rsid w:val="00335D41"/>
    <w:rsid w:val="0033620F"/>
    <w:rsid w:val="00336EE4"/>
    <w:rsid w:val="003476D1"/>
    <w:rsid w:val="00353F0B"/>
    <w:rsid w:val="00356138"/>
    <w:rsid w:val="00356B46"/>
    <w:rsid w:val="0037745A"/>
    <w:rsid w:val="003818AA"/>
    <w:rsid w:val="00383097"/>
    <w:rsid w:val="00384E00"/>
    <w:rsid w:val="00387FE2"/>
    <w:rsid w:val="00394117"/>
    <w:rsid w:val="0039503D"/>
    <w:rsid w:val="003951CE"/>
    <w:rsid w:val="003A214B"/>
    <w:rsid w:val="003A5375"/>
    <w:rsid w:val="003A7784"/>
    <w:rsid w:val="003A779C"/>
    <w:rsid w:val="003B0BBE"/>
    <w:rsid w:val="003B4EF9"/>
    <w:rsid w:val="003C3B9F"/>
    <w:rsid w:val="003D0B34"/>
    <w:rsid w:val="003D4707"/>
    <w:rsid w:val="003E0089"/>
    <w:rsid w:val="003E028A"/>
    <w:rsid w:val="003E613D"/>
    <w:rsid w:val="003F03E3"/>
    <w:rsid w:val="003F1C91"/>
    <w:rsid w:val="003F3878"/>
    <w:rsid w:val="003F484B"/>
    <w:rsid w:val="003F4F01"/>
    <w:rsid w:val="003F7F63"/>
    <w:rsid w:val="00402498"/>
    <w:rsid w:val="004029AB"/>
    <w:rsid w:val="00404165"/>
    <w:rsid w:val="00410B6F"/>
    <w:rsid w:val="00417EBA"/>
    <w:rsid w:val="00421F25"/>
    <w:rsid w:val="004251A4"/>
    <w:rsid w:val="00442037"/>
    <w:rsid w:val="00442EDC"/>
    <w:rsid w:val="004467C5"/>
    <w:rsid w:val="004518E6"/>
    <w:rsid w:val="004528F0"/>
    <w:rsid w:val="00455C9B"/>
    <w:rsid w:val="00456D6D"/>
    <w:rsid w:val="004578C2"/>
    <w:rsid w:val="00461356"/>
    <w:rsid w:val="004679EB"/>
    <w:rsid w:val="00474537"/>
    <w:rsid w:val="004753ED"/>
    <w:rsid w:val="0048204A"/>
    <w:rsid w:val="0048337A"/>
    <w:rsid w:val="004835F5"/>
    <w:rsid w:val="00487FEF"/>
    <w:rsid w:val="00492E99"/>
    <w:rsid w:val="0049385C"/>
    <w:rsid w:val="004A07AC"/>
    <w:rsid w:val="004A1C7D"/>
    <w:rsid w:val="004A31DE"/>
    <w:rsid w:val="004A640E"/>
    <w:rsid w:val="004B064B"/>
    <w:rsid w:val="004B1139"/>
    <w:rsid w:val="004C17FD"/>
    <w:rsid w:val="004C408E"/>
    <w:rsid w:val="004C5435"/>
    <w:rsid w:val="004D20A3"/>
    <w:rsid w:val="004D33B8"/>
    <w:rsid w:val="004D3F07"/>
    <w:rsid w:val="004D68AA"/>
    <w:rsid w:val="004D7E3E"/>
    <w:rsid w:val="004F6869"/>
    <w:rsid w:val="004F6EC3"/>
    <w:rsid w:val="00503BC7"/>
    <w:rsid w:val="00504B7A"/>
    <w:rsid w:val="005069C6"/>
    <w:rsid w:val="0051296C"/>
    <w:rsid w:val="005167D9"/>
    <w:rsid w:val="00545C3A"/>
    <w:rsid w:val="00553400"/>
    <w:rsid w:val="00574A66"/>
    <w:rsid w:val="005753C5"/>
    <w:rsid w:val="00575C5F"/>
    <w:rsid w:val="0058117B"/>
    <w:rsid w:val="00581A54"/>
    <w:rsid w:val="00586B7F"/>
    <w:rsid w:val="00592AA1"/>
    <w:rsid w:val="00597A71"/>
    <w:rsid w:val="005A095E"/>
    <w:rsid w:val="005A5F05"/>
    <w:rsid w:val="005A7759"/>
    <w:rsid w:val="005B6F93"/>
    <w:rsid w:val="005C0E3B"/>
    <w:rsid w:val="005C4EB8"/>
    <w:rsid w:val="005D3DAD"/>
    <w:rsid w:val="005E1080"/>
    <w:rsid w:val="005E16B2"/>
    <w:rsid w:val="005F6376"/>
    <w:rsid w:val="005F7DCD"/>
    <w:rsid w:val="00600752"/>
    <w:rsid w:val="006034AE"/>
    <w:rsid w:val="0060372D"/>
    <w:rsid w:val="00604A2B"/>
    <w:rsid w:val="00610BCE"/>
    <w:rsid w:val="0061484A"/>
    <w:rsid w:val="00620D63"/>
    <w:rsid w:val="00622196"/>
    <w:rsid w:val="00623A85"/>
    <w:rsid w:val="0062440B"/>
    <w:rsid w:val="00630E72"/>
    <w:rsid w:val="00631889"/>
    <w:rsid w:val="00632573"/>
    <w:rsid w:val="00642CCE"/>
    <w:rsid w:val="00644FAB"/>
    <w:rsid w:val="00645672"/>
    <w:rsid w:val="00652D38"/>
    <w:rsid w:val="00653F0F"/>
    <w:rsid w:val="00664F0E"/>
    <w:rsid w:val="006700CB"/>
    <w:rsid w:val="0067435D"/>
    <w:rsid w:val="00674A44"/>
    <w:rsid w:val="006848A0"/>
    <w:rsid w:val="00685925"/>
    <w:rsid w:val="00692A8E"/>
    <w:rsid w:val="00694C3D"/>
    <w:rsid w:val="006A3C15"/>
    <w:rsid w:val="006B34B2"/>
    <w:rsid w:val="006B7693"/>
    <w:rsid w:val="006C04D1"/>
    <w:rsid w:val="006C0727"/>
    <w:rsid w:val="006C3F58"/>
    <w:rsid w:val="006C438F"/>
    <w:rsid w:val="006C4DAB"/>
    <w:rsid w:val="006D07F0"/>
    <w:rsid w:val="006D1031"/>
    <w:rsid w:val="006D4020"/>
    <w:rsid w:val="006D7068"/>
    <w:rsid w:val="006E145F"/>
    <w:rsid w:val="006E4C0F"/>
    <w:rsid w:val="00700021"/>
    <w:rsid w:val="00702AB2"/>
    <w:rsid w:val="007074CD"/>
    <w:rsid w:val="00707A2D"/>
    <w:rsid w:val="007118D8"/>
    <w:rsid w:val="00713B74"/>
    <w:rsid w:val="00730A5D"/>
    <w:rsid w:val="00736011"/>
    <w:rsid w:val="00756E72"/>
    <w:rsid w:val="00763443"/>
    <w:rsid w:val="00770572"/>
    <w:rsid w:val="00772119"/>
    <w:rsid w:val="00774DA0"/>
    <w:rsid w:val="00784B31"/>
    <w:rsid w:val="00790A30"/>
    <w:rsid w:val="00794D59"/>
    <w:rsid w:val="007A2CBA"/>
    <w:rsid w:val="007A6676"/>
    <w:rsid w:val="007B0FE0"/>
    <w:rsid w:val="007B6321"/>
    <w:rsid w:val="007B6971"/>
    <w:rsid w:val="007C05BB"/>
    <w:rsid w:val="007C0BD1"/>
    <w:rsid w:val="007C46D2"/>
    <w:rsid w:val="007C486F"/>
    <w:rsid w:val="007D1B66"/>
    <w:rsid w:val="007E55BD"/>
    <w:rsid w:val="00802665"/>
    <w:rsid w:val="00805BCD"/>
    <w:rsid w:val="00806232"/>
    <w:rsid w:val="0080786C"/>
    <w:rsid w:val="00812741"/>
    <w:rsid w:val="00813292"/>
    <w:rsid w:val="00814B47"/>
    <w:rsid w:val="00815D68"/>
    <w:rsid w:val="0082011E"/>
    <w:rsid w:val="00822FF1"/>
    <w:rsid w:val="00825FC1"/>
    <w:rsid w:val="008308CC"/>
    <w:rsid w:val="008335D9"/>
    <w:rsid w:val="00836EFB"/>
    <w:rsid w:val="00844D84"/>
    <w:rsid w:val="00845D48"/>
    <w:rsid w:val="00855205"/>
    <w:rsid w:val="008603E8"/>
    <w:rsid w:val="0086260E"/>
    <w:rsid w:val="00873AA6"/>
    <w:rsid w:val="00875642"/>
    <w:rsid w:val="008763E0"/>
    <w:rsid w:val="00887EFB"/>
    <w:rsid w:val="008948AF"/>
    <w:rsid w:val="00897557"/>
    <w:rsid w:val="008A02D8"/>
    <w:rsid w:val="008A2BBA"/>
    <w:rsid w:val="008A3282"/>
    <w:rsid w:val="008A5D0D"/>
    <w:rsid w:val="008A73B0"/>
    <w:rsid w:val="008B4BE7"/>
    <w:rsid w:val="008C5486"/>
    <w:rsid w:val="008D295C"/>
    <w:rsid w:val="008D320E"/>
    <w:rsid w:val="008D3F1B"/>
    <w:rsid w:val="008D5FA6"/>
    <w:rsid w:val="008E3024"/>
    <w:rsid w:val="008F31ED"/>
    <w:rsid w:val="0090163B"/>
    <w:rsid w:val="009040DB"/>
    <w:rsid w:val="00906DEB"/>
    <w:rsid w:val="00914A3C"/>
    <w:rsid w:val="0091509A"/>
    <w:rsid w:val="00917959"/>
    <w:rsid w:val="009264AB"/>
    <w:rsid w:val="009264C2"/>
    <w:rsid w:val="009301BD"/>
    <w:rsid w:val="009312D9"/>
    <w:rsid w:val="00931387"/>
    <w:rsid w:val="00944483"/>
    <w:rsid w:val="00951EF3"/>
    <w:rsid w:val="00953DAB"/>
    <w:rsid w:val="00962D9F"/>
    <w:rsid w:val="009640BC"/>
    <w:rsid w:val="00967C64"/>
    <w:rsid w:val="00967D9D"/>
    <w:rsid w:val="009708A3"/>
    <w:rsid w:val="00976050"/>
    <w:rsid w:val="009840FB"/>
    <w:rsid w:val="009859C9"/>
    <w:rsid w:val="009874E8"/>
    <w:rsid w:val="00990793"/>
    <w:rsid w:val="009A22F4"/>
    <w:rsid w:val="009A2AAC"/>
    <w:rsid w:val="009A4A86"/>
    <w:rsid w:val="009A6C65"/>
    <w:rsid w:val="009B00E9"/>
    <w:rsid w:val="009B27A3"/>
    <w:rsid w:val="009B320F"/>
    <w:rsid w:val="009C533D"/>
    <w:rsid w:val="009C7B08"/>
    <w:rsid w:val="009D1420"/>
    <w:rsid w:val="009D2E18"/>
    <w:rsid w:val="009E2C28"/>
    <w:rsid w:val="009E3A11"/>
    <w:rsid w:val="009E768B"/>
    <w:rsid w:val="009F2FBC"/>
    <w:rsid w:val="00A050D8"/>
    <w:rsid w:val="00A061B4"/>
    <w:rsid w:val="00A06FD7"/>
    <w:rsid w:val="00A072F4"/>
    <w:rsid w:val="00A17289"/>
    <w:rsid w:val="00A343B4"/>
    <w:rsid w:val="00A37995"/>
    <w:rsid w:val="00A40C4F"/>
    <w:rsid w:val="00A437F2"/>
    <w:rsid w:val="00A50BD3"/>
    <w:rsid w:val="00A52483"/>
    <w:rsid w:val="00A6154E"/>
    <w:rsid w:val="00A62CAA"/>
    <w:rsid w:val="00A67358"/>
    <w:rsid w:val="00A67C68"/>
    <w:rsid w:val="00A72C9E"/>
    <w:rsid w:val="00A75941"/>
    <w:rsid w:val="00A91364"/>
    <w:rsid w:val="00AA02DA"/>
    <w:rsid w:val="00AA2CBE"/>
    <w:rsid w:val="00AA427C"/>
    <w:rsid w:val="00AA4876"/>
    <w:rsid w:val="00AA570C"/>
    <w:rsid w:val="00AB3D6C"/>
    <w:rsid w:val="00AB5C2B"/>
    <w:rsid w:val="00AB6B69"/>
    <w:rsid w:val="00AD341B"/>
    <w:rsid w:val="00AE1E05"/>
    <w:rsid w:val="00AE354C"/>
    <w:rsid w:val="00AE3852"/>
    <w:rsid w:val="00AE3C2E"/>
    <w:rsid w:val="00AF28C1"/>
    <w:rsid w:val="00AF4C61"/>
    <w:rsid w:val="00AF4D7F"/>
    <w:rsid w:val="00B03D01"/>
    <w:rsid w:val="00B0511B"/>
    <w:rsid w:val="00B12912"/>
    <w:rsid w:val="00B20B31"/>
    <w:rsid w:val="00B229E2"/>
    <w:rsid w:val="00B269B6"/>
    <w:rsid w:val="00B31030"/>
    <w:rsid w:val="00B42A5E"/>
    <w:rsid w:val="00B42B90"/>
    <w:rsid w:val="00B463E5"/>
    <w:rsid w:val="00B5166B"/>
    <w:rsid w:val="00B51FFA"/>
    <w:rsid w:val="00B52D77"/>
    <w:rsid w:val="00B53296"/>
    <w:rsid w:val="00B60EAF"/>
    <w:rsid w:val="00B70216"/>
    <w:rsid w:val="00B7504C"/>
    <w:rsid w:val="00B91057"/>
    <w:rsid w:val="00B977BB"/>
    <w:rsid w:val="00BA17F3"/>
    <w:rsid w:val="00BA5080"/>
    <w:rsid w:val="00BA5C56"/>
    <w:rsid w:val="00BA7510"/>
    <w:rsid w:val="00BB5F3B"/>
    <w:rsid w:val="00BB6589"/>
    <w:rsid w:val="00BB7869"/>
    <w:rsid w:val="00BC026F"/>
    <w:rsid w:val="00BC2931"/>
    <w:rsid w:val="00BC4B9A"/>
    <w:rsid w:val="00BC77B9"/>
    <w:rsid w:val="00BD0119"/>
    <w:rsid w:val="00BD185A"/>
    <w:rsid w:val="00BD7F36"/>
    <w:rsid w:val="00BE0E58"/>
    <w:rsid w:val="00BE1FC6"/>
    <w:rsid w:val="00BE68C2"/>
    <w:rsid w:val="00BF50D0"/>
    <w:rsid w:val="00C025CB"/>
    <w:rsid w:val="00C07B4E"/>
    <w:rsid w:val="00C14DD9"/>
    <w:rsid w:val="00C17973"/>
    <w:rsid w:val="00C201A8"/>
    <w:rsid w:val="00C22224"/>
    <w:rsid w:val="00C312AF"/>
    <w:rsid w:val="00C338E6"/>
    <w:rsid w:val="00C41B43"/>
    <w:rsid w:val="00C452A9"/>
    <w:rsid w:val="00C52D24"/>
    <w:rsid w:val="00C54F7E"/>
    <w:rsid w:val="00C57506"/>
    <w:rsid w:val="00C75822"/>
    <w:rsid w:val="00C827E4"/>
    <w:rsid w:val="00C928D0"/>
    <w:rsid w:val="00C93E32"/>
    <w:rsid w:val="00CA09B2"/>
    <w:rsid w:val="00CA1647"/>
    <w:rsid w:val="00CA1B72"/>
    <w:rsid w:val="00CA5533"/>
    <w:rsid w:val="00CB5A11"/>
    <w:rsid w:val="00CC3823"/>
    <w:rsid w:val="00CC4E00"/>
    <w:rsid w:val="00CD5CBA"/>
    <w:rsid w:val="00CD6697"/>
    <w:rsid w:val="00CD66B4"/>
    <w:rsid w:val="00CE568A"/>
    <w:rsid w:val="00CE57CB"/>
    <w:rsid w:val="00CE58D8"/>
    <w:rsid w:val="00CE6750"/>
    <w:rsid w:val="00CE7194"/>
    <w:rsid w:val="00CE72F9"/>
    <w:rsid w:val="00CF0245"/>
    <w:rsid w:val="00CF5C7B"/>
    <w:rsid w:val="00CF7826"/>
    <w:rsid w:val="00D0390B"/>
    <w:rsid w:val="00D06651"/>
    <w:rsid w:val="00D165C1"/>
    <w:rsid w:val="00D36CEA"/>
    <w:rsid w:val="00D4148A"/>
    <w:rsid w:val="00D44654"/>
    <w:rsid w:val="00D47746"/>
    <w:rsid w:val="00D539CA"/>
    <w:rsid w:val="00D548DE"/>
    <w:rsid w:val="00D55733"/>
    <w:rsid w:val="00D564A5"/>
    <w:rsid w:val="00D57999"/>
    <w:rsid w:val="00D624D7"/>
    <w:rsid w:val="00D71F76"/>
    <w:rsid w:val="00D74FB7"/>
    <w:rsid w:val="00D80E1D"/>
    <w:rsid w:val="00D847F5"/>
    <w:rsid w:val="00D93F80"/>
    <w:rsid w:val="00D967B8"/>
    <w:rsid w:val="00DA000D"/>
    <w:rsid w:val="00DA005D"/>
    <w:rsid w:val="00DA0458"/>
    <w:rsid w:val="00DA3AC4"/>
    <w:rsid w:val="00DA582D"/>
    <w:rsid w:val="00DA60BE"/>
    <w:rsid w:val="00DB1763"/>
    <w:rsid w:val="00DB3998"/>
    <w:rsid w:val="00DB54F4"/>
    <w:rsid w:val="00DB73F8"/>
    <w:rsid w:val="00DC4342"/>
    <w:rsid w:val="00DC53E5"/>
    <w:rsid w:val="00DC5A7B"/>
    <w:rsid w:val="00DC75AB"/>
    <w:rsid w:val="00DD3C2E"/>
    <w:rsid w:val="00DD629D"/>
    <w:rsid w:val="00DE29EA"/>
    <w:rsid w:val="00DE3DBF"/>
    <w:rsid w:val="00DE54D6"/>
    <w:rsid w:val="00DF05F4"/>
    <w:rsid w:val="00DF1158"/>
    <w:rsid w:val="00DF58D1"/>
    <w:rsid w:val="00DF6717"/>
    <w:rsid w:val="00DF6F35"/>
    <w:rsid w:val="00E0142F"/>
    <w:rsid w:val="00E14418"/>
    <w:rsid w:val="00E24D37"/>
    <w:rsid w:val="00E31BEA"/>
    <w:rsid w:val="00E35E39"/>
    <w:rsid w:val="00E455A4"/>
    <w:rsid w:val="00E46745"/>
    <w:rsid w:val="00E501A6"/>
    <w:rsid w:val="00E52BD2"/>
    <w:rsid w:val="00E54169"/>
    <w:rsid w:val="00E6339E"/>
    <w:rsid w:val="00E65C50"/>
    <w:rsid w:val="00E67C6E"/>
    <w:rsid w:val="00E70E8D"/>
    <w:rsid w:val="00E71862"/>
    <w:rsid w:val="00E75315"/>
    <w:rsid w:val="00E77677"/>
    <w:rsid w:val="00E80A1A"/>
    <w:rsid w:val="00E82F04"/>
    <w:rsid w:val="00E832FC"/>
    <w:rsid w:val="00E85D3D"/>
    <w:rsid w:val="00EA7552"/>
    <w:rsid w:val="00EB0580"/>
    <w:rsid w:val="00EB6AEA"/>
    <w:rsid w:val="00EC7060"/>
    <w:rsid w:val="00EC7D9E"/>
    <w:rsid w:val="00EF0C19"/>
    <w:rsid w:val="00EF1371"/>
    <w:rsid w:val="00EF5218"/>
    <w:rsid w:val="00F03762"/>
    <w:rsid w:val="00F06F1B"/>
    <w:rsid w:val="00F1218A"/>
    <w:rsid w:val="00F208BB"/>
    <w:rsid w:val="00F22AEF"/>
    <w:rsid w:val="00F22BCC"/>
    <w:rsid w:val="00F25C11"/>
    <w:rsid w:val="00F320BB"/>
    <w:rsid w:val="00F34102"/>
    <w:rsid w:val="00F348A3"/>
    <w:rsid w:val="00F353B8"/>
    <w:rsid w:val="00F37E12"/>
    <w:rsid w:val="00F42812"/>
    <w:rsid w:val="00F43071"/>
    <w:rsid w:val="00F474CA"/>
    <w:rsid w:val="00F476B3"/>
    <w:rsid w:val="00F51709"/>
    <w:rsid w:val="00F54877"/>
    <w:rsid w:val="00F61AC0"/>
    <w:rsid w:val="00F62632"/>
    <w:rsid w:val="00F66D7D"/>
    <w:rsid w:val="00F67047"/>
    <w:rsid w:val="00F77FBC"/>
    <w:rsid w:val="00F80502"/>
    <w:rsid w:val="00F93F8F"/>
    <w:rsid w:val="00F964A0"/>
    <w:rsid w:val="00F96716"/>
    <w:rsid w:val="00FA5200"/>
    <w:rsid w:val="00FB3791"/>
    <w:rsid w:val="00FB5D2B"/>
    <w:rsid w:val="00FC15D8"/>
    <w:rsid w:val="00FC1B42"/>
    <w:rsid w:val="00FC3587"/>
    <w:rsid w:val="00FC5F52"/>
    <w:rsid w:val="00FC7D22"/>
    <w:rsid w:val="00FE12D4"/>
    <w:rsid w:val="00FE74F8"/>
    <w:rsid w:val="00FF034B"/>
    <w:rsid w:val="00FF2397"/>
    <w:rsid w:val="00FF774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A6474"/>
  <w15:docId w15:val="{2CAAA941-F2CA-4B04-9CB3-087C256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a8">
    <w:name w:val="Balloon Text"/>
    <w:basedOn w:val="a"/>
    <w:link w:val="Char"/>
    <w:rsid w:val="00990793"/>
    <w:rPr>
      <w:rFonts w:ascii="Segoe UI" w:hAnsi="Segoe UI" w:cs="Segoe UI"/>
      <w:sz w:val="18"/>
      <w:szCs w:val="18"/>
    </w:rPr>
  </w:style>
  <w:style w:type="character" w:customStyle="1" w:styleId="Char">
    <w:name w:val="풍선 도움말 텍스트 Char"/>
    <w:basedOn w:val="a0"/>
    <w:link w:val="a8"/>
    <w:rsid w:val="00990793"/>
    <w:rPr>
      <w:rFonts w:ascii="Segoe UI" w:hAnsi="Segoe UI" w:cs="Segoe UI"/>
      <w:sz w:val="18"/>
      <w:szCs w:val="18"/>
      <w:lang w:val="en-GB"/>
    </w:rPr>
  </w:style>
  <w:style w:type="table" w:styleId="a9">
    <w:name w:val="Table Grid"/>
    <w:basedOn w:val="a1"/>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832FC"/>
    <w:rPr>
      <w:rFonts w:ascii="Times New Roman" w:hAnsi="Times New Roman" w:cs="Times New Roman" w:hint="default"/>
      <w:b w:val="0"/>
      <w:bCs w:val="0"/>
      <w:i w:val="0"/>
      <w:iCs w:val="0"/>
      <w:color w:val="000000"/>
      <w:sz w:val="20"/>
      <w:szCs w:val="20"/>
    </w:rPr>
  </w:style>
  <w:style w:type="character" w:customStyle="1" w:styleId="fontstyle21">
    <w:name w:val="fontstyle21"/>
    <w:basedOn w:val="a0"/>
    <w:rsid w:val="0090163B"/>
    <w:rPr>
      <w:rFonts w:ascii="Times New Roman" w:hAnsi="Times New Roman" w:cs="Times New Roman" w:hint="default"/>
      <w:b/>
      <w:bCs/>
      <w:i w:val="0"/>
      <w:iCs w:val="0"/>
      <w:color w:val="000000"/>
      <w:sz w:val="18"/>
      <w:szCs w:val="18"/>
    </w:rPr>
  </w:style>
  <w:style w:type="character" w:customStyle="1" w:styleId="fontstyle31">
    <w:name w:val="fontstyle31"/>
    <w:basedOn w:val="a0"/>
    <w:rsid w:val="0090163B"/>
    <w:rPr>
      <w:rFonts w:ascii="Times New Roman" w:hAnsi="Times New Roman" w:cs="Times New Roman" w:hint="default"/>
      <w:b w:val="0"/>
      <w:bCs w:val="0"/>
      <w:i w:val="0"/>
      <w:iCs w:val="0"/>
      <w:color w:val="000000"/>
      <w:sz w:val="18"/>
      <w:szCs w:val="18"/>
    </w:rPr>
  </w:style>
  <w:style w:type="character" w:customStyle="1" w:styleId="fontstyle41">
    <w:name w:val="fontstyle41"/>
    <w:basedOn w:val="a0"/>
    <w:rsid w:val="000E310E"/>
    <w:rPr>
      <w:rFonts w:ascii="Times New Roman" w:hAnsi="Times New Roman" w:cs="Times New Roman" w:hint="default"/>
      <w:b/>
      <w:bCs/>
      <w:i w:val="0"/>
      <w:iCs w:val="0"/>
      <w:color w:val="000000"/>
      <w:sz w:val="18"/>
      <w:szCs w:val="18"/>
    </w:rPr>
  </w:style>
  <w:style w:type="character" w:customStyle="1" w:styleId="fontstyle51">
    <w:name w:val="fontstyle51"/>
    <w:basedOn w:val="a0"/>
    <w:rsid w:val="000E310E"/>
    <w:rPr>
      <w:rFonts w:ascii="Times New Roman" w:hAnsi="Times New Roman" w:cs="Times New Roman" w:hint="default"/>
      <w:b/>
      <w:bCs/>
      <w:i/>
      <w:iCs/>
      <w:color w:val="B5082E"/>
      <w:sz w:val="20"/>
      <w:szCs w:val="20"/>
    </w:rPr>
  </w:style>
  <w:style w:type="character" w:customStyle="1" w:styleId="fontstyle61">
    <w:name w:val="fontstyle61"/>
    <w:basedOn w:val="a0"/>
    <w:rsid w:val="000E310E"/>
    <w:rPr>
      <w:rFonts w:ascii="Arial" w:hAnsi="Arial" w:cs="Arial" w:hint="default"/>
      <w:b w:val="0"/>
      <w:bCs w:val="0"/>
      <w:i w:val="0"/>
      <w:iCs w:val="0"/>
      <w:color w:val="000000"/>
      <w:sz w:val="16"/>
      <w:szCs w:val="16"/>
    </w:rPr>
  </w:style>
  <w:style w:type="character" w:styleId="aa">
    <w:name w:val="annotation reference"/>
    <w:basedOn w:val="a0"/>
    <w:rsid w:val="00822FF1"/>
    <w:rPr>
      <w:sz w:val="16"/>
      <w:szCs w:val="16"/>
    </w:rPr>
  </w:style>
  <w:style w:type="paragraph" w:styleId="ab">
    <w:name w:val="annotation text"/>
    <w:basedOn w:val="a"/>
    <w:link w:val="Char0"/>
    <w:rsid w:val="00822FF1"/>
    <w:rPr>
      <w:sz w:val="20"/>
    </w:rPr>
  </w:style>
  <w:style w:type="character" w:customStyle="1" w:styleId="Char0">
    <w:name w:val="메모 텍스트 Char"/>
    <w:basedOn w:val="a0"/>
    <w:link w:val="ab"/>
    <w:rsid w:val="00822FF1"/>
    <w:rPr>
      <w:lang w:val="en-GB"/>
    </w:rPr>
  </w:style>
  <w:style w:type="paragraph" w:styleId="ac">
    <w:name w:val="annotation subject"/>
    <w:basedOn w:val="ab"/>
    <w:next w:val="ab"/>
    <w:link w:val="Char1"/>
    <w:rsid w:val="00822FF1"/>
    <w:rPr>
      <w:b/>
      <w:bCs/>
    </w:rPr>
  </w:style>
  <w:style w:type="character" w:customStyle="1" w:styleId="Char1">
    <w:name w:val="메모 주제 Char"/>
    <w:basedOn w:val="Char0"/>
    <w:link w:val="ac"/>
    <w:rsid w:val="00822FF1"/>
    <w:rPr>
      <w:b/>
      <w:bCs/>
      <w:lang w:val="en-GB"/>
    </w:rPr>
  </w:style>
  <w:style w:type="paragraph" w:styleId="ad">
    <w:name w:val="Revision"/>
    <w:hidden/>
    <w:uiPriority w:val="99"/>
    <w:semiHidden/>
    <w:rsid w:val="00822FF1"/>
    <w:rPr>
      <w:sz w:val="22"/>
      <w:lang w:val="en-GB"/>
    </w:rPr>
  </w:style>
  <w:style w:type="paragraph" w:styleId="ae">
    <w:name w:val="caption"/>
    <w:basedOn w:val="a"/>
    <w:next w:val="a"/>
    <w:unhideWhenUsed/>
    <w:qFormat/>
    <w:rsid w:val="0061484A"/>
    <w:rPr>
      <w:b/>
      <w:bCs/>
      <w:sz w:val="20"/>
    </w:rPr>
  </w:style>
  <w:style w:type="paragraph" w:customStyle="1" w:styleId="Default">
    <w:name w:val="Default"/>
    <w:rsid w:val="007E55BD"/>
    <w:pPr>
      <w:widowControl w:val="0"/>
      <w:autoSpaceDE w:val="0"/>
      <w:autoSpaceDN w:val="0"/>
      <w:adjustRightInd w:val="0"/>
    </w:pPr>
    <w:rPr>
      <w:color w:val="000000"/>
      <w:sz w:val="24"/>
      <w:szCs w:val="24"/>
    </w:rPr>
  </w:style>
  <w:style w:type="paragraph" w:customStyle="1" w:styleId="IEEEStdsRegularFigureCaption">
    <w:name w:val="IEEEStds Regular Figure Caption"/>
    <w:basedOn w:val="IEEEStdsParagraph"/>
    <w:next w:val="IEEEStdsParagraph"/>
    <w:rsid w:val="00805BCD"/>
    <w:pPr>
      <w:keepLines/>
      <w:numPr>
        <w:numId w:val="42"/>
      </w:numPr>
      <w:tabs>
        <w:tab w:val="clear" w:pos="1008"/>
        <w:tab w:val="left" w:pos="403"/>
        <w:tab w:val="left" w:pos="475"/>
        <w:tab w:val="left" w:pos="547"/>
      </w:tabs>
      <w:suppressAutoHyphens/>
      <w:spacing w:before="120" w:after="120"/>
      <w:ind w:firstLine="0"/>
      <w:jc w:val="center"/>
    </w:pPr>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0404">
      <w:bodyDiv w:val="1"/>
      <w:marLeft w:val="0"/>
      <w:marRight w:val="0"/>
      <w:marTop w:val="0"/>
      <w:marBottom w:val="0"/>
      <w:divBdr>
        <w:top w:val="none" w:sz="0" w:space="0" w:color="auto"/>
        <w:left w:val="none" w:sz="0" w:space="0" w:color="auto"/>
        <w:bottom w:val="none" w:sz="0" w:space="0" w:color="auto"/>
        <w:right w:val="none" w:sz="0" w:space="0" w:color="auto"/>
      </w:divBdr>
      <w:divsChild>
        <w:div w:id="1919293097">
          <w:marLeft w:val="547"/>
          <w:marRight w:val="0"/>
          <w:marTop w:val="86"/>
          <w:marBottom w:val="0"/>
          <w:divBdr>
            <w:top w:val="none" w:sz="0" w:space="0" w:color="auto"/>
            <w:left w:val="none" w:sz="0" w:space="0" w:color="auto"/>
            <w:bottom w:val="none" w:sz="0" w:space="0" w:color="auto"/>
            <w:right w:val="none" w:sz="0" w:space="0" w:color="auto"/>
          </w:divBdr>
        </w:div>
        <w:div w:id="1383676919">
          <w:marLeft w:val="1166"/>
          <w:marRight w:val="0"/>
          <w:marTop w:val="86"/>
          <w:marBottom w:val="0"/>
          <w:divBdr>
            <w:top w:val="none" w:sz="0" w:space="0" w:color="auto"/>
            <w:left w:val="none" w:sz="0" w:space="0" w:color="auto"/>
            <w:bottom w:val="none" w:sz="0" w:space="0" w:color="auto"/>
            <w:right w:val="none" w:sz="0" w:space="0" w:color="auto"/>
          </w:divBdr>
        </w:div>
      </w:divsChild>
    </w:div>
    <w:div w:id="139004613">
      <w:bodyDiv w:val="1"/>
      <w:marLeft w:val="0"/>
      <w:marRight w:val="0"/>
      <w:marTop w:val="0"/>
      <w:marBottom w:val="0"/>
      <w:divBdr>
        <w:top w:val="none" w:sz="0" w:space="0" w:color="auto"/>
        <w:left w:val="none" w:sz="0" w:space="0" w:color="auto"/>
        <w:bottom w:val="none" w:sz="0" w:space="0" w:color="auto"/>
        <w:right w:val="none" w:sz="0" w:space="0" w:color="auto"/>
      </w:divBdr>
    </w:div>
    <w:div w:id="150678855">
      <w:bodyDiv w:val="1"/>
      <w:marLeft w:val="0"/>
      <w:marRight w:val="0"/>
      <w:marTop w:val="0"/>
      <w:marBottom w:val="0"/>
      <w:divBdr>
        <w:top w:val="none" w:sz="0" w:space="0" w:color="auto"/>
        <w:left w:val="none" w:sz="0" w:space="0" w:color="auto"/>
        <w:bottom w:val="none" w:sz="0" w:space="0" w:color="auto"/>
        <w:right w:val="none" w:sz="0" w:space="0" w:color="auto"/>
      </w:divBdr>
    </w:div>
    <w:div w:id="297338588">
      <w:bodyDiv w:val="1"/>
      <w:marLeft w:val="0"/>
      <w:marRight w:val="0"/>
      <w:marTop w:val="0"/>
      <w:marBottom w:val="0"/>
      <w:divBdr>
        <w:top w:val="none" w:sz="0" w:space="0" w:color="auto"/>
        <w:left w:val="none" w:sz="0" w:space="0" w:color="auto"/>
        <w:bottom w:val="none" w:sz="0" w:space="0" w:color="auto"/>
        <w:right w:val="none" w:sz="0" w:space="0" w:color="auto"/>
      </w:divBdr>
    </w:div>
    <w:div w:id="470638542">
      <w:bodyDiv w:val="1"/>
      <w:marLeft w:val="0"/>
      <w:marRight w:val="0"/>
      <w:marTop w:val="0"/>
      <w:marBottom w:val="0"/>
      <w:divBdr>
        <w:top w:val="none" w:sz="0" w:space="0" w:color="auto"/>
        <w:left w:val="none" w:sz="0" w:space="0" w:color="auto"/>
        <w:bottom w:val="none" w:sz="0" w:space="0" w:color="auto"/>
        <w:right w:val="none" w:sz="0" w:space="0" w:color="auto"/>
      </w:divBdr>
    </w:div>
    <w:div w:id="685252586">
      <w:bodyDiv w:val="1"/>
      <w:marLeft w:val="0"/>
      <w:marRight w:val="0"/>
      <w:marTop w:val="0"/>
      <w:marBottom w:val="0"/>
      <w:divBdr>
        <w:top w:val="none" w:sz="0" w:space="0" w:color="auto"/>
        <w:left w:val="none" w:sz="0" w:space="0" w:color="auto"/>
        <w:bottom w:val="none" w:sz="0" w:space="0" w:color="auto"/>
        <w:right w:val="none" w:sz="0" w:space="0" w:color="auto"/>
      </w:divBdr>
      <w:divsChild>
        <w:div w:id="1101031434">
          <w:marLeft w:val="547"/>
          <w:marRight w:val="0"/>
          <w:marTop w:val="86"/>
          <w:marBottom w:val="0"/>
          <w:divBdr>
            <w:top w:val="none" w:sz="0" w:space="0" w:color="auto"/>
            <w:left w:val="none" w:sz="0" w:space="0" w:color="auto"/>
            <w:bottom w:val="none" w:sz="0" w:space="0" w:color="auto"/>
            <w:right w:val="none" w:sz="0" w:space="0" w:color="auto"/>
          </w:divBdr>
        </w:div>
        <w:div w:id="154886282">
          <w:marLeft w:val="1166"/>
          <w:marRight w:val="0"/>
          <w:marTop w:val="86"/>
          <w:marBottom w:val="0"/>
          <w:divBdr>
            <w:top w:val="none" w:sz="0" w:space="0" w:color="auto"/>
            <w:left w:val="none" w:sz="0" w:space="0" w:color="auto"/>
            <w:bottom w:val="none" w:sz="0" w:space="0" w:color="auto"/>
            <w:right w:val="none" w:sz="0" w:space="0" w:color="auto"/>
          </w:divBdr>
        </w:div>
      </w:divsChild>
    </w:div>
    <w:div w:id="743602435">
      <w:bodyDiv w:val="1"/>
      <w:marLeft w:val="0"/>
      <w:marRight w:val="0"/>
      <w:marTop w:val="0"/>
      <w:marBottom w:val="0"/>
      <w:divBdr>
        <w:top w:val="none" w:sz="0" w:space="0" w:color="auto"/>
        <w:left w:val="none" w:sz="0" w:space="0" w:color="auto"/>
        <w:bottom w:val="none" w:sz="0" w:space="0" w:color="auto"/>
        <w:right w:val="none" w:sz="0" w:space="0" w:color="auto"/>
      </w:divBdr>
    </w:div>
    <w:div w:id="772743884">
      <w:bodyDiv w:val="1"/>
      <w:marLeft w:val="0"/>
      <w:marRight w:val="0"/>
      <w:marTop w:val="0"/>
      <w:marBottom w:val="0"/>
      <w:divBdr>
        <w:top w:val="none" w:sz="0" w:space="0" w:color="auto"/>
        <w:left w:val="none" w:sz="0" w:space="0" w:color="auto"/>
        <w:bottom w:val="none" w:sz="0" w:space="0" w:color="auto"/>
        <w:right w:val="none" w:sz="0" w:space="0" w:color="auto"/>
      </w:divBdr>
    </w:div>
    <w:div w:id="825363755">
      <w:bodyDiv w:val="1"/>
      <w:marLeft w:val="0"/>
      <w:marRight w:val="0"/>
      <w:marTop w:val="0"/>
      <w:marBottom w:val="0"/>
      <w:divBdr>
        <w:top w:val="none" w:sz="0" w:space="0" w:color="auto"/>
        <w:left w:val="none" w:sz="0" w:space="0" w:color="auto"/>
        <w:bottom w:val="none" w:sz="0" w:space="0" w:color="auto"/>
        <w:right w:val="none" w:sz="0" w:space="0" w:color="auto"/>
      </w:divBdr>
    </w:div>
    <w:div w:id="1134909698">
      <w:bodyDiv w:val="1"/>
      <w:marLeft w:val="0"/>
      <w:marRight w:val="0"/>
      <w:marTop w:val="0"/>
      <w:marBottom w:val="0"/>
      <w:divBdr>
        <w:top w:val="none" w:sz="0" w:space="0" w:color="auto"/>
        <w:left w:val="none" w:sz="0" w:space="0" w:color="auto"/>
        <w:bottom w:val="none" w:sz="0" w:space="0" w:color="auto"/>
        <w:right w:val="none" w:sz="0" w:space="0" w:color="auto"/>
      </w:divBdr>
    </w:div>
    <w:div w:id="1153370612">
      <w:bodyDiv w:val="1"/>
      <w:marLeft w:val="0"/>
      <w:marRight w:val="0"/>
      <w:marTop w:val="0"/>
      <w:marBottom w:val="0"/>
      <w:divBdr>
        <w:top w:val="none" w:sz="0" w:space="0" w:color="auto"/>
        <w:left w:val="none" w:sz="0" w:space="0" w:color="auto"/>
        <w:bottom w:val="none" w:sz="0" w:space="0" w:color="auto"/>
        <w:right w:val="none" w:sz="0" w:space="0" w:color="auto"/>
      </w:divBdr>
    </w:div>
    <w:div w:id="1369987716">
      <w:bodyDiv w:val="1"/>
      <w:marLeft w:val="0"/>
      <w:marRight w:val="0"/>
      <w:marTop w:val="0"/>
      <w:marBottom w:val="0"/>
      <w:divBdr>
        <w:top w:val="none" w:sz="0" w:space="0" w:color="auto"/>
        <w:left w:val="none" w:sz="0" w:space="0" w:color="auto"/>
        <w:bottom w:val="none" w:sz="0" w:space="0" w:color="auto"/>
        <w:right w:val="none" w:sz="0" w:space="0" w:color="auto"/>
      </w:divBdr>
    </w:div>
    <w:div w:id="1433282330">
      <w:bodyDiv w:val="1"/>
      <w:marLeft w:val="0"/>
      <w:marRight w:val="0"/>
      <w:marTop w:val="0"/>
      <w:marBottom w:val="0"/>
      <w:divBdr>
        <w:top w:val="none" w:sz="0" w:space="0" w:color="auto"/>
        <w:left w:val="none" w:sz="0" w:space="0" w:color="auto"/>
        <w:bottom w:val="none" w:sz="0" w:space="0" w:color="auto"/>
        <w:right w:val="none" w:sz="0" w:space="0" w:color="auto"/>
      </w:divBdr>
      <w:divsChild>
        <w:div w:id="1597252736">
          <w:marLeft w:val="547"/>
          <w:marRight w:val="0"/>
          <w:marTop w:val="115"/>
          <w:marBottom w:val="0"/>
          <w:divBdr>
            <w:top w:val="none" w:sz="0" w:space="0" w:color="auto"/>
            <w:left w:val="none" w:sz="0" w:space="0" w:color="auto"/>
            <w:bottom w:val="none" w:sz="0" w:space="0" w:color="auto"/>
            <w:right w:val="none" w:sz="0" w:space="0" w:color="auto"/>
          </w:divBdr>
        </w:div>
      </w:divsChild>
    </w:div>
    <w:div w:id="1500189975">
      <w:bodyDiv w:val="1"/>
      <w:marLeft w:val="0"/>
      <w:marRight w:val="0"/>
      <w:marTop w:val="0"/>
      <w:marBottom w:val="0"/>
      <w:divBdr>
        <w:top w:val="none" w:sz="0" w:space="0" w:color="auto"/>
        <w:left w:val="none" w:sz="0" w:space="0" w:color="auto"/>
        <w:bottom w:val="none" w:sz="0" w:space="0" w:color="auto"/>
        <w:right w:val="none" w:sz="0" w:space="0" w:color="auto"/>
      </w:divBdr>
      <w:divsChild>
        <w:div w:id="2143618070">
          <w:marLeft w:val="547"/>
          <w:marRight w:val="0"/>
          <w:marTop w:val="115"/>
          <w:marBottom w:val="0"/>
          <w:divBdr>
            <w:top w:val="none" w:sz="0" w:space="0" w:color="auto"/>
            <w:left w:val="none" w:sz="0" w:space="0" w:color="auto"/>
            <w:bottom w:val="none" w:sz="0" w:space="0" w:color="auto"/>
            <w:right w:val="none" w:sz="0" w:space="0" w:color="auto"/>
          </w:divBdr>
        </w:div>
      </w:divsChild>
    </w:div>
    <w:div w:id="1775855503">
      <w:bodyDiv w:val="1"/>
      <w:marLeft w:val="0"/>
      <w:marRight w:val="0"/>
      <w:marTop w:val="0"/>
      <w:marBottom w:val="0"/>
      <w:divBdr>
        <w:top w:val="none" w:sz="0" w:space="0" w:color="auto"/>
        <w:left w:val="none" w:sz="0" w:space="0" w:color="auto"/>
        <w:bottom w:val="none" w:sz="0" w:space="0" w:color="auto"/>
        <w:right w:val="none" w:sz="0" w:space="0" w:color="auto"/>
      </w:divBdr>
      <w:divsChild>
        <w:div w:id="1043679733">
          <w:marLeft w:val="547"/>
          <w:marRight w:val="0"/>
          <w:marTop w:val="86"/>
          <w:marBottom w:val="0"/>
          <w:divBdr>
            <w:top w:val="none" w:sz="0" w:space="0" w:color="auto"/>
            <w:left w:val="none" w:sz="0" w:space="0" w:color="auto"/>
            <w:bottom w:val="none" w:sz="0" w:space="0" w:color="auto"/>
            <w:right w:val="none" w:sz="0" w:space="0" w:color="auto"/>
          </w:divBdr>
        </w:div>
        <w:div w:id="1715538704">
          <w:marLeft w:val="1166"/>
          <w:marRight w:val="0"/>
          <w:marTop w:val="86"/>
          <w:marBottom w:val="0"/>
          <w:divBdr>
            <w:top w:val="none" w:sz="0" w:space="0" w:color="auto"/>
            <w:left w:val="none" w:sz="0" w:space="0" w:color="auto"/>
            <w:bottom w:val="none" w:sz="0" w:space="0" w:color="auto"/>
            <w:right w:val="none" w:sz="0" w:space="0" w:color="auto"/>
          </w:divBdr>
        </w:div>
      </w:divsChild>
    </w:div>
    <w:div w:id="1778136459">
      <w:bodyDiv w:val="1"/>
      <w:marLeft w:val="0"/>
      <w:marRight w:val="0"/>
      <w:marTop w:val="0"/>
      <w:marBottom w:val="0"/>
      <w:divBdr>
        <w:top w:val="none" w:sz="0" w:space="0" w:color="auto"/>
        <w:left w:val="none" w:sz="0" w:space="0" w:color="auto"/>
        <w:bottom w:val="none" w:sz="0" w:space="0" w:color="auto"/>
        <w:right w:val="none" w:sz="0" w:space="0" w:color="auto"/>
      </w:divBdr>
    </w:div>
    <w:div w:id="1833910533">
      <w:bodyDiv w:val="1"/>
      <w:marLeft w:val="0"/>
      <w:marRight w:val="0"/>
      <w:marTop w:val="0"/>
      <w:marBottom w:val="0"/>
      <w:divBdr>
        <w:top w:val="none" w:sz="0" w:space="0" w:color="auto"/>
        <w:left w:val="none" w:sz="0" w:space="0" w:color="auto"/>
        <w:bottom w:val="none" w:sz="0" w:space="0" w:color="auto"/>
        <w:right w:val="none" w:sz="0" w:space="0" w:color="auto"/>
      </w:divBdr>
    </w:div>
    <w:div w:id="19887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hee.bang@lge.com" TargetMode="External"/><Relationship Id="rId13" Type="http://schemas.openxmlformats.org/officeDocument/2006/relationships/hyperlink" Target="mailto:sanggook.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woong.yun@lg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ean.park@lg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s.choi@lge.com" TargetMode="External"/><Relationship Id="rId4" Type="http://schemas.openxmlformats.org/officeDocument/2006/relationships/settings" Target="settings.xml"/><Relationship Id="rId9" Type="http://schemas.openxmlformats.org/officeDocument/2006/relationships/hyperlink" Target="mailto:jinmin1230.kim@lge.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26D87-7FB6-4C69-A7B2-96B1ED63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284</TotalTime>
  <Pages>2</Pages>
  <Words>479</Words>
  <Characters>2732</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Intel</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carlos.cordeiro@intel.com</dc:creator>
  <cp:keywords>Month Year</cp:keywords>
  <dc:description>Carlos Cordeiro, Intel</dc:description>
  <cp:lastModifiedBy>방세희/선임연구원/차세대표준(연)ICS팀(saehee.bang@lge.com)</cp:lastModifiedBy>
  <cp:revision>9</cp:revision>
  <cp:lastPrinted>1900-12-31T15:00:00Z</cp:lastPrinted>
  <dcterms:created xsi:type="dcterms:W3CDTF">2018-05-09T07:22:00Z</dcterms:created>
  <dcterms:modified xsi:type="dcterms:W3CDTF">2018-05-09T12:21:00Z</dcterms:modified>
</cp:coreProperties>
</file>