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Tr="00D65D7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45D3A">
            <w:pPr>
              <w:pStyle w:val="T2"/>
            </w:pPr>
            <w:r>
              <w:t>Clarification</w:t>
            </w:r>
            <w:r w:rsidR="00061A06">
              <w:t>s</w:t>
            </w:r>
            <w:r>
              <w:t xml:space="preserve"> to Box 2 MIMO simulation calibrations</w:t>
            </w:r>
          </w:p>
        </w:tc>
      </w:tr>
      <w:tr w:rsidR="00CA09B2" w:rsidTr="00D65D7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FB25A2">
              <w:rPr>
                <w:b w:val="0"/>
                <w:sz w:val="20"/>
              </w:rPr>
              <w:t xml:space="preserve">  2015-05-10</w:t>
            </w:r>
          </w:p>
        </w:tc>
      </w:tr>
      <w:tr w:rsidR="00CA09B2" w:rsidTr="00D65D7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D65D7F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65D7F" w:rsidTr="00D65D7F">
        <w:trPr>
          <w:jc w:val="center"/>
        </w:trPr>
        <w:tc>
          <w:tcPr>
            <w:tcW w:w="1336" w:type="dxa"/>
            <w:vAlign w:val="center"/>
          </w:tcPr>
          <w:p w:rsidR="00D65D7F" w:rsidRDefault="00D65D7F" w:rsidP="00D65D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Daewon Lee</w:t>
            </w:r>
          </w:p>
        </w:tc>
        <w:tc>
          <w:tcPr>
            <w:tcW w:w="2064" w:type="dxa"/>
            <w:vAlign w:val="center"/>
          </w:tcPr>
          <w:p w:rsidR="00D65D7F" w:rsidRDefault="00D65D7F" w:rsidP="00D65D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Newracom</w:t>
            </w:r>
          </w:p>
        </w:tc>
        <w:tc>
          <w:tcPr>
            <w:tcW w:w="2814" w:type="dxa"/>
            <w:vAlign w:val="center"/>
          </w:tcPr>
          <w:p w:rsidR="00D65D7F" w:rsidRDefault="00D65D7F" w:rsidP="00D65D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9008 Research Dr. Irvine CA 92618</w:t>
            </w:r>
          </w:p>
        </w:tc>
        <w:tc>
          <w:tcPr>
            <w:tcW w:w="1715" w:type="dxa"/>
            <w:vAlign w:val="center"/>
          </w:tcPr>
          <w:p w:rsidR="00D65D7F" w:rsidRDefault="00D65D7F" w:rsidP="00D65D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65D7F" w:rsidRDefault="00D65D7F" w:rsidP="00D65D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daewon.lee at newracom.com</w:t>
            </w:r>
          </w:p>
        </w:tc>
      </w:tr>
      <w:tr w:rsidR="00D65D7F" w:rsidTr="00D65D7F">
        <w:trPr>
          <w:jc w:val="center"/>
        </w:trPr>
        <w:tc>
          <w:tcPr>
            <w:tcW w:w="1336" w:type="dxa"/>
            <w:vAlign w:val="center"/>
          </w:tcPr>
          <w:p w:rsidR="00D65D7F" w:rsidRDefault="00D65D7F" w:rsidP="00D65D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Jaehyun Ahn</w:t>
            </w:r>
          </w:p>
        </w:tc>
        <w:tc>
          <w:tcPr>
            <w:tcW w:w="2064" w:type="dxa"/>
            <w:vAlign w:val="center"/>
          </w:tcPr>
          <w:p w:rsidR="00D65D7F" w:rsidRDefault="00D65D7F" w:rsidP="00D65D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Newracom</w:t>
            </w:r>
          </w:p>
        </w:tc>
        <w:tc>
          <w:tcPr>
            <w:tcW w:w="2814" w:type="dxa"/>
            <w:vAlign w:val="center"/>
          </w:tcPr>
          <w:p w:rsidR="00D65D7F" w:rsidRDefault="00D65D7F" w:rsidP="00D65D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9008 Research Dr. Irvine CA 92618</w:t>
            </w:r>
          </w:p>
        </w:tc>
        <w:tc>
          <w:tcPr>
            <w:tcW w:w="1715" w:type="dxa"/>
            <w:vAlign w:val="center"/>
          </w:tcPr>
          <w:p w:rsidR="00D65D7F" w:rsidRDefault="00D65D7F" w:rsidP="00D65D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65D7F" w:rsidRDefault="00D65D7F" w:rsidP="00D65D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jaehyun.ahn at newracom.com</w:t>
            </w:r>
          </w:p>
        </w:tc>
      </w:tr>
      <w:tr w:rsidR="00D65D7F" w:rsidTr="00D65D7F">
        <w:trPr>
          <w:jc w:val="center"/>
        </w:trPr>
        <w:tc>
          <w:tcPr>
            <w:tcW w:w="1336" w:type="dxa"/>
            <w:vAlign w:val="center"/>
          </w:tcPr>
          <w:p w:rsidR="00D65D7F" w:rsidRDefault="00D65D7F" w:rsidP="00D65D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Minho Cheong</w:t>
            </w:r>
          </w:p>
        </w:tc>
        <w:tc>
          <w:tcPr>
            <w:tcW w:w="2064" w:type="dxa"/>
            <w:vAlign w:val="center"/>
          </w:tcPr>
          <w:p w:rsidR="00D65D7F" w:rsidRDefault="00D65D7F" w:rsidP="00D65D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Newracom</w:t>
            </w:r>
          </w:p>
        </w:tc>
        <w:tc>
          <w:tcPr>
            <w:tcW w:w="2814" w:type="dxa"/>
            <w:vAlign w:val="center"/>
          </w:tcPr>
          <w:p w:rsidR="00D65D7F" w:rsidRDefault="00D65D7F" w:rsidP="00D65D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9008 Research Dr. Irvine CA 92618</w:t>
            </w:r>
          </w:p>
        </w:tc>
        <w:tc>
          <w:tcPr>
            <w:tcW w:w="1715" w:type="dxa"/>
            <w:vAlign w:val="center"/>
          </w:tcPr>
          <w:p w:rsidR="00D65D7F" w:rsidRDefault="00D65D7F" w:rsidP="00D65D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65D7F" w:rsidRDefault="00D65D7F" w:rsidP="00D65D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minho.cheong at newracom.com</w:t>
            </w:r>
          </w:p>
        </w:tc>
      </w:tr>
    </w:tbl>
    <w:p w:rsidR="00CA09B2" w:rsidRDefault="00E15619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624F8D">
                            <w:pPr>
                              <w:jc w:val="both"/>
                            </w:pPr>
                            <w:r>
                              <w:t>The methodology document is missing text regarding how MIMO calibration is being performed</w:t>
                            </w:r>
                            <w:r w:rsidR="00400C7A">
                              <w:t xml:space="preserve"> for box 2</w:t>
                            </w:r>
                            <w:r>
                              <w:t>. We propose clarification text</w:t>
                            </w:r>
                            <w:r w:rsidR="00400C7A">
                              <w:t xml:space="preserve"> fo</w:t>
                            </w:r>
                            <w:r w:rsidR="00300A10">
                              <w:t>r the methodology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624F8D">
                      <w:pPr>
                        <w:jc w:val="both"/>
                      </w:pPr>
                      <w:r>
                        <w:t>The methodology document is missing text regarding how MIMO calibration is being performed</w:t>
                      </w:r>
                      <w:r w:rsidR="00400C7A">
                        <w:t xml:space="preserve"> for box 2</w:t>
                      </w:r>
                      <w:r>
                        <w:t>. We propose clarification text</w:t>
                      </w:r>
                      <w:r w:rsidR="00400C7A">
                        <w:t xml:space="preserve"> fo</w:t>
                      </w:r>
                      <w:r w:rsidR="00300A10">
                        <w:t>r the methodology document.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624F8D">
      <w:r>
        <w:br w:type="page"/>
      </w:r>
    </w:p>
    <w:p w:rsidR="00CA09B2" w:rsidRDefault="00B30480">
      <w:r>
        <w:lastRenderedPageBreak/>
        <w:t xml:space="preserve">The current methodology document </w:t>
      </w:r>
      <w:r w:rsidR="0015540C">
        <w:t>has missing text regarding how the MIMO SINR values are collected for calibration purposes</w:t>
      </w:r>
      <w:r w:rsidR="00020240">
        <w:t xml:space="preserve"> in box 2</w:t>
      </w:r>
      <w:r w:rsidR="0015540C">
        <w:t>, even though several IEEE members have already have submitted calibration MIMO results for box 2.</w:t>
      </w:r>
    </w:p>
    <w:p w:rsidR="00CA09B2" w:rsidRDefault="00CA09B2"/>
    <w:p w:rsidR="00F57331" w:rsidRDefault="00F6529F">
      <w:r>
        <w:t>The suggested clarification is described below.</w:t>
      </w:r>
    </w:p>
    <w:p w:rsidR="006B3BDB" w:rsidRDefault="006B3BDB"/>
    <w:p w:rsidR="006B3BDB" w:rsidRDefault="006B3BDB" w:rsidP="006B3BDB">
      <w:r>
        <w:t xml:space="preserve">It should be noted that </w:t>
      </w:r>
      <w:r>
        <w:t xml:space="preserve">even with the suggested text below, </w:t>
      </w:r>
      <w:r>
        <w:t>the methodoly document is still missi</w:t>
      </w:r>
      <w:r>
        <w:t xml:space="preserve">ng information about the precoding matrix and </w:t>
      </w:r>
      <w:r>
        <w:t xml:space="preserve">receiver </w:t>
      </w:r>
      <w:r>
        <w:t>assumptions for calibrations.</w:t>
      </w:r>
      <w:r w:rsidR="00CC3DE3">
        <w:t xml:space="preserve"> Given that the number of antennas or simulation setup is not described in the methodology document, it may not be </w:t>
      </w:r>
      <w:r w:rsidR="00A70C86">
        <w:t>appropraite</w:t>
      </w:r>
      <w:r w:rsidR="00CC3DE3">
        <w:t xml:space="preserve"> to capture those assumptions in the methodology document but in some other document such as </w:t>
      </w:r>
      <w:r w:rsidR="00A70C86">
        <w:t xml:space="preserve">TGax </w:t>
      </w:r>
      <w:r w:rsidR="00CC3DE3">
        <w:t>scenario document</w:t>
      </w:r>
      <w:r w:rsidR="00B15E15">
        <w:t xml:space="preserve"> or the Box 2 simulation calibration document.</w:t>
      </w:r>
    </w:p>
    <w:p w:rsidR="006B3BDB" w:rsidRDefault="006B3BDB"/>
    <w:p w:rsidR="00F6529F" w:rsidRDefault="00F6529F"/>
    <w:p w:rsidR="00F6529F" w:rsidRDefault="00F6529F"/>
    <w:p w:rsidR="00F57331" w:rsidRDefault="00F57331">
      <w:r>
        <w:t>---- Start of Text Changes to the TGax Simulation Methodology document ---</w:t>
      </w:r>
    </w:p>
    <w:p w:rsidR="00F57331" w:rsidRPr="000D286A" w:rsidRDefault="00F57331" w:rsidP="00F57331">
      <w:pPr>
        <w:pStyle w:val="Heading2"/>
      </w:pPr>
      <w:bookmarkStart w:id="0" w:name="_Toc387915682"/>
      <w:r w:rsidRPr="0077648B">
        <w:t xml:space="preserve">Box </w:t>
      </w:r>
      <w:r>
        <w:t>2</w:t>
      </w:r>
      <w:bookmarkEnd w:id="0"/>
    </w:p>
    <w:p w:rsidR="00F57331" w:rsidRPr="00A20DC6" w:rsidRDefault="00F57331" w:rsidP="00F57331"/>
    <w:p w:rsidR="00F57331" w:rsidRPr="00BF07BD" w:rsidRDefault="00F57331" w:rsidP="00F57331">
      <w:r w:rsidRPr="00BF07BD">
        <w:t xml:space="preserve">The </w:t>
      </w:r>
      <w:r>
        <w:t>multipath</w:t>
      </w:r>
      <w:r w:rsidRPr="00BF07BD">
        <w:t xml:space="preserve"> SINR is defined as </w:t>
      </w:r>
      <w:r>
        <w:t>the instantaneous frequency-domain equalizer output SINR with the fading channels from both the desire transmitter and interfering transmitters.</w:t>
      </w:r>
    </w:p>
    <w:p w:rsidR="00F57331" w:rsidRPr="00BF07BD" w:rsidRDefault="00F57331" w:rsidP="00F57331">
      <w:r w:rsidRPr="00BF07BD">
        <w:t xml:space="preserve">For example, if a STA is the </w:t>
      </w:r>
      <w:r>
        <w:t>transmitter</w:t>
      </w:r>
      <w:r w:rsidRPr="00BF07BD">
        <w:t xml:space="preserve">, the </w:t>
      </w:r>
      <w:r>
        <w:t>intended receiver</w:t>
      </w:r>
      <w:r w:rsidRPr="00BF07BD">
        <w:t xml:space="preserve"> is the associated AP; if an AP </w:t>
      </w:r>
      <w:r>
        <w:t>is</w:t>
      </w:r>
      <w:r w:rsidRPr="00BF07BD">
        <w:t xml:space="preserve"> the </w:t>
      </w:r>
      <w:r>
        <w:t>transmitter</w:t>
      </w:r>
      <w:r w:rsidRPr="00BF07BD">
        <w:t xml:space="preserve">, the </w:t>
      </w:r>
      <w:r>
        <w:t>intended</w:t>
      </w:r>
      <w:r w:rsidRPr="00BF07BD">
        <w:t xml:space="preserve"> </w:t>
      </w:r>
      <w:r>
        <w:t>receiver</w:t>
      </w:r>
      <w:r w:rsidRPr="00BF07BD">
        <w:t xml:space="preserve"> is one of the STAs associated with it. The interfering transmitters</w:t>
      </w:r>
      <w:r>
        <w:t xml:space="preserve"> are defined in each test</w:t>
      </w:r>
      <w:r w:rsidRPr="00BF07BD">
        <w:t>.</w:t>
      </w:r>
    </w:p>
    <w:p w:rsidR="00F57331" w:rsidRPr="00BF07BD" w:rsidRDefault="00F57331" w:rsidP="00F57331">
      <w:r w:rsidRPr="00BF07BD">
        <w:t xml:space="preserve">The </w:t>
      </w:r>
      <w:r>
        <w:t>multipath</w:t>
      </w:r>
      <w:r w:rsidRPr="00BF07BD">
        <w:t xml:space="preserve"> SINR of the receiv</w:t>
      </w:r>
      <w:r>
        <w:t>er</w:t>
      </w:r>
      <w:r w:rsidRPr="00BF07BD">
        <w:t xml:space="preserve"> node-RX with the desired transmitter node-TX </w:t>
      </w:r>
      <w:r>
        <w:t>at the m-th tone assumes the received signal as</w:t>
      </w:r>
    </w:p>
    <w:p w:rsidR="00F57331" w:rsidRDefault="00F57331" w:rsidP="00F57331">
      <w:pPr>
        <w:jc w:val="center"/>
      </w:pPr>
      <w:r w:rsidRPr="008C4E02">
        <w:rPr>
          <w:position w:val="-128"/>
        </w:rPr>
        <w:object w:dxaOrig="8840" w:dyaOrig="3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5.25pt;height:141.75pt" o:ole="">
            <v:imagedata r:id="rId7" o:title=""/>
          </v:shape>
          <o:OLEObject Type="Embed" ProgID="Equation.DSMT4" ShapeID="_x0000_i1025" DrawAspect="Content" ObjectID="_1492727297" r:id="rId8"/>
        </w:object>
      </w:r>
    </w:p>
    <w:p w:rsidR="00F57331" w:rsidRDefault="00F57331" w:rsidP="00F57331"/>
    <w:p w:rsidR="00F57331" w:rsidRDefault="00F57331" w:rsidP="00F57331"/>
    <w:p w:rsidR="00F57331" w:rsidRDefault="00F57331" w:rsidP="00F57331">
      <w:r>
        <w:t>T</w:t>
      </w:r>
      <w:r w:rsidRPr="00BF07BD">
        <w:t xml:space="preserve">he </w:t>
      </w:r>
      <w:r>
        <w:t xml:space="preserve">SINR depends on the receiver type (such as MRC/MMSE). </w:t>
      </w:r>
      <w:r w:rsidRPr="00BF07BD">
        <w:t>The number of interfering transmitter in the BSS that the receiver belongs to is always 0.</w:t>
      </w:r>
    </w:p>
    <w:p w:rsidR="00F57331" w:rsidRDefault="00F57331" w:rsidP="00F57331">
      <w:r>
        <w:t>For example, for SISO case (1x1, no precoding), the SINR is defined as</w:t>
      </w:r>
    </w:p>
    <w:p w:rsidR="00F57331" w:rsidRPr="00BF07BD" w:rsidRDefault="00F57331" w:rsidP="00F57331">
      <w:pPr>
        <w:jc w:val="center"/>
      </w:pPr>
      <w:r w:rsidRPr="00863571">
        <w:rPr>
          <w:position w:val="-64"/>
        </w:rPr>
        <w:object w:dxaOrig="4140" w:dyaOrig="1180">
          <v:shape id="_x0000_i1026" type="#_x0000_t75" style="width:185.25pt;height:50.25pt" o:ole="">
            <v:imagedata r:id="rId9" o:title=""/>
          </v:shape>
          <o:OLEObject Type="Embed" ProgID="Equation.DSMT4" ShapeID="_x0000_i1026" DrawAspect="Content" ObjectID="_1492727298" r:id="rId10"/>
        </w:object>
      </w:r>
    </w:p>
    <w:p w:rsidR="00F57331" w:rsidRDefault="00F57331" w:rsidP="00F57331">
      <w:r w:rsidRPr="00BF07BD">
        <w:t>The long-term received power at a receiver node-RX from a (desired or interfering) tra</w:t>
      </w:r>
      <w:r>
        <w:t>nsmitter node-TX is defined as in box1.</w:t>
      </w:r>
    </w:p>
    <w:p w:rsidR="00F57331" w:rsidRDefault="00F57331" w:rsidP="00F57331"/>
    <w:p w:rsidR="00F57331" w:rsidRPr="00F57331" w:rsidRDefault="00F57331" w:rsidP="00F57331">
      <w:pPr>
        <w:rPr>
          <w:color w:val="FF0000"/>
          <w:u w:val="single"/>
        </w:rPr>
      </w:pPr>
      <w:r w:rsidRPr="00F57331">
        <w:rPr>
          <w:color w:val="FF0000"/>
          <w:u w:val="single"/>
        </w:rPr>
        <w:t>For MIMO, the SINRs of each spatial stream is collected for plotting results.</w:t>
      </w:r>
    </w:p>
    <w:p w:rsidR="00F57331" w:rsidRPr="005F0D93" w:rsidRDefault="005F0D93" w:rsidP="00F57331">
      <w:pPr>
        <w:rPr>
          <w:color w:val="FF0000"/>
          <w:u w:val="single"/>
        </w:rPr>
      </w:pPr>
      <w:r w:rsidRPr="005F0D93">
        <w:rPr>
          <w:color w:val="FF0000"/>
          <w:u w:val="single"/>
        </w:rPr>
        <w:t xml:space="preserve">For example, for MIMO case </w:t>
      </w:r>
      <w:r w:rsidR="00F57331" w:rsidRPr="005F0D93">
        <w:rPr>
          <w:color w:val="FF0000"/>
          <w:u w:val="single"/>
        </w:rPr>
        <w:t>with linear receiver, the SINR for j-th spatial stream is defined as</w:t>
      </w:r>
    </w:p>
    <w:p w:rsidR="00F57331" w:rsidRPr="005F0D93" w:rsidRDefault="00F57331" w:rsidP="00F57331">
      <w:pPr>
        <w:jc w:val="center"/>
        <w:rPr>
          <w:color w:val="FF0000"/>
        </w:rPr>
      </w:pPr>
      <w:r w:rsidRPr="005F0D93">
        <w:rPr>
          <w:color w:val="FF0000"/>
          <w:position w:val="-154"/>
          <w:highlight w:val="yellow"/>
        </w:rPr>
        <w:object w:dxaOrig="5660" w:dyaOrig="3280">
          <v:shape id="_x0000_i1027" type="#_x0000_t75" style="width:283.5pt;height:163.5pt" o:ole="">
            <v:imagedata r:id="rId11" o:title=""/>
          </v:shape>
          <o:OLEObject Type="Embed" ProgID="Equation.3" ShapeID="_x0000_i1027" DrawAspect="Content" ObjectID="_1492727299" r:id="rId12"/>
        </w:object>
      </w:r>
      <w:r w:rsidRPr="005F0D93">
        <w:rPr>
          <w:color w:val="FF0000"/>
        </w:rPr>
        <w:t>,</w:t>
      </w:r>
    </w:p>
    <w:p w:rsidR="00F57331" w:rsidRPr="005F0D93" w:rsidRDefault="00F57331" w:rsidP="00F57331">
      <w:pPr>
        <w:rPr>
          <w:color w:val="FF0000"/>
          <w:u w:val="single"/>
        </w:rPr>
      </w:pPr>
      <w:r w:rsidRPr="005F0D93">
        <w:rPr>
          <w:color w:val="FF0000"/>
          <w:u w:val="single"/>
        </w:rPr>
        <w:t xml:space="preserve">Where </w:t>
      </w:r>
      <w:r w:rsidRPr="005F0D93">
        <w:rPr>
          <w:color w:val="FF0000"/>
          <w:u w:val="single"/>
        </w:rPr>
        <w:object w:dxaOrig="800" w:dyaOrig="360">
          <v:shape id="_x0000_i1028" type="#_x0000_t75" style="width:39.75pt;height:18pt" o:ole="">
            <v:imagedata r:id="rId13" o:title=""/>
          </v:shape>
          <o:OLEObject Type="Embed" ProgID="Equation.3" ShapeID="_x0000_i1028" DrawAspect="Content" ObjectID="_1492727300" r:id="rId14"/>
        </w:object>
      </w:r>
      <w:r w:rsidRPr="005F0D93">
        <w:rPr>
          <w:color w:val="FF0000"/>
          <w:u w:val="single"/>
        </w:rPr>
        <w:t xml:space="preserve">is the linear receive filter used at the receiver, </w:t>
      </w:r>
      <w:r w:rsidRPr="005F0D93">
        <w:rPr>
          <w:color w:val="FF0000"/>
          <w:u w:val="single"/>
        </w:rPr>
        <w:object w:dxaOrig="320" w:dyaOrig="380">
          <v:shape id="_x0000_i1029" type="#_x0000_t75" style="width:16.5pt;height:18.75pt" o:ole="">
            <v:imagedata r:id="rId15" o:title=""/>
          </v:shape>
          <o:OLEObject Type="Embed" ProgID="Equation.3" ShapeID="_x0000_i1029" DrawAspect="Content" ObjectID="_1492727301" r:id="rId16"/>
        </w:object>
      </w:r>
      <w:r w:rsidRPr="005F0D93">
        <w:rPr>
          <w:color w:val="FF0000"/>
          <w:u w:val="single"/>
        </w:rPr>
        <w:t xml:space="preserve">represents the j-th column vector of the matrix, and </w:t>
      </w:r>
      <w:r w:rsidRPr="005F0D93">
        <w:rPr>
          <w:color w:val="FF0000"/>
          <w:u w:val="single"/>
        </w:rPr>
        <w:object w:dxaOrig="240" w:dyaOrig="400">
          <v:shape id="_x0000_i1030" type="#_x0000_t75" style="width:12pt;height:19.5pt" o:ole="">
            <v:imagedata r:id="rId17" o:title=""/>
          </v:shape>
          <o:OLEObject Type="Embed" ProgID="Equation.3" ShapeID="_x0000_i1030" DrawAspect="Content" ObjectID="_1492727302" r:id="rId18"/>
        </w:object>
      </w:r>
      <w:r w:rsidRPr="005F0D93">
        <w:rPr>
          <w:color w:val="FF0000"/>
          <w:u w:val="single"/>
        </w:rPr>
        <w:t xml:space="preserve"> is the L-2 norm of a vector.</w:t>
      </w:r>
    </w:p>
    <w:p w:rsidR="00F57331" w:rsidRPr="00C5460C" w:rsidRDefault="00F57331" w:rsidP="00F57331"/>
    <w:p w:rsidR="00F57331" w:rsidRDefault="00F57331" w:rsidP="00F57331"/>
    <w:p w:rsidR="00F57331" w:rsidRPr="003B6835" w:rsidRDefault="00F57331" w:rsidP="00F57331">
      <w:r w:rsidRPr="003B6835">
        <w:rPr>
          <w:u w:val="single"/>
        </w:rPr>
        <w:t>Note:</w:t>
      </w:r>
      <w:r>
        <w:t xml:space="preserve">  For Box 2</w:t>
      </w:r>
      <w:r w:rsidRPr="003B6835">
        <w:t>, there is no notion of an “un-associated user”, i.e., no check is performed to ensur</w:t>
      </w:r>
      <w:r>
        <w:t>e that a STA can maintain MCS0.</w:t>
      </w:r>
    </w:p>
    <w:p w:rsidR="00F57331" w:rsidRDefault="00F57331" w:rsidP="00F57331"/>
    <w:p w:rsidR="00F57331" w:rsidRDefault="00F57331" w:rsidP="00F57331">
      <w:pPr>
        <w:pStyle w:val="Heading3"/>
      </w:pPr>
      <w:bookmarkStart w:id="1" w:name="_Toc387915683"/>
      <w:r>
        <w:t>Test 1 (interference free)</w:t>
      </w:r>
      <w:bookmarkEnd w:id="1"/>
    </w:p>
    <w:p w:rsidR="00F57331" w:rsidRPr="00BF07BD" w:rsidRDefault="00F57331" w:rsidP="00F57331">
      <w:r>
        <w:t>For this test,</w:t>
      </w:r>
      <w:r w:rsidRPr="00BF07BD">
        <w:t xml:space="preserve"> </w:t>
      </w:r>
      <w:r>
        <w:t xml:space="preserve">only DL multipath SINR is required. </w:t>
      </w:r>
      <w:r w:rsidRPr="00BF07BD">
        <w:t>No interfering transmitter is defined for each BSS</w:t>
      </w:r>
      <w:r>
        <w:t>. Therefore</w:t>
      </w:r>
      <w:r w:rsidRPr="00BF07BD">
        <w:t xml:space="preserve">, </w:t>
      </w:r>
      <w:r>
        <w:t xml:space="preserve">for the n-th BSS, </w:t>
      </w:r>
      <w:r w:rsidRPr="00DE62A2">
        <w:rPr>
          <w:i/>
        </w:rPr>
        <w:t>Ω(k)={}</w:t>
      </w:r>
      <w:r w:rsidRPr="00BF07BD">
        <w:t xml:space="preserve"> and </w:t>
      </w:r>
      <w:r w:rsidRPr="00DE62A2">
        <w:rPr>
          <w:i/>
        </w:rPr>
        <w:t>N(k)=0</w:t>
      </w:r>
      <w:r w:rsidRPr="00BF07BD">
        <w:t xml:space="preserve">, for </w:t>
      </w:r>
      <w:r w:rsidRPr="00DE62A2">
        <w:rPr>
          <w:i/>
        </w:rPr>
        <w:t>k=1…N</w:t>
      </w:r>
      <w:r w:rsidRPr="00DE62A2">
        <w:rPr>
          <w:i/>
          <w:vertAlign w:val="subscript"/>
        </w:rPr>
        <w:t>BSS</w:t>
      </w:r>
      <w:r w:rsidRPr="00BF07BD">
        <w:t>.</w:t>
      </w:r>
      <w:r>
        <w:t xml:space="preserve"> </w:t>
      </w:r>
    </w:p>
    <w:p w:rsidR="00F57331" w:rsidRDefault="00F57331" w:rsidP="00F57331">
      <w:pPr>
        <w:pStyle w:val="Heading3"/>
      </w:pPr>
      <w:bookmarkStart w:id="2" w:name="_Toc387915684"/>
      <w:r w:rsidRPr="00F43D54">
        <w:t>Test 2</w:t>
      </w:r>
      <w:r>
        <w:t xml:space="preserve"> (DL only)</w:t>
      </w:r>
      <w:bookmarkEnd w:id="2"/>
    </w:p>
    <w:p w:rsidR="00F57331" w:rsidRPr="00BF07BD" w:rsidRDefault="00F57331" w:rsidP="00F57331">
      <w:r w:rsidRPr="00BF07BD">
        <w:t xml:space="preserve">For a receiver (STA) in the n-th BSS, the interfering transmitters are defined to be all non-associated APs. Therefore, </w:t>
      </w:r>
      <w:r w:rsidRPr="00DE62A2">
        <w:rPr>
          <w:i/>
        </w:rPr>
        <w:t>Ω(k)={AP-k}, N(k)=1</w:t>
      </w:r>
      <w:r w:rsidRPr="00BF07BD">
        <w:t xml:space="preserve"> for </w:t>
      </w:r>
      <w:r w:rsidRPr="00DE62A2">
        <w:rPr>
          <w:i/>
        </w:rPr>
        <w:t>k=1…N</w:t>
      </w:r>
      <w:r w:rsidRPr="00DE62A2">
        <w:rPr>
          <w:i/>
          <w:vertAlign w:val="subscript"/>
        </w:rPr>
        <w:t>BSS</w:t>
      </w:r>
      <w:r w:rsidRPr="00DE62A2">
        <w:rPr>
          <w:i/>
        </w:rPr>
        <w:softHyphen/>
        <w:t>, k≠n</w:t>
      </w:r>
      <w:r w:rsidRPr="00BF07BD">
        <w:t>.</w:t>
      </w:r>
    </w:p>
    <w:p w:rsidR="00F57331" w:rsidRPr="00BF07BD" w:rsidRDefault="00F57331" w:rsidP="00F57331">
      <w:pPr>
        <w:pStyle w:val="Heading3"/>
      </w:pPr>
      <w:bookmarkStart w:id="3" w:name="_Toc387915685"/>
      <w:r>
        <w:t>Test 3</w:t>
      </w:r>
      <w:r w:rsidRPr="00BF07BD">
        <w:t xml:space="preserve"> (</w:t>
      </w:r>
      <w:r>
        <w:t>all nodes per channel access rule</w:t>
      </w:r>
      <w:r w:rsidRPr="00BF07BD">
        <w:t>)</w:t>
      </w:r>
      <w:bookmarkEnd w:id="3"/>
    </w:p>
    <w:p w:rsidR="00F57331" w:rsidRPr="00BF07BD" w:rsidRDefault="00F57331" w:rsidP="00F57331">
      <w:r>
        <w:t xml:space="preserve">A channel access rule is used to select 0 or 1 transmitters per BSS. For the corresponding receiver in the n-th BSS, the interfering transmitters are defined to be the nodes that obtain channel access by the rule. </w:t>
      </w:r>
      <w:r w:rsidRPr="00BF07BD">
        <w:t xml:space="preserve">Therefore, </w:t>
      </w:r>
      <w:r w:rsidRPr="00A96A6A">
        <w:rPr>
          <w:i/>
        </w:rPr>
        <w:t>Ω(k)={</w:t>
      </w:r>
      <w:r>
        <w:rPr>
          <w:i/>
        </w:rPr>
        <w:t xml:space="preserve">none, or </w:t>
      </w:r>
      <w:r w:rsidRPr="00A96A6A">
        <w:rPr>
          <w:i/>
        </w:rPr>
        <w:t>AP-k</w:t>
      </w:r>
      <w:r>
        <w:rPr>
          <w:i/>
        </w:rPr>
        <w:t>,</w:t>
      </w:r>
      <w:r w:rsidRPr="00A96A6A">
        <w:rPr>
          <w:i/>
        </w:rPr>
        <w:t xml:space="preserve"> or STA-i, for some iϵФ(k)}</w:t>
      </w:r>
      <w:r>
        <w:t xml:space="preserve">, </w:t>
      </w:r>
      <w:r w:rsidRPr="00C177B6">
        <w:rPr>
          <w:i/>
        </w:rPr>
        <w:t>N(k) = 0 or 1</w:t>
      </w:r>
      <w:r>
        <w:t xml:space="preserve">, </w:t>
      </w:r>
      <w:r w:rsidRPr="00BF07BD">
        <w:t xml:space="preserve">for </w:t>
      </w:r>
      <w:r w:rsidRPr="00A96A6A">
        <w:rPr>
          <w:i/>
        </w:rPr>
        <w:t>k=1…N</w:t>
      </w:r>
      <w:r w:rsidRPr="00A96A6A">
        <w:rPr>
          <w:i/>
          <w:vertAlign w:val="subscript"/>
        </w:rPr>
        <w:t>BSS</w:t>
      </w:r>
      <w:r w:rsidRPr="00A96A6A">
        <w:rPr>
          <w:i/>
        </w:rPr>
        <w:softHyphen/>
      </w:r>
      <w:r w:rsidRPr="00BF07BD">
        <w:t>.</w:t>
      </w:r>
    </w:p>
    <w:p w:rsidR="00F57331" w:rsidRDefault="00F57331" w:rsidP="00F57331">
      <w:pPr>
        <w:spacing w:before="240"/>
        <w:rPr>
          <w:sz w:val="24"/>
          <w:szCs w:val="24"/>
        </w:rPr>
      </w:pPr>
      <w:r w:rsidRPr="005D2614">
        <w:rPr>
          <w:sz w:val="24"/>
          <w:szCs w:val="24"/>
        </w:rPr>
        <w:t>Channel access rules use CCA are defined as:</w:t>
      </w:r>
    </w:p>
    <w:p w:rsidR="00F57331" w:rsidRPr="005D2614" w:rsidRDefault="00F57331" w:rsidP="00F57331">
      <w:pPr>
        <w:spacing w:before="240"/>
        <w:rPr>
          <w:sz w:val="24"/>
          <w:szCs w:val="24"/>
        </w:rPr>
      </w:pPr>
    </w:p>
    <w:p w:rsidR="00F57331" w:rsidRPr="005D2614" w:rsidRDefault="00F57331" w:rsidP="00F57331">
      <w:pPr>
        <w:pStyle w:val="ListParagraph"/>
        <w:numPr>
          <w:ilvl w:val="0"/>
          <w:numId w:val="2"/>
        </w:numPr>
        <w:spacing w:line="276" w:lineRule="auto"/>
        <w:contextualSpacing w:val="0"/>
        <w:rPr>
          <w:sz w:val="22"/>
          <w:szCs w:val="22"/>
        </w:rPr>
      </w:pPr>
      <w:r w:rsidRPr="005D2614">
        <w:rPr>
          <w:sz w:val="22"/>
          <w:szCs w:val="22"/>
        </w:rPr>
        <w:t xml:space="preserve">Order all nodes (STAs and APs) and put them in a list in a random order, initialize a set of transmitter </w:t>
      </w:r>
      <w:r w:rsidRPr="005D2614">
        <w:rPr>
          <w:i/>
          <w:sz w:val="22"/>
          <w:szCs w:val="22"/>
        </w:rPr>
        <w:t>T</w:t>
      </w:r>
      <w:r w:rsidRPr="005D2614">
        <w:rPr>
          <w:sz w:val="22"/>
          <w:szCs w:val="22"/>
        </w:rPr>
        <w:t>={}, and</w:t>
      </w:r>
      <w:r w:rsidRPr="005D2614">
        <w:rPr>
          <w:i/>
          <w:sz w:val="22"/>
          <w:szCs w:val="22"/>
        </w:rPr>
        <w:t xml:space="preserve"> Ω(k)={}</w:t>
      </w:r>
      <w:r w:rsidRPr="005D2614">
        <w:rPr>
          <w:sz w:val="22"/>
          <w:szCs w:val="22"/>
        </w:rPr>
        <w:t>, for</w:t>
      </w:r>
      <w:r w:rsidRPr="005D2614">
        <w:rPr>
          <w:i/>
          <w:sz w:val="22"/>
          <w:szCs w:val="22"/>
        </w:rPr>
        <w:t xml:space="preserve"> k=1…</w:t>
      </w:r>
      <w:r w:rsidRPr="005D2614">
        <w:rPr>
          <w:i/>
          <w:sz w:val="22"/>
          <w:szCs w:val="22"/>
          <w:vertAlign w:val="subscript"/>
        </w:rPr>
        <w:t>NBSS</w:t>
      </w:r>
      <w:r w:rsidRPr="005D2614">
        <w:rPr>
          <w:i/>
          <w:sz w:val="22"/>
          <w:szCs w:val="22"/>
        </w:rPr>
        <w:softHyphen/>
      </w:r>
    </w:p>
    <w:p w:rsidR="00F57331" w:rsidRPr="005D2614" w:rsidRDefault="00F57331" w:rsidP="00F57331">
      <w:pPr>
        <w:pStyle w:val="ListParagraph"/>
        <w:numPr>
          <w:ilvl w:val="0"/>
          <w:numId w:val="2"/>
        </w:numPr>
        <w:spacing w:line="276" w:lineRule="auto"/>
        <w:contextualSpacing w:val="0"/>
        <w:rPr>
          <w:sz w:val="22"/>
          <w:szCs w:val="22"/>
        </w:rPr>
      </w:pPr>
      <w:r w:rsidRPr="005D2614">
        <w:rPr>
          <w:sz w:val="22"/>
          <w:szCs w:val="22"/>
        </w:rPr>
        <w:t>While the list is not empty:</w:t>
      </w:r>
    </w:p>
    <w:p w:rsidR="00F57331" w:rsidRPr="005D2614" w:rsidRDefault="00F57331" w:rsidP="00F57331">
      <w:pPr>
        <w:pStyle w:val="ListParagraph"/>
        <w:numPr>
          <w:ilvl w:val="1"/>
          <w:numId w:val="2"/>
        </w:numPr>
        <w:spacing w:line="276" w:lineRule="auto"/>
        <w:contextualSpacing w:val="0"/>
        <w:rPr>
          <w:sz w:val="22"/>
          <w:szCs w:val="22"/>
        </w:rPr>
      </w:pPr>
      <w:r w:rsidRPr="005D2614">
        <w:rPr>
          <w:sz w:val="22"/>
          <w:szCs w:val="22"/>
        </w:rPr>
        <w:t>Select the first node and remove it from the list.</w:t>
      </w:r>
    </w:p>
    <w:p w:rsidR="00F57331" w:rsidRPr="005D2614" w:rsidRDefault="00F57331" w:rsidP="00F57331">
      <w:pPr>
        <w:pStyle w:val="ListParagraph"/>
        <w:numPr>
          <w:ilvl w:val="1"/>
          <w:numId w:val="2"/>
        </w:numPr>
        <w:spacing w:line="276" w:lineRule="auto"/>
        <w:contextualSpacing w:val="0"/>
        <w:rPr>
          <w:sz w:val="22"/>
          <w:szCs w:val="22"/>
        </w:rPr>
      </w:pPr>
      <w:r w:rsidRPr="005D2614">
        <w:rPr>
          <w:sz w:val="22"/>
          <w:szCs w:val="22"/>
        </w:rPr>
        <w:t xml:space="preserve">Calculate the interference based on the current </w:t>
      </w:r>
      <w:r w:rsidRPr="005D2614">
        <w:rPr>
          <w:i/>
          <w:sz w:val="22"/>
          <w:szCs w:val="22"/>
        </w:rPr>
        <w:t xml:space="preserve">Ω(k), </w:t>
      </w:r>
      <w:r w:rsidRPr="005D2614">
        <w:rPr>
          <w:sz w:val="22"/>
          <w:szCs w:val="22"/>
        </w:rPr>
        <w:t xml:space="preserve">for </w:t>
      </w:r>
      <w:r w:rsidRPr="005D2614">
        <w:rPr>
          <w:i/>
          <w:sz w:val="22"/>
          <w:szCs w:val="22"/>
        </w:rPr>
        <w:t>k=1…N</w:t>
      </w:r>
      <w:r w:rsidRPr="005D2614">
        <w:rPr>
          <w:i/>
          <w:sz w:val="22"/>
          <w:szCs w:val="22"/>
          <w:vertAlign w:val="subscript"/>
        </w:rPr>
        <w:t>BSS</w:t>
      </w:r>
      <w:r w:rsidRPr="005D2614">
        <w:rPr>
          <w:i/>
          <w:sz w:val="22"/>
          <w:szCs w:val="22"/>
        </w:rPr>
        <w:softHyphen/>
        <w:t>.</w:t>
      </w:r>
      <w:r w:rsidRPr="005D2614">
        <w:rPr>
          <w:sz w:val="22"/>
          <w:szCs w:val="22"/>
        </w:rPr>
        <w:t>That is,</w:t>
      </w:r>
    </w:p>
    <w:p w:rsidR="00F57331" w:rsidRDefault="00F57331" w:rsidP="00F57331">
      <w:pPr>
        <w:pStyle w:val="ListParagraph"/>
        <w:spacing w:line="276" w:lineRule="auto"/>
        <w:ind w:left="1440"/>
        <w:rPr>
          <w:sz w:val="22"/>
          <w:szCs w:val="22"/>
        </w:rPr>
      </w:pPr>
      <w:r w:rsidRPr="005D2614">
        <w:rPr>
          <w:position w:val="-32"/>
          <w:sz w:val="22"/>
          <w:szCs w:val="22"/>
        </w:rPr>
        <w:object w:dxaOrig="1579" w:dyaOrig="720">
          <v:shape id="_x0000_i1031" type="#_x0000_t75" style="width:75pt;height:32.25pt" o:ole="">
            <v:imagedata r:id="rId19" o:title=""/>
          </v:shape>
          <o:OLEObject Type="Embed" ProgID="Equation.DSMT4" ShapeID="_x0000_i1031" DrawAspect="Content" ObjectID="_1492727303" r:id="rId20"/>
        </w:object>
      </w:r>
    </w:p>
    <w:p w:rsidR="00F57331" w:rsidRPr="005D2614" w:rsidRDefault="00F57331" w:rsidP="00F57331">
      <w:pPr>
        <w:pStyle w:val="ListParagraph"/>
        <w:spacing w:line="276" w:lineRule="auto"/>
        <w:ind w:left="1440"/>
        <w:rPr>
          <w:sz w:val="22"/>
          <w:szCs w:val="22"/>
        </w:rPr>
      </w:pPr>
      <w:r>
        <w:rPr>
          <w:sz w:val="22"/>
          <w:szCs w:val="22"/>
        </w:rPr>
        <w:t>The interference power is measured across the entire simulation bandwidth.</w:t>
      </w:r>
    </w:p>
    <w:p w:rsidR="00F57331" w:rsidRPr="005D2614" w:rsidRDefault="00F57331" w:rsidP="00F57331">
      <w:pPr>
        <w:pStyle w:val="ListParagraph"/>
        <w:numPr>
          <w:ilvl w:val="1"/>
          <w:numId w:val="2"/>
        </w:numPr>
        <w:spacing w:line="276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Compare the interference with a CCA threshold of -70dBm</w:t>
      </w:r>
      <w:r w:rsidRPr="005D2614">
        <w:rPr>
          <w:sz w:val="22"/>
          <w:szCs w:val="22"/>
        </w:rPr>
        <w:t xml:space="preserve">. If the interference is smaller than the threshold, </w:t>
      </w:r>
    </w:p>
    <w:p w:rsidR="00F57331" w:rsidRPr="005D2614" w:rsidRDefault="00F57331" w:rsidP="00F57331">
      <w:pPr>
        <w:pStyle w:val="ListParagraph"/>
        <w:numPr>
          <w:ilvl w:val="2"/>
          <w:numId w:val="2"/>
        </w:numPr>
        <w:spacing w:line="276" w:lineRule="auto"/>
        <w:contextualSpacing w:val="0"/>
        <w:rPr>
          <w:sz w:val="22"/>
          <w:szCs w:val="22"/>
        </w:rPr>
      </w:pPr>
      <w:r w:rsidRPr="005D2614">
        <w:rPr>
          <w:sz w:val="22"/>
          <w:szCs w:val="22"/>
        </w:rPr>
        <w:t xml:space="preserve">Add this node to </w:t>
      </w:r>
      <w:r w:rsidRPr="005D2614">
        <w:rPr>
          <w:i/>
          <w:sz w:val="22"/>
          <w:szCs w:val="22"/>
        </w:rPr>
        <w:t>T</w:t>
      </w:r>
      <w:r w:rsidRPr="005D2614">
        <w:rPr>
          <w:sz w:val="22"/>
          <w:szCs w:val="22"/>
        </w:rPr>
        <w:t xml:space="preserve">, and set </w:t>
      </w:r>
      <w:r w:rsidRPr="005D2614">
        <w:rPr>
          <w:i/>
          <w:sz w:val="22"/>
          <w:szCs w:val="22"/>
        </w:rPr>
        <w:t>Ω(n)={this node},</w:t>
      </w:r>
      <w:r w:rsidRPr="005D2614">
        <w:rPr>
          <w:sz w:val="22"/>
          <w:szCs w:val="22"/>
        </w:rPr>
        <w:t xml:space="preserve">if this node belongs to BSS-n. </w:t>
      </w:r>
    </w:p>
    <w:p w:rsidR="00F57331" w:rsidRPr="005D2614" w:rsidRDefault="00F57331" w:rsidP="00F57331">
      <w:pPr>
        <w:pStyle w:val="ListParagraph"/>
        <w:numPr>
          <w:ilvl w:val="2"/>
          <w:numId w:val="2"/>
        </w:numPr>
        <w:spacing w:line="276" w:lineRule="auto"/>
        <w:contextualSpacing w:val="0"/>
        <w:rPr>
          <w:sz w:val="22"/>
          <w:szCs w:val="22"/>
        </w:rPr>
      </w:pPr>
      <w:r w:rsidRPr="005D2614">
        <w:rPr>
          <w:sz w:val="22"/>
          <w:szCs w:val="22"/>
        </w:rPr>
        <w:lastRenderedPageBreak/>
        <w:t xml:space="preserve">If this node is an AP, randomly selects an associated STA as receiver; if this node is a STA, the receiver is the associated AP. </w:t>
      </w:r>
    </w:p>
    <w:p w:rsidR="00F57331" w:rsidRPr="005D2614" w:rsidRDefault="00F57331" w:rsidP="00F57331">
      <w:pPr>
        <w:pStyle w:val="ListParagraph"/>
        <w:numPr>
          <w:ilvl w:val="2"/>
          <w:numId w:val="2"/>
        </w:numPr>
        <w:spacing w:line="276" w:lineRule="auto"/>
        <w:contextualSpacing w:val="0"/>
        <w:rPr>
          <w:sz w:val="22"/>
          <w:szCs w:val="22"/>
        </w:rPr>
      </w:pPr>
      <w:r w:rsidRPr="005D2614">
        <w:rPr>
          <w:sz w:val="22"/>
          <w:szCs w:val="22"/>
        </w:rPr>
        <w:t>Remove all existing nodes in the same BSS from the list.</w:t>
      </w:r>
    </w:p>
    <w:p w:rsidR="00F57331" w:rsidRPr="005D2614" w:rsidRDefault="00F57331" w:rsidP="00F57331">
      <w:pPr>
        <w:pStyle w:val="ListParagraph"/>
        <w:numPr>
          <w:ilvl w:val="0"/>
          <w:numId w:val="2"/>
        </w:numPr>
        <w:spacing w:line="276" w:lineRule="auto"/>
        <w:contextualSpacing w:val="0"/>
        <w:rPr>
          <w:sz w:val="22"/>
          <w:szCs w:val="22"/>
        </w:rPr>
      </w:pPr>
      <w:r w:rsidRPr="005D2614">
        <w:rPr>
          <w:sz w:val="22"/>
          <w:szCs w:val="22"/>
        </w:rPr>
        <w:t xml:space="preserve">Output the set of transmitter </w:t>
      </w:r>
      <w:r w:rsidRPr="005D2614">
        <w:rPr>
          <w:i/>
          <w:sz w:val="22"/>
          <w:szCs w:val="22"/>
        </w:rPr>
        <w:t>T</w:t>
      </w:r>
      <w:r w:rsidRPr="005D2614">
        <w:rPr>
          <w:sz w:val="22"/>
          <w:szCs w:val="22"/>
        </w:rPr>
        <w:t>.</w:t>
      </w:r>
    </w:p>
    <w:p w:rsidR="00F57331" w:rsidRDefault="00F57331" w:rsidP="00F57331"/>
    <w:p w:rsidR="00F57331" w:rsidRDefault="00F57331" w:rsidP="00F57331">
      <w:r w:rsidRPr="002D033F">
        <w:t>A flow chart of such a CCA-based channel access rule:</w:t>
      </w:r>
    </w:p>
    <w:p w:rsidR="00F57331" w:rsidRDefault="00F57331" w:rsidP="00F57331"/>
    <w:p w:rsidR="00F57331" w:rsidRDefault="00F57331" w:rsidP="00F57331">
      <w:pPr>
        <w:keepNext/>
        <w:spacing w:before="240"/>
        <w:jc w:val="center"/>
      </w:pPr>
      <w:r w:rsidRPr="004B77D8">
        <w:rPr>
          <w:noProof/>
          <w:lang w:val="en-US" w:eastAsia="ko-KR"/>
        </w:rPr>
        <w:drawing>
          <wp:inline distT="0" distB="0" distL="0" distR="0" wp14:anchorId="3D50C5BE" wp14:editId="5EBED22E">
            <wp:extent cx="3705759" cy="5029200"/>
            <wp:effectExtent l="19050" t="0" r="8991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759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331" w:rsidRDefault="00F57331" w:rsidP="00F57331">
      <w:pPr>
        <w:pStyle w:val="Caption"/>
        <w:jc w:val="center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t>: CCA-based channel access rule flow chart</w:t>
      </w:r>
    </w:p>
    <w:p w:rsidR="00F57331" w:rsidRPr="00BF07BD" w:rsidRDefault="00F57331" w:rsidP="00F57331">
      <w:pPr>
        <w:spacing w:before="240"/>
      </w:pPr>
      <w:r w:rsidRPr="00BF07BD">
        <w:t>A separate CDF will be generated for DL and UL SINR.</w:t>
      </w:r>
    </w:p>
    <w:p w:rsidR="00F57331" w:rsidRDefault="00F57331" w:rsidP="00F57331">
      <w:pPr>
        <w:rPr>
          <w:u w:val="single"/>
        </w:rPr>
      </w:pPr>
    </w:p>
    <w:p w:rsidR="00F57331" w:rsidRPr="00BF07BD" w:rsidRDefault="00F57331" w:rsidP="00F57331">
      <w:pPr>
        <w:pStyle w:val="Heading3"/>
      </w:pPr>
      <w:bookmarkStart w:id="4" w:name="_Toc387915686"/>
      <w:r w:rsidRPr="00BF07BD">
        <w:t>Procedure</w:t>
      </w:r>
      <w:r>
        <w:t xml:space="preserve"> of test</w:t>
      </w:r>
      <w:bookmarkEnd w:id="4"/>
    </w:p>
    <w:p w:rsidR="00F57331" w:rsidRPr="005D2614" w:rsidRDefault="00F57331" w:rsidP="00F57331">
      <w:pPr>
        <w:pStyle w:val="ListParagraph"/>
        <w:numPr>
          <w:ilvl w:val="0"/>
          <w:numId w:val="1"/>
        </w:numPr>
        <w:spacing w:line="276" w:lineRule="auto"/>
        <w:contextualSpacing w:val="0"/>
        <w:rPr>
          <w:sz w:val="22"/>
          <w:szCs w:val="22"/>
        </w:rPr>
      </w:pPr>
      <w:r w:rsidRPr="005D2614">
        <w:rPr>
          <w:sz w:val="22"/>
          <w:szCs w:val="22"/>
        </w:rPr>
        <w:t>For each test on a selected calibration scenario, at least [x] drops of STA/AP and [x] TX events per drop are required for convergence.</w:t>
      </w:r>
    </w:p>
    <w:p w:rsidR="00F57331" w:rsidRPr="005D2614" w:rsidRDefault="00F57331" w:rsidP="00F57331">
      <w:pPr>
        <w:pStyle w:val="ListParagraph"/>
        <w:numPr>
          <w:ilvl w:val="0"/>
          <w:numId w:val="1"/>
        </w:numPr>
        <w:spacing w:line="276" w:lineRule="auto"/>
        <w:contextualSpacing w:val="0"/>
        <w:rPr>
          <w:sz w:val="22"/>
          <w:szCs w:val="22"/>
        </w:rPr>
      </w:pPr>
      <w:r w:rsidRPr="005D2614">
        <w:rPr>
          <w:sz w:val="22"/>
          <w:szCs w:val="22"/>
        </w:rPr>
        <w:t>In each drop,</w:t>
      </w:r>
    </w:p>
    <w:p w:rsidR="00F57331" w:rsidRPr="005D2614" w:rsidRDefault="00F57331" w:rsidP="00F57331">
      <w:pPr>
        <w:pStyle w:val="ListParagraph"/>
        <w:numPr>
          <w:ilvl w:val="1"/>
          <w:numId w:val="1"/>
        </w:numPr>
        <w:spacing w:line="276" w:lineRule="auto"/>
        <w:contextualSpacing w:val="0"/>
        <w:rPr>
          <w:sz w:val="22"/>
          <w:szCs w:val="22"/>
        </w:rPr>
      </w:pPr>
      <w:r w:rsidRPr="005D2614">
        <w:rPr>
          <w:sz w:val="22"/>
          <w:szCs w:val="22"/>
        </w:rPr>
        <w:t xml:space="preserve">Drop STAs/APs, and associate each STA with an AP according to the scenario. </w:t>
      </w:r>
    </w:p>
    <w:p w:rsidR="00F57331" w:rsidRPr="005D2614" w:rsidRDefault="00F57331" w:rsidP="00F57331">
      <w:pPr>
        <w:pStyle w:val="ListParagraph"/>
        <w:numPr>
          <w:ilvl w:val="1"/>
          <w:numId w:val="1"/>
        </w:numPr>
        <w:spacing w:line="276" w:lineRule="auto"/>
        <w:contextualSpacing w:val="0"/>
        <w:rPr>
          <w:sz w:val="22"/>
          <w:szCs w:val="22"/>
        </w:rPr>
      </w:pPr>
      <w:r w:rsidRPr="005D2614">
        <w:rPr>
          <w:sz w:val="22"/>
          <w:szCs w:val="22"/>
        </w:rPr>
        <w:t>In each TX event, select the transmitter and receiver nodes, and collect the multipath SINR per tone for the pairs of transmitter/receiver.</w:t>
      </w:r>
    </w:p>
    <w:p w:rsidR="00F57331" w:rsidRPr="005D2614" w:rsidRDefault="00F57331" w:rsidP="00F57331">
      <w:pPr>
        <w:pStyle w:val="ListParagraph"/>
        <w:numPr>
          <w:ilvl w:val="1"/>
          <w:numId w:val="1"/>
        </w:numPr>
        <w:spacing w:line="276" w:lineRule="auto"/>
        <w:contextualSpacing w:val="0"/>
        <w:rPr>
          <w:sz w:val="22"/>
          <w:szCs w:val="22"/>
        </w:rPr>
      </w:pPr>
      <w:r w:rsidRPr="005D2614">
        <w:rPr>
          <w:sz w:val="22"/>
          <w:szCs w:val="22"/>
        </w:rPr>
        <w:t xml:space="preserve">The fading channel evolves over the TX events (detailed to be added). </w:t>
      </w:r>
    </w:p>
    <w:p w:rsidR="00F57331" w:rsidRPr="005D2614" w:rsidRDefault="00F57331" w:rsidP="00F57331">
      <w:pPr>
        <w:pStyle w:val="ListParagraph"/>
        <w:numPr>
          <w:ilvl w:val="0"/>
          <w:numId w:val="1"/>
        </w:numPr>
        <w:spacing w:line="276" w:lineRule="auto"/>
        <w:contextualSpacing w:val="0"/>
        <w:rPr>
          <w:sz w:val="22"/>
          <w:szCs w:val="22"/>
        </w:rPr>
      </w:pPr>
      <w:r w:rsidRPr="005D2614">
        <w:rPr>
          <w:sz w:val="22"/>
          <w:szCs w:val="22"/>
        </w:rPr>
        <w:lastRenderedPageBreak/>
        <w:t xml:space="preserve">Generate the distribution (CDF) of multipath SINR collected over the simulation time from multiple drops. </w:t>
      </w:r>
    </w:p>
    <w:p w:rsidR="00F57331" w:rsidRPr="005D2614" w:rsidRDefault="00F57331" w:rsidP="00F57331">
      <w:pPr>
        <w:pStyle w:val="ListParagraph"/>
        <w:numPr>
          <w:ilvl w:val="1"/>
          <w:numId w:val="1"/>
        </w:numPr>
        <w:spacing w:line="276" w:lineRule="auto"/>
        <w:contextualSpacing w:val="0"/>
        <w:rPr>
          <w:sz w:val="22"/>
          <w:szCs w:val="22"/>
        </w:rPr>
      </w:pPr>
      <w:r w:rsidRPr="005D2614">
        <w:rPr>
          <w:sz w:val="22"/>
          <w:szCs w:val="22"/>
        </w:rPr>
        <w:t>The CDF of SINR per tone.</w:t>
      </w:r>
    </w:p>
    <w:p w:rsidR="00F57331" w:rsidRPr="005D2614" w:rsidRDefault="00F57331" w:rsidP="00F57331">
      <w:pPr>
        <w:pStyle w:val="ListParagraph"/>
        <w:numPr>
          <w:ilvl w:val="1"/>
          <w:numId w:val="1"/>
        </w:numPr>
        <w:spacing w:line="276" w:lineRule="auto"/>
        <w:contextualSpacing w:val="0"/>
        <w:rPr>
          <w:sz w:val="22"/>
          <w:szCs w:val="22"/>
        </w:rPr>
      </w:pPr>
      <w:r w:rsidRPr="005D2614">
        <w:rPr>
          <w:sz w:val="22"/>
          <w:szCs w:val="22"/>
        </w:rPr>
        <w:t>The CDF of effective SINR per reception based on capacity mapping, i.e.,</w:t>
      </w:r>
    </w:p>
    <w:p w:rsidR="00F57331" w:rsidRPr="00662B8C" w:rsidRDefault="00F57331" w:rsidP="00F57331">
      <w:pPr>
        <w:pStyle w:val="MTDisplayEquation"/>
        <w:jc w:val="center"/>
      </w:pPr>
      <w:r w:rsidRPr="005F0D93">
        <w:rPr>
          <w:position w:val="-46"/>
          <w:highlight w:val="yellow"/>
        </w:rPr>
        <w:object w:dxaOrig="5319" w:dyaOrig="1040">
          <v:shape id="_x0000_i1032" type="#_x0000_t75" style="width:266.25pt;height:52.5pt" o:ole="">
            <v:imagedata r:id="rId22" o:title=""/>
          </v:shape>
          <o:OLEObject Type="Embed" ProgID="Equation.3" ShapeID="_x0000_i1032" DrawAspect="Content" ObjectID="_1492727304" r:id="rId23"/>
        </w:object>
      </w:r>
    </w:p>
    <w:p w:rsidR="00F57331" w:rsidRPr="00D12BF2" w:rsidRDefault="00F57331" w:rsidP="00F57331"/>
    <w:p w:rsidR="00F57331" w:rsidRPr="005F0D93" w:rsidRDefault="00F57331" w:rsidP="00F57331">
      <w:pPr>
        <w:rPr>
          <w:color w:val="FF0000"/>
          <w:szCs w:val="22"/>
          <w:u w:val="single"/>
        </w:rPr>
      </w:pPr>
      <w:r w:rsidRPr="005D2614">
        <w:rPr>
          <w:szCs w:val="22"/>
        </w:rPr>
        <w:tab/>
      </w:r>
      <w:r w:rsidRPr="005F0D93">
        <w:rPr>
          <w:color w:val="FF0000"/>
          <w:szCs w:val="22"/>
          <w:u w:val="single"/>
        </w:rPr>
        <w:tab/>
        <w:t xml:space="preserve">where </w:t>
      </w:r>
      <w:r w:rsidRPr="005F0D93">
        <w:rPr>
          <w:i/>
          <w:color w:val="FF0000"/>
          <w:szCs w:val="22"/>
          <w:u w:val="single"/>
        </w:rPr>
        <w:t>N</w:t>
      </w:r>
      <w:r w:rsidRPr="005F0D93">
        <w:rPr>
          <w:i/>
          <w:color w:val="FF0000"/>
          <w:szCs w:val="22"/>
          <w:u w:val="single"/>
          <w:vertAlign w:val="subscript"/>
        </w:rPr>
        <w:t>tones</w:t>
      </w:r>
      <w:r w:rsidRPr="005F0D93">
        <w:rPr>
          <w:color w:val="FF0000"/>
          <w:szCs w:val="22"/>
          <w:u w:val="single"/>
        </w:rPr>
        <w:t xml:space="preserve"> is the number of tone and N</w:t>
      </w:r>
      <w:r w:rsidRPr="005F0D93">
        <w:rPr>
          <w:color w:val="FF0000"/>
          <w:szCs w:val="22"/>
          <w:u w:val="single"/>
          <w:vertAlign w:val="subscript"/>
        </w:rPr>
        <w:t>STS</w:t>
      </w:r>
      <w:r w:rsidRPr="005F0D93">
        <w:rPr>
          <w:color w:val="FF0000"/>
          <w:szCs w:val="22"/>
          <w:u w:val="single"/>
        </w:rPr>
        <w:t xml:space="preserve"> is the number of spatial streams.</w:t>
      </w:r>
    </w:p>
    <w:p w:rsidR="00F57331" w:rsidRPr="005D2614" w:rsidRDefault="00F57331" w:rsidP="00F57331">
      <w:pPr>
        <w:pStyle w:val="ListParagraph"/>
        <w:numPr>
          <w:ilvl w:val="1"/>
          <w:numId w:val="1"/>
        </w:numPr>
        <w:spacing w:line="276" w:lineRule="auto"/>
        <w:contextualSpacing w:val="0"/>
        <w:rPr>
          <w:sz w:val="22"/>
          <w:szCs w:val="22"/>
        </w:rPr>
      </w:pPr>
      <w:r w:rsidRPr="005D2614">
        <w:rPr>
          <w:sz w:val="22"/>
          <w:szCs w:val="22"/>
        </w:rPr>
        <w:t xml:space="preserve">The data format of SINR CDF is the SINR value for each percentile. </w:t>
      </w:r>
    </w:p>
    <w:p w:rsidR="00F57331" w:rsidRPr="005D2614" w:rsidRDefault="00F57331" w:rsidP="00F57331">
      <w:pPr>
        <w:pStyle w:val="ListParagraph"/>
        <w:numPr>
          <w:ilvl w:val="0"/>
          <w:numId w:val="1"/>
        </w:numPr>
        <w:spacing w:line="276" w:lineRule="auto"/>
        <w:contextualSpacing w:val="0"/>
        <w:rPr>
          <w:sz w:val="22"/>
          <w:szCs w:val="22"/>
        </w:rPr>
      </w:pPr>
      <w:r w:rsidRPr="005D2614">
        <w:rPr>
          <w:sz w:val="22"/>
          <w:szCs w:val="22"/>
        </w:rPr>
        <w:t>Calibration goal:</w:t>
      </w:r>
    </w:p>
    <w:p w:rsidR="00F57331" w:rsidRPr="005D2614" w:rsidRDefault="00F57331" w:rsidP="00F57331">
      <w:pPr>
        <w:pStyle w:val="ListParagraph"/>
        <w:numPr>
          <w:ilvl w:val="1"/>
          <w:numId w:val="1"/>
        </w:numPr>
        <w:spacing w:line="276" w:lineRule="auto"/>
        <w:contextualSpacing w:val="0"/>
        <w:rPr>
          <w:sz w:val="22"/>
          <w:szCs w:val="22"/>
        </w:rPr>
      </w:pPr>
      <w:r w:rsidRPr="005D2614">
        <w:rPr>
          <w:sz w:val="22"/>
          <w:szCs w:val="22"/>
        </w:rPr>
        <w:t>The difference between distributions from multiple companies should be within [x]%.</w:t>
      </w:r>
    </w:p>
    <w:p w:rsidR="00F57331" w:rsidRDefault="00F57331" w:rsidP="00F57331">
      <w:pPr>
        <w:rPr>
          <w:sz w:val="24"/>
          <w:szCs w:val="24"/>
          <w:u w:val="single"/>
        </w:rPr>
      </w:pPr>
    </w:p>
    <w:p w:rsidR="00F57331" w:rsidRDefault="00F57331">
      <w:r>
        <w:t>---- End of Text Change ----</w:t>
      </w:r>
    </w:p>
    <w:p w:rsidR="00CA09B2" w:rsidRDefault="00A97683">
      <w:bookmarkStart w:id="5" w:name="_GoBack"/>
      <w:bookmarkEnd w:id="5"/>
      <w:r>
        <w:t xml:space="preserve"> </w:t>
      </w:r>
    </w:p>
    <w:sectPr w:rsidR="00CA09B2">
      <w:headerReference w:type="default" r:id="rId24"/>
      <w:footerReference w:type="default" r:id="rId2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F7C" w:rsidRDefault="00152F7C">
      <w:r>
        <w:separator/>
      </w:r>
    </w:p>
  </w:endnote>
  <w:endnote w:type="continuationSeparator" w:id="0">
    <w:p w:rsidR="00152F7C" w:rsidRDefault="0015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152F7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15619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A97683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D66C1E">
      <w:t>Daewon Lee, Newracom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F7C" w:rsidRDefault="00152F7C">
      <w:r>
        <w:separator/>
      </w:r>
    </w:p>
  </w:footnote>
  <w:footnote w:type="continuationSeparator" w:id="0">
    <w:p w:rsidR="00152F7C" w:rsidRDefault="00152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152F7C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66C1E">
      <w:t>May 2015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4B12FA">
      <w:t>doc.: IEEE 802.11-15/0582r0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67681"/>
    <w:multiLevelType w:val="hybridMultilevel"/>
    <w:tmpl w:val="EE8AD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E2DA5"/>
    <w:multiLevelType w:val="hybridMultilevel"/>
    <w:tmpl w:val="9A647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19"/>
    <w:rsid w:val="00020240"/>
    <w:rsid w:val="00061A06"/>
    <w:rsid w:val="00145D3A"/>
    <w:rsid w:val="00152F7C"/>
    <w:rsid w:val="0015540C"/>
    <w:rsid w:val="001D723B"/>
    <w:rsid w:val="0022543E"/>
    <w:rsid w:val="0029020B"/>
    <w:rsid w:val="002D44BE"/>
    <w:rsid w:val="00300A10"/>
    <w:rsid w:val="00306570"/>
    <w:rsid w:val="00400C7A"/>
    <w:rsid w:val="00442037"/>
    <w:rsid w:val="004B064B"/>
    <w:rsid w:val="004B12FA"/>
    <w:rsid w:val="004B3438"/>
    <w:rsid w:val="004B6C60"/>
    <w:rsid w:val="005F0D93"/>
    <w:rsid w:val="0062440B"/>
    <w:rsid w:val="00624F8D"/>
    <w:rsid w:val="006B3BDB"/>
    <w:rsid w:val="006C0727"/>
    <w:rsid w:val="006E145F"/>
    <w:rsid w:val="00770572"/>
    <w:rsid w:val="009F2FBC"/>
    <w:rsid w:val="00A51C99"/>
    <w:rsid w:val="00A70C86"/>
    <w:rsid w:val="00A97683"/>
    <w:rsid w:val="00AA427C"/>
    <w:rsid w:val="00B15E15"/>
    <w:rsid w:val="00B30480"/>
    <w:rsid w:val="00BE68C2"/>
    <w:rsid w:val="00CA09B2"/>
    <w:rsid w:val="00CC3DE3"/>
    <w:rsid w:val="00D65D7F"/>
    <w:rsid w:val="00D66C1E"/>
    <w:rsid w:val="00DC5A7B"/>
    <w:rsid w:val="00E11D82"/>
    <w:rsid w:val="00E15619"/>
    <w:rsid w:val="00EB76E3"/>
    <w:rsid w:val="00F57331"/>
    <w:rsid w:val="00F6529F"/>
    <w:rsid w:val="00FB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7BABA9-84AA-4801-908A-3E23394A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F57331"/>
    <w:pPr>
      <w:jc w:val="both"/>
    </w:pPr>
    <w:rPr>
      <w:rFonts w:eastAsia="바탕"/>
      <w:b/>
      <w:bCs/>
      <w:sz w:val="20"/>
    </w:rPr>
  </w:style>
  <w:style w:type="paragraph" w:styleId="ListParagraph">
    <w:name w:val="List Paragraph"/>
    <w:basedOn w:val="Normal"/>
    <w:uiPriority w:val="34"/>
    <w:qFormat/>
    <w:rsid w:val="00F57331"/>
    <w:pPr>
      <w:ind w:left="720"/>
      <w:contextualSpacing/>
      <w:jc w:val="both"/>
    </w:pPr>
    <w:rPr>
      <w:rFonts w:eastAsia="바탕"/>
      <w:sz w:val="24"/>
      <w:szCs w:val="24"/>
      <w:lang w:val="en-US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F57331"/>
    <w:rPr>
      <w:rFonts w:eastAsia="바탕"/>
      <w:b/>
      <w:bCs/>
      <w:lang w:val="en-GB" w:eastAsia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F5733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F57331"/>
    <w:rPr>
      <w:rFonts w:ascii="Helvetica" w:eastAsia="SimSun" w:hAnsi="Helvetica"/>
      <w:sz w:val="22"/>
      <w:lang w:eastAsia="en-US"/>
    </w:rPr>
  </w:style>
  <w:style w:type="character" w:styleId="CommentReference">
    <w:name w:val="annotation reference"/>
    <w:basedOn w:val="DefaultParagraphFont"/>
    <w:rsid w:val="00F57331"/>
    <w:rPr>
      <w:sz w:val="21"/>
      <w:szCs w:val="21"/>
    </w:rPr>
  </w:style>
  <w:style w:type="paragraph" w:styleId="CommentText">
    <w:name w:val="annotation text"/>
    <w:basedOn w:val="Normal"/>
    <w:link w:val="CommentTextChar"/>
    <w:rsid w:val="00F57331"/>
    <w:pPr>
      <w:jc w:val="both"/>
    </w:pPr>
    <w:rPr>
      <w:rFonts w:eastAsia="바탕"/>
    </w:rPr>
  </w:style>
  <w:style w:type="character" w:customStyle="1" w:styleId="CommentTextChar">
    <w:name w:val="Comment Text Char"/>
    <w:basedOn w:val="DefaultParagraphFont"/>
    <w:link w:val="CommentText"/>
    <w:rsid w:val="00F57331"/>
    <w:rPr>
      <w:rFonts w:eastAsia="바탕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F573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5733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Documents\newracom%20docs\IEEE%20submission%20docs\2015%20May%20Vancouver\11-15-0XXXX-00-00ax-LSP-correlation-clarif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11-15-0XXXX-00-00ax-LSP-correlation-clarification.dot</Template>
  <TotalTime>16</TotalTime>
  <Pages>5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802.11-15/xxxxr0</vt:lpstr>
    </vt:vector>
  </TitlesOfParts>
  <Company>Some Company</Company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802.11-15/0582r0</dc:title>
  <dc:subject>Submission</dc:subject>
  <dc:creator>Daewon Lee</dc:creator>
  <cp:keywords>May 2015</cp:keywords>
  <dc:description>Daewon Lee, Newracom</dc:description>
  <cp:lastModifiedBy>Daewon Lee</cp:lastModifiedBy>
  <cp:revision>25</cp:revision>
  <cp:lastPrinted>2015-05-10T07:42:00Z</cp:lastPrinted>
  <dcterms:created xsi:type="dcterms:W3CDTF">2015-05-10T07:41:00Z</dcterms:created>
  <dcterms:modified xsi:type="dcterms:W3CDTF">2015-05-10T08:39:00Z</dcterms:modified>
</cp:coreProperties>
</file>