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F5253" w:rsidP="00A86724">
            <w:pPr>
              <w:pStyle w:val="T2"/>
              <w:rPr>
                <w:lang w:eastAsia="zh-CN"/>
              </w:rPr>
            </w:pPr>
            <w:r>
              <w:rPr>
                <w:bCs/>
              </w:rPr>
              <w:t>Proposed Text to Resolve</w:t>
            </w:r>
            <w:r w:rsidRPr="00850AEA">
              <w:rPr>
                <w:bCs/>
              </w:rPr>
              <w:t xml:space="preserve"> </w:t>
            </w:r>
            <w:r>
              <w:rPr>
                <w:bCs/>
              </w:rPr>
              <w:t>CID 1</w:t>
            </w:r>
            <w:r>
              <w:rPr>
                <w:rFonts w:hint="eastAsia"/>
                <w:bCs/>
                <w:lang w:eastAsia="zh-CN"/>
              </w:rPr>
              <w:t>4</w:t>
            </w:r>
            <w:r>
              <w:rPr>
                <w:bCs/>
              </w:rPr>
              <w:t>6 in CC12</w:t>
            </w:r>
          </w:p>
        </w:tc>
      </w:tr>
      <w:tr w:rsidR="00CA09B2">
        <w:trPr>
          <w:trHeight w:val="359"/>
          <w:jc w:val="center"/>
        </w:trPr>
        <w:tc>
          <w:tcPr>
            <w:tcW w:w="9576" w:type="dxa"/>
            <w:gridSpan w:val="5"/>
            <w:vAlign w:val="center"/>
          </w:tcPr>
          <w:p w:rsidR="00CA09B2" w:rsidRDefault="00CA09B2" w:rsidP="00A86724">
            <w:pPr>
              <w:pStyle w:val="T2"/>
              <w:ind w:left="0"/>
              <w:rPr>
                <w:sz w:val="20"/>
                <w:lang w:eastAsia="zh-CN"/>
              </w:rPr>
            </w:pPr>
            <w:r>
              <w:rPr>
                <w:sz w:val="20"/>
              </w:rPr>
              <w:t>Date:</w:t>
            </w:r>
            <w:r>
              <w:rPr>
                <w:b w:val="0"/>
                <w:sz w:val="20"/>
              </w:rPr>
              <w:t xml:space="preserve">  </w:t>
            </w:r>
            <w:r w:rsidR="00BB5140">
              <w:rPr>
                <w:b w:val="0"/>
                <w:sz w:val="20"/>
              </w:rPr>
              <w:t>201</w:t>
            </w:r>
            <w:r w:rsidR="009C1614">
              <w:rPr>
                <w:b w:val="0"/>
                <w:sz w:val="20"/>
              </w:rPr>
              <w:t>4-0</w:t>
            </w:r>
            <w:r w:rsidR="00A02489">
              <w:rPr>
                <w:b w:val="0"/>
                <w:sz w:val="20"/>
              </w:rPr>
              <w:t>5</w:t>
            </w:r>
            <w:r w:rsidR="009C1614">
              <w:rPr>
                <w:b w:val="0"/>
                <w:sz w:val="20"/>
              </w:rPr>
              <w:t>-</w:t>
            </w:r>
            <w:r w:rsidR="00A02489">
              <w:rPr>
                <w:b w:val="0"/>
                <w:sz w:val="20"/>
              </w:rPr>
              <w:t>2</w:t>
            </w:r>
            <w:r w:rsidR="00A86724">
              <w:rPr>
                <w:rFonts w:hint="eastAsia"/>
                <w:b w:val="0"/>
                <w:sz w:val="20"/>
                <w:lang w:eastAsia="zh-CN"/>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96337">
        <w:trPr>
          <w:jc w:val="center"/>
        </w:trPr>
        <w:tc>
          <w:tcPr>
            <w:tcW w:w="1336" w:type="dxa"/>
            <w:vAlign w:val="center"/>
          </w:tcPr>
          <w:p w:rsidR="00196337" w:rsidRPr="00196337" w:rsidRDefault="00A86724" w:rsidP="00642D3B">
            <w:pPr>
              <w:jc w:val="center"/>
              <w:rPr>
                <w:sz w:val="20"/>
                <w:lang w:eastAsia="zh-CN"/>
              </w:rPr>
            </w:pPr>
            <w:r>
              <w:rPr>
                <w:rFonts w:hint="eastAsia"/>
                <w:sz w:val="20"/>
                <w:lang w:eastAsia="zh-CN"/>
              </w:rPr>
              <w:t>Dejian Li</w:t>
            </w:r>
          </w:p>
        </w:tc>
        <w:tc>
          <w:tcPr>
            <w:tcW w:w="2064" w:type="dxa"/>
            <w:vAlign w:val="center"/>
          </w:tcPr>
          <w:p w:rsidR="00196337" w:rsidRPr="00196337" w:rsidRDefault="00A86724" w:rsidP="00A86724">
            <w:pPr>
              <w:jc w:val="center"/>
              <w:rPr>
                <w:sz w:val="20"/>
              </w:rPr>
            </w:pPr>
            <w:r>
              <w:rPr>
                <w:rFonts w:hint="eastAsia"/>
                <w:sz w:val="20"/>
                <w:lang w:eastAsia="zh-CN"/>
              </w:rPr>
              <w:t>Huawei</w:t>
            </w:r>
            <w:r w:rsidR="00196337" w:rsidRPr="00196337">
              <w:rPr>
                <w:sz w:val="20"/>
              </w:rPr>
              <w:t xml:space="preserve"> / CWPAN</w:t>
            </w:r>
          </w:p>
        </w:tc>
        <w:tc>
          <w:tcPr>
            <w:tcW w:w="2814" w:type="dxa"/>
            <w:vAlign w:val="center"/>
          </w:tcPr>
          <w:p w:rsidR="00196337" w:rsidRPr="00196337" w:rsidRDefault="00196337" w:rsidP="00642D3B">
            <w:pPr>
              <w:jc w:val="center"/>
              <w:rPr>
                <w:sz w:val="20"/>
              </w:rPr>
            </w:pPr>
          </w:p>
        </w:tc>
        <w:tc>
          <w:tcPr>
            <w:tcW w:w="1715" w:type="dxa"/>
            <w:vAlign w:val="center"/>
          </w:tcPr>
          <w:p w:rsidR="00196337" w:rsidRPr="00196337" w:rsidRDefault="005F5253" w:rsidP="00A86724">
            <w:pPr>
              <w:jc w:val="center"/>
              <w:rPr>
                <w:sz w:val="20"/>
                <w:lang w:eastAsia="zh-CN"/>
              </w:rPr>
            </w:pPr>
            <w:r>
              <w:rPr>
                <w:rFonts w:hint="eastAsia"/>
                <w:sz w:val="20"/>
                <w:lang w:eastAsia="zh-CN"/>
              </w:rPr>
              <w:t>+</w:t>
            </w:r>
            <w:r w:rsidR="00A86724">
              <w:rPr>
                <w:rFonts w:hint="eastAsia"/>
                <w:sz w:val="20"/>
                <w:lang w:eastAsia="zh-CN"/>
              </w:rPr>
              <w:t>86</w:t>
            </w:r>
            <w:r w:rsidR="00196337" w:rsidRPr="00196337">
              <w:rPr>
                <w:sz w:val="20"/>
              </w:rPr>
              <w:t>-</w:t>
            </w:r>
            <w:r w:rsidR="00A86724">
              <w:rPr>
                <w:rFonts w:hint="eastAsia"/>
                <w:sz w:val="20"/>
                <w:lang w:eastAsia="zh-CN"/>
              </w:rPr>
              <w:t>60612144</w:t>
            </w:r>
          </w:p>
        </w:tc>
        <w:tc>
          <w:tcPr>
            <w:tcW w:w="1647" w:type="dxa"/>
            <w:vAlign w:val="center"/>
          </w:tcPr>
          <w:p w:rsidR="00196337" w:rsidRPr="00196337" w:rsidRDefault="00A86724" w:rsidP="00642D3B">
            <w:pPr>
              <w:rPr>
                <w:sz w:val="20"/>
                <w:lang w:eastAsia="zh-CN"/>
              </w:rPr>
            </w:pPr>
            <w:r>
              <w:rPr>
                <w:sz w:val="20"/>
                <w:lang w:eastAsia="zh-CN"/>
              </w:rPr>
              <w:t>Lidejian</w:t>
            </w:r>
            <w:r>
              <w:rPr>
                <w:rFonts w:hint="eastAsia"/>
                <w:sz w:val="20"/>
                <w:lang w:eastAsia="zh-CN"/>
              </w:rPr>
              <w:t>@huawei.com</w:t>
            </w:r>
          </w:p>
        </w:tc>
      </w:tr>
      <w:tr w:rsidR="00196337">
        <w:trPr>
          <w:jc w:val="center"/>
        </w:trPr>
        <w:tc>
          <w:tcPr>
            <w:tcW w:w="1336" w:type="dxa"/>
            <w:vAlign w:val="center"/>
          </w:tcPr>
          <w:p w:rsidR="00196337" w:rsidRPr="00196337" w:rsidRDefault="00A86724" w:rsidP="00642D3B">
            <w:pPr>
              <w:jc w:val="center"/>
              <w:rPr>
                <w:sz w:val="20"/>
                <w:lang w:eastAsia="zh-CN"/>
              </w:rPr>
            </w:pPr>
            <w:r>
              <w:rPr>
                <w:rFonts w:hint="eastAsia"/>
                <w:sz w:val="20"/>
                <w:lang w:eastAsia="zh-CN"/>
              </w:rPr>
              <w:t>Jiamin Chen</w:t>
            </w:r>
          </w:p>
        </w:tc>
        <w:tc>
          <w:tcPr>
            <w:tcW w:w="2064" w:type="dxa"/>
            <w:vAlign w:val="center"/>
          </w:tcPr>
          <w:p w:rsidR="00196337" w:rsidRPr="00196337" w:rsidRDefault="00AA4757" w:rsidP="00A86724">
            <w:pPr>
              <w:jc w:val="center"/>
              <w:rPr>
                <w:b/>
                <w:sz w:val="20"/>
              </w:rPr>
            </w:pPr>
            <w:r>
              <w:rPr>
                <w:rFonts w:hint="eastAsia"/>
                <w:sz w:val="20"/>
                <w:lang w:eastAsia="zh-CN"/>
              </w:rPr>
              <w:t>Huawei</w:t>
            </w:r>
            <w:r w:rsidRPr="00196337">
              <w:rPr>
                <w:sz w:val="20"/>
              </w:rPr>
              <w:t xml:space="preserve"> / CWPAN</w:t>
            </w:r>
          </w:p>
        </w:tc>
        <w:tc>
          <w:tcPr>
            <w:tcW w:w="2814" w:type="dxa"/>
            <w:vAlign w:val="center"/>
          </w:tcPr>
          <w:p w:rsidR="00196337" w:rsidRPr="00196337" w:rsidRDefault="00196337">
            <w:pPr>
              <w:pStyle w:val="T2"/>
              <w:spacing w:after="0"/>
              <w:ind w:left="0" w:right="0"/>
              <w:rPr>
                <w:b w:val="0"/>
                <w:sz w:val="20"/>
              </w:rPr>
            </w:pPr>
          </w:p>
        </w:tc>
        <w:tc>
          <w:tcPr>
            <w:tcW w:w="1715" w:type="dxa"/>
            <w:vAlign w:val="center"/>
          </w:tcPr>
          <w:p w:rsidR="00196337" w:rsidRPr="00196337" w:rsidRDefault="00196337">
            <w:pPr>
              <w:pStyle w:val="T2"/>
              <w:spacing w:after="0"/>
              <w:ind w:left="0" w:right="0"/>
              <w:rPr>
                <w:b w:val="0"/>
                <w:sz w:val="20"/>
              </w:rPr>
            </w:pPr>
          </w:p>
        </w:tc>
        <w:tc>
          <w:tcPr>
            <w:tcW w:w="1647" w:type="dxa"/>
            <w:vAlign w:val="center"/>
          </w:tcPr>
          <w:p w:rsidR="00196337" w:rsidRPr="00196337" w:rsidRDefault="00196337">
            <w:pPr>
              <w:pStyle w:val="T2"/>
              <w:spacing w:after="0"/>
              <w:ind w:left="0" w:right="0"/>
              <w:rPr>
                <w:b w:val="0"/>
                <w:sz w:val="20"/>
              </w:rPr>
            </w:pPr>
          </w:p>
        </w:tc>
      </w:tr>
      <w:tr w:rsidR="00196337">
        <w:trPr>
          <w:jc w:val="center"/>
        </w:trPr>
        <w:tc>
          <w:tcPr>
            <w:tcW w:w="1336" w:type="dxa"/>
            <w:vAlign w:val="center"/>
          </w:tcPr>
          <w:p w:rsidR="00196337" w:rsidRPr="00196337" w:rsidRDefault="00A86724" w:rsidP="00642D3B">
            <w:pPr>
              <w:jc w:val="center"/>
              <w:rPr>
                <w:sz w:val="20"/>
                <w:lang w:eastAsia="zh-CN"/>
              </w:rPr>
            </w:pPr>
            <w:r>
              <w:rPr>
                <w:rFonts w:hint="eastAsia"/>
                <w:sz w:val="20"/>
                <w:lang w:eastAsia="zh-CN"/>
              </w:rPr>
              <w:t>Pei Liu</w:t>
            </w:r>
          </w:p>
        </w:tc>
        <w:tc>
          <w:tcPr>
            <w:tcW w:w="2064" w:type="dxa"/>
            <w:vAlign w:val="center"/>
          </w:tcPr>
          <w:p w:rsidR="00196337" w:rsidRPr="00AA4757" w:rsidRDefault="005F5253" w:rsidP="00AA4757">
            <w:pPr>
              <w:jc w:val="center"/>
              <w:rPr>
                <w:sz w:val="20"/>
                <w:lang w:eastAsia="zh-CN"/>
              </w:rPr>
            </w:pPr>
            <w:r w:rsidRPr="00AA4757">
              <w:rPr>
                <w:rFonts w:hint="eastAsia"/>
                <w:sz w:val="20"/>
                <w:lang w:eastAsia="zh-CN"/>
              </w:rPr>
              <w:t>HiSilicon / CWPAN</w:t>
            </w:r>
          </w:p>
        </w:tc>
        <w:tc>
          <w:tcPr>
            <w:tcW w:w="2814" w:type="dxa"/>
            <w:vAlign w:val="center"/>
          </w:tcPr>
          <w:p w:rsidR="00196337" w:rsidRPr="00196337" w:rsidRDefault="00196337">
            <w:pPr>
              <w:pStyle w:val="T2"/>
              <w:spacing w:after="0"/>
              <w:ind w:left="0" w:right="0"/>
              <w:rPr>
                <w:b w:val="0"/>
                <w:sz w:val="20"/>
              </w:rPr>
            </w:pPr>
          </w:p>
        </w:tc>
        <w:tc>
          <w:tcPr>
            <w:tcW w:w="1715" w:type="dxa"/>
            <w:vAlign w:val="center"/>
          </w:tcPr>
          <w:p w:rsidR="00196337" w:rsidRPr="00196337" w:rsidRDefault="00196337">
            <w:pPr>
              <w:pStyle w:val="T2"/>
              <w:spacing w:after="0"/>
              <w:ind w:left="0" w:right="0"/>
              <w:rPr>
                <w:b w:val="0"/>
                <w:sz w:val="20"/>
              </w:rPr>
            </w:pPr>
          </w:p>
        </w:tc>
        <w:tc>
          <w:tcPr>
            <w:tcW w:w="1647" w:type="dxa"/>
            <w:vAlign w:val="center"/>
          </w:tcPr>
          <w:p w:rsidR="00196337" w:rsidRPr="00196337" w:rsidRDefault="00196337">
            <w:pPr>
              <w:pStyle w:val="T2"/>
              <w:spacing w:after="0"/>
              <w:ind w:left="0" w:right="0"/>
              <w:rPr>
                <w:b w:val="0"/>
                <w:sz w:val="20"/>
              </w:rPr>
            </w:pPr>
          </w:p>
        </w:tc>
      </w:tr>
      <w:tr w:rsidR="00196337">
        <w:trPr>
          <w:jc w:val="center"/>
        </w:trPr>
        <w:tc>
          <w:tcPr>
            <w:tcW w:w="1336" w:type="dxa"/>
            <w:vAlign w:val="center"/>
          </w:tcPr>
          <w:p w:rsidR="00196337" w:rsidRPr="00196337" w:rsidRDefault="00196337" w:rsidP="00642D3B">
            <w:pPr>
              <w:jc w:val="center"/>
              <w:rPr>
                <w:sz w:val="20"/>
              </w:rPr>
            </w:pPr>
          </w:p>
        </w:tc>
        <w:tc>
          <w:tcPr>
            <w:tcW w:w="2064" w:type="dxa"/>
            <w:vAlign w:val="center"/>
          </w:tcPr>
          <w:p w:rsidR="00196337" w:rsidRPr="00196337" w:rsidRDefault="00196337">
            <w:pPr>
              <w:pStyle w:val="T2"/>
              <w:spacing w:after="0"/>
              <w:ind w:left="0" w:right="0"/>
              <w:rPr>
                <w:b w:val="0"/>
                <w:sz w:val="20"/>
              </w:rPr>
            </w:pPr>
          </w:p>
        </w:tc>
        <w:tc>
          <w:tcPr>
            <w:tcW w:w="2814" w:type="dxa"/>
            <w:vAlign w:val="center"/>
          </w:tcPr>
          <w:p w:rsidR="00196337" w:rsidRPr="00196337" w:rsidRDefault="00196337">
            <w:pPr>
              <w:pStyle w:val="T2"/>
              <w:spacing w:after="0"/>
              <w:ind w:left="0" w:right="0"/>
              <w:rPr>
                <w:b w:val="0"/>
                <w:sz w:val="20"/>
              </w:rPr>
            </w:pPr>
          </w:p>
        </w:tc>
        <w:tc>
          <w:tcPr>
            <w:tcW w:w="1715" w:type="dxa"/>
            <w:vAlign w:val="center"/>
          </w:tcPr>
          <w:p w:rsidR="00196337" w:rsidRPr="00196337" w:rsidRDefault="00196337">
            <w:pPr>
              <w:pStyle w:val="T2"/>
              <w:spacing w:after="0"/>
              <w:ind w:left="0" w:right="0"/>
              <w:rPr>
                <w:b w:val="0"/>
                <w:sz w:val="20"/>
              </w:rPr>
            </w:pPr>
          </w:p>
        </w:tc>
        <w:tc>
          <w:tcPr>
            <w:tcW w:w="1647" w:type="dxa"/>
            <w:vAlign w:val="center"/>
          </w:tcPr>
          <w:p w:rsidR="00196337" w:rsidRPr="00196337" w:rsidRDefault="00196337">
            <w:pPr>
              <w:pStyle w:val="T2"/>
              <w:spacing w:after="0"/>
              <w:ind w:left="0" w:right="0"/>
              <w:rPr>
                <w:b w:val="0"/>
                <w:sz w:val="20"/>
              </w:rPr>
            </w:pPr>
          </w:p>
        </w:tc>
      </w:tr>
    </w:tbl>
    <w:p w:rsidR="00CA09B2" w:rsidRDefault="00F304F2">
      <w:pPr>
        <w:pStyle w:val="T1"/>
        <w:spacing w:after="120"/>
        <w:rPr>
          <w:sz w:val="22"/>
        </w:rPr>
      </w:pPr>
      <w:r w:rsidRPr="00F304F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rPr>
                      <w:lang w:eastAsia="zh-CN"/>
                    </w:rPr>
                  </w:pPr>
                  <w:r>
                    <w:t xml:space="preserve">This document presents suggested </w:t>
                  </w:r>
                  <w:r w:rsidR="00251BF4">
                    <w:t>proposal towards</w:t>
                  </w:r>
                  <w:r w:rsidR="00DC5597">
                    <w:t xml:space="preserve"> </w:t>
                  </w:r>
                  <w:r w:rsidR="002452DE">
                    <w:t xml:space="preserve">CID </w:t>
                  </w:r>
                  <w:r w:rsidR="00A86724">
                    <w:rPr>
                      <w:rFonts w:hint="eastAsia"/>
                      <w:lang w:eastAsia="zh-CN"/>
                    </w:rPr>
                    <w:t>146</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aa"/>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6547B3" w:rsidRPr="0038532E" w:rsidRDefault="006547B3" w:rsidP="006547B3">
      <w:pPr>
        <w:spacing w:after="240"/>
        <w:rPr>
          <w:b/>
          <w:i/>
          <w:sz w:val="24"/>
          <w:szCs w:val="24"/>
        </w:rPr>
      </w:pPr>
      <w:r w:rsidRPr="0038532E">
        <w:rPr>
          <w:b/>
          <w:i/>
          <w:sz w:val="24"/>
          <w:szCs w:val="24"/>
        </w:rPr>
        <w:t xml:space="preserve">Discussion: </w:t>
      </w:r>
    </w:p>
    <w:p w:rsidR="00796D31" w:rsidRDefault="00C166E3" w:rsidP="009D2BAF">
      <w:pPr>
        <w:jc w:val="both"/>
        <w:rPr>
          <w:sz w:val="24"/>
          <w:szCs w:val="24"/>
          <w:lang w:val="en-US"/>
        </w:rPr>
      </w:pPr>
      <w:r>
        <w:rPr>
          <w:sz w:val="24"/>
          <w:szCs w:val="24"/>
          <w:lang w:val="en-US"/>
        </w:rPr>
        <w:lastRenderedPageBreak/>
        <w:t xml:space="preserve">CID </w:t>
      </w:r>
      <w:r w:rsidR="00A86724">
        <w:rPr>
          <w:rFonts w:hint="eastAsia"/>
          <w:sz w:val="24"/>
          <w:szCs w:val="24"/>
          <w:lang w:val="en-US" w:eastAsia="zh-CN"/>
        </w:rPr>
        <w:t>146</w:t>
      </w:r>
      <w:r>
        <w:rPr>
          <w:sz w:val="24"/>
          <w:szCs w:val="24"/>
          <w:lang w:val="en-US"/>
        </w:rPr>
        <w:t xml:space="preserve"> provide</w:t>
      </w:r>
      <w:r w:rsidR="00A86724">
        <w:rPr>
          <w:rFonts w:hint="eastAsia"/>
          <w:sz w:val="24"/>
          <w:szCs w:val="24"/>
          <w:lang w:val="en-US" w:eastAsia="zh-CN"/>
        </w:rPr>
        <w:t>s</w:t>
      </w:r>
      <w:r>
        <w:rPr>
          <w:sz w:val="24"/>
          <w:szCs w:val="24"/>
          <w:lang w:val="en-US"/>
        </w:rPr>
        <w:t xml:space="preserve"> comments about </w:t>
      </w:r>
      <w:r w:rsidR="00A86724">
        <w:rPr>
          <w:rFonts w:hint="eastAsia"/>
          <w:sz w:val="24"/>
          <w:szCs w:val="24"/>
          <w:lang w:val="en-US" w:eastAsia="zh-CN"/>
        </w:rPr>
        <w:t>SP dynamic truncation</w:t>
      </w:r>
      <w:r w:rsidR="00BC4F6B">
        <w:rPr>
          <w:sz w:val="24"/>
          <w:szCs w:val="24"/>
          <w:lang w:val="en-US"/>
        </w:rPr>
        <w:t xml:space="preserve"> mechanism in IEEE 802.11aj</w:t>
      </w:r>
      <w:r>
        <w:rPr>
          <w:sz w:val="24"/>
          <w:szCs w:val="24"/>
          <w:lang w:val="en-US"/>
        </w:rPr>
        <w:t xml:space="preserve">. This proposal is intended to address and resolve the comments with adoption to the suggestions. </w:t>
      </w:r>
    </w:p>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4"/>
        <w:gridCol w:w="1265"/>
        <w:gridCol w:w="1098"/>
        <w:gridCol w:w="3299"/>
        <w:gridCol w:w="2580"/>
      </w:tblGrid>
      <w:tr w:rsidR="00A86724" w:rsidRPr="00A86724" w:rsidTr="005D16CE">
        <w:trPr>
          <w:trHeight w:val="3191"/>
        </w:trPr>
        <w:tc>
          <w:tcPr>
            <w:tcW w:w="595" w:type="pct"/>
            <w:shd w:val="clear" w:color="auto" w:fill="auto"/>
            <w:hideMark/>
          </w:tcPr>
          <w:p w:rsidR="00A86724" w:rsidRPr="00A86724" w:rsidRDefault="00A86724" w:rsidP="00A86724">
            <w:pPr>
              <w:jc w:val="right"/>
              <w:rPr>
                <w:rFonts w:eastAsia="宋体"/>
                <w:color w:val="000000"/>
                <w:szCs w:val="22"/>
                <w:lang w:val="en-US" w:eastAsia="zh-CN"/>
              </w:rPr>
            </w:pPr>
            <w:r w:rsidRPr="00A86724">
              <w:rPr>
                <w:rFonts w:eastAsia="宋体"/>
                <w:color w:val="000000"/>
                <w:szCs w:val="22"/>
                <w:lang w:val="en-US" w:eastAsia="zh-CN"/>
              </w:rPr>
              <w:t>146</w:t>
            </w:r>
          </w:p>
        </w:tc>
        <w:tc>
          <w:tcPr>
            <w:tcW w:w="676" w:type="pct"/>
            <w:shd w:val="clear" w:color="auto" w:fill="auto"/>
            <w:hideMark/>
          </w:tcPr>
          <w:p w:rsidR="00A86724" w:rsidRPr="00A86724" w:rsidRDefault="00A86724" w:rsidP="00A86724">
            <w:pPr>
              <w:rPr>
                <w:rFonts w:eastAsia="宋体"/>
                <w:color w:val="000000"/>
                <w:szCs w:val="22"/>
                <w:lang w:val="en-US" w:eastAsia="zh-CN"/>
              </w:rPr>
            </w:pPr>
            <w:r w:rsidRPr="00A86724">
              <w:rPr>
                <w:rFonts w:eastAsia="宋体"/>
                <w:color w:val="000000"/>
                <w:szCs w:val="22"/>
                <w:lang w:val="en-US" w:eastAsia="zh-CN"/>
              </w:rPr>
              <w:t>Dejian Li</w:t>
            </w:r>
          </w:p>
        </w:tc>
        <w:tc>
          <w:tcPr>
            <w:tcW w:w="587" w:type="pct"/>
            <w:shd w:val="clear" w:color="auto" w:fill="auto"/>
            <w:noWrap/>
            <w:hideMark/>
          </w:tcPr>
          <w:p w:rsidR="00A86724" w:rsidRPr="00A86724" w:rsidRDefault="00A86724" w:rsidP="00A86724">
            <w:pPr>
              <w:rPr>
                <w:rFonts w:eastAsia="宋体"/>
                <w:sz w:val="20"/>
                <w:lang w:val="en-US" w:eastAsia="zh-CN"/>
              </w:rPr>
            </w:pPr>
            <w:r w:rsidRPr="00A86724">
              <w:rPr>
                <w:rFonts w:eastAsia="宋体"/>
                <w:sz w:val="20"/>
                <w:lang w:val="en-US" w:eastAsia="zh-CN"/>
              </w:rPr>
              <w:t>9.33.8</w:t>
            </w:r>
          </w:p>
        </w:tc>
        <w:tc>
          <w:tcPr>
            <w:tcW w:w="1763" w:type="pct"/>
            <w:shd w:val="clear" w:color="auto" w:fill="auto"/>
            <w:hideMark/>
          </w:tcPr>
          <w:p w:rsidR="00A86724" w:rsidRPr="00A86724" w:rsidRDefault="00A86724" w:rsidP="00A86724">
            <w:pPr>
              <w:rPr>
                <w:rFonts w:eastAsia="宋体"/>
                <w:sz w:val="20"/>
                <w:lang w:val="en-US" w:eastAsia="zh-CN"/>
              </w:rPr>
            </w:pPr>
            <w:r w:rsidRPr="00A86724">
              <w:rPr>
                <w:rFonts w:eastAsia="宋体"/>
                <w:sz w:val="20"/>
                <w:lang w:val="en-US" w:eastAsia="zh-CN"/>
              </w:rPr>
              <w:t>There are two types of SP truncation in 9.33.8: (1)The STA can truncate the SP and return to the PCP/AP the time left in the SP</w:t>
            </w:r>
            <w:r w:rsidR="00363951">
              <w:rPr>
                <w:rFonts w:eastAsia="宋体" w:hint="eastAsia"/>
                <w:sz w:val="20"/>
                <w:lang w:val="en-US" w:eastAsia="zh-CN"/>
              </w:rPr>
              <w:t>;</w:t>
            </w:r>
            <w:r w:rsidRPr="00A86724">
              <w:rPr>
                <w:rFonts w:eastAsia="宋体"/>
                <w:sz w:val="20"/>
                <w:lang w:val="en-US" w:eastAsia="zh-CN"/>
              </w:rPr>
              <w:t xml:space="preserve"> (2)The STA can allocate any portion of its SP as a CBAP directly. However, releasing the remaining time in the SP as a CBAP by STA might lead to interference to some existing SPs. Furthermore, PCP that is battery powered can not save power during the SP if the SP is truncatable.</w:t>
            </w:r>
          </w:p>
        </w:tc>
        <w:tc>
          <w:tcPr>
            <w:tcW w:w="1379" w:type="pct"/>
            <w:shd w:val="clear" w:color="auto" w:fill="auto"/>
            <w:hideMark/>
          </w:tcPr>
          <w:p w:rsidR="00A86724" w:rsidRPr="00A86724" w:rsidRDefault="00A86724" w:rsidP="00A86724">
            <w:pPr>
              <w:rPr>
                <w:rFonts w:eastAsia="宋体"/>
                <w:sz w:val="20"/>
                <w:lang w:val="en-US" w:eastAsia="zh-CN"/>
              </w:rPr>
            </w:pPr>
            <w:r w:rsidRPr="00A86724">
              <w:rPr>
                <w:rFonts w:eastAsia="宋体"/>
                <w:sz w:val="20"/>
                <w:lang w:val="en-US" w:eastAsia="zh-CN"/>
              </w:rPr>
              <w:t>SP truncation types should be controlled by PCP/AP when allocating an SP for STA.</w:t>
            </w:r>
          </w:p>
        </w:tc>
      </w:tr>
    </w:tbl>
    <w:p w:rsidR="00F15F78" w:rsidRDefault="00F15F78" w:rsidP="00E4009B">
      <w:pPr>
        <w:widowControl w:val="0"/>
        <w:autoSpaceDE w:val="0"/>
        <w:autoSpaceDN w:val="0"/>
        <w:adjustRightInd w:val="0"/>
        <w:rPr>
          <w:rFonts w:ascii="Arial,Bold" w:hAnsi="Arial,Bold" w:cs="Arial,Bold"/>
          <w:b/>
          <w:bCs/>
          <w:sz w:val="20"/>
          <w:lang w:val="en-US" w:eastAsia="zh-CN"/>
        </w:rPr>
      </w:pPr>
    </w:p>
    <w:p w:rsidR="00363951" w:rsidRPr="00A86724" w:rsidRDefault="00363951" w:rsidP="00E4009B">
      <w:pPr>
        <w:widowControl w:val="0"/>
        <w:autoSpaceDE w:val="0"/>
        <w:autoSpaceDN w:val="0"/>
        <w:adjustRightInd w:val="0"/>
        <w:rPr>
          <w:rFonts w:ascii="Arial,Bold" w:hAnsi="Arial,Bold" w:cs="Arial,Bold"/>
          <w:b/>
          <w:bCs/>
          <w:sz w:val="20"/>
          <w:lang w:val="en-US" w:eastAsia="zh-CN"/>
        </w:rPr>
      </w:pPr>
    </w:p>
    <w:p w:rsidR="00F15F78" w:rsidRDefault="00F15F78" w:rsidP="00F15F78">
      <w:pPr>
        <w:spacing w:after="240"/>
        <w:rPr>
          <w:b/>
          <w:i/>
          <w:sz w:val="24"/>
          <w:szCs w:val="24"/>
        </w:rPr>
      </w:pPr>
      <w:r w:rsidRPr="005F5021">
        <w:rPr>
          <w:b/>
          <w:i/>
          <w:sz w:val="24"/>
          <w:szCs w:val="24"/>
        </w:rPr>
        <w:t>Proposed Resolution:</w:t>
      </w:r>
    </w:p>
    <w:p w:rsidR="005F5253" w:rsidRPr="004C53C0" w:rsidRDefault="005F5253" w:rsidP="00E97EDD">
      <w:pPr>
        <w:pStyle w:val="5"/>
        <w:numPr>
          <w:ilvl w:val="4"/>
          <w:numId w:val="0"/>
        </w:numPr>
        <w:spacing w:beforeLines="50" w:afterLines="50"/>
        <w:rPr>
          <w:rFonts w:ascii="Arial" w:hAnsi="Arial" w:cs="Arial"/>
          <w:b/>
          <w:szCs w:val="21"/>
          <w:u w:val="none"/>
          <w:lang w:eastAsia="zh-CN"/>
        </w:rPr>
      </w:pPr>
      <w:r w:rsidRPr="004C53C0">
        <w:rPr>
          <w:rFonts w:ascii="Arial" w:hAnsi="Arial" w:cs="Arial"/>
          <w:b/>
          <w:szCs w:val="21"/>
          <w:u w:val="none"/>
          <w:lang w:eastAsia="zh-CN"/>
        </w:rPr>
        <w:t>9.33.8 Dynamic truncation of service period</w:t>
      </w:r>
    </w:p>
    <w:p w:rsidR="005F5253" w:rsidRPr="003A49E2" w:rsidRDefault="005F5253" w:rsidP="005F5253">
      <w:pPr>
        <w:rPr>
          <w:b/>
          <w:i/>
          <w:iCs/>
          <w:lang w:eastAsia="zh-CN"/>
        </w:rPr>
      </w:pPr>
      <w:r w:rsidRPr="003A49E2">
        <w:rPr>
          <w:b/>
          <w:i/>
          <w:iCs/>
          <w:lang w:eastAsia="zh-CN"/>
        </w:rPr>
        <w:t xml:space="preserve">Insert the following subclause title immediately after the title of </w:t>
      </w:r>
      <w:r w:rsidRPr="003A49E2">
        <w:rPr>
          <w:rFonts w:hint="eastAsia"/>
          <w:b/>
          <w:i/>
          <w:iCs/>
          <w:lang w:eastAsia="zh-CN"/>
        </w:rPr>
        <w:t>9.33.8</w:t>
      </w:r>
      <w:r w:rsidRPr="003A49E2">
        <w:rPr>
          <w:b/>
          <w:i/>
          <w:iCs/>
          <w:lang w:eastAsia="zh-CN"/>
        </w:rPr>
        <w:t>:</w:t>
      </w:r>
    </w:p>
    <w:p w:rsidR="005F5253" w:rsidRDefault="005F5253" w:rsidP="005F5253">
      <w:pPr>
        <w:rPr>
          <w:rFonts w:ascii="Arial" w:hAnsi="Arial" w:cs="Arial"/>
          <w:iCs/>
          <w:lang w:eastAsia="zh-CN"/>
        </w:rPr>
      </w:pPr>
    </w:p>
    <w:p w:rsidR="005F5253" w:rsidRPr="004C53C0" w:rsidRDefault="005F5253" w:rsidP="005F5253">
      <w:pPr>
        <w:rPr>
          <w:rFonts w:ascii="Arial" w:hAnsi="Arial" w:cs="Arial"/>
          <w:iCs/>
          <w:lang w:eastAsia="zh-CN"/>
        </w:rPr>
      </w:pPr>
      <w:r w:rsidRPr="004C53C0">
        <w:rPr>
          <w:rFonts w:ascii="Arial" w:hAnsi="Arial" w:cs="Arial"/>
          <w:iCs/>
          <w:lang w:eastAsia="zh-CN"/>
        </w:rPr>
        <w:t>9.33.8.1  DMG dynamic truncation of service period</w:t>
      </w:r>
    </w:p>
    <w:p w:rsidR="005F5253" w:rsidRDefault="005F5253" w:rsidP="005F5253">
      <w:pPr>
        <w:rPr>
          <w:rFonts w:ascii="宋体" w:hAnsi="宋体" w:cs="宋体"/>
          <w:i/>
          <w:iCs/>
          <w:lang w:eastAsia="zh-CN"/>
        </w:rPr>
      </w:pPr>
    </w:p>
    <w:p w:rsidR="005F5253" w:rsidRPr="003A49E2" w:rsidRDefault="005F5253" w:rsidP="005F5253">
      <w:pPr>
        <w:rPr>
          <w:b/>
          <w:i/>
          <w:iCs/>
          <w:lang w:eastAsia="zh-CN"/>
        </w:rPr>
      </w:pPr>
      <w:r w:rsidRPr="003A49E2">
        <w:rPr>
          <w:b/>
          <w:i/>
          <w:iCs/>
          <w:lang w:eastAsia="zh-CN"/>
        </w:rPr>
        <w:t>Insert the following subclause, 9.33.8.2, after 9.33.8.1:</w:t>
      </w:r>
    </w:p>
    <w:p w:rsidR="005F5253" w:rsidRDefault="005F5253" w:rsidP="005F5253">
      <w:pPr>
        <w:rPr>
          <w:rFonts w:ascii="Arial" w:hAnsi="Arial" w:cs="Arial"/>
          <w:iCs/>
          <w:lang w:eastAsia="zh-CN"/>
        </w:rPr>
      </w:pPr>
    </w:p>
    <w:p w:rsidR="005F5253" w:rsidRPr="004C53C0" w:rsidRDefault="005F5253" w:rsidP="005F5253">
      <w:pPr>
        <w:rPr>
          <w:rFonts w:ascii="Arial" w:hAnsi="Arial" w:cs="Arial"/>
          <w:iCs/>
          <w:lang w:eastAsia="zh-CN"/>
        </w:rPr>
      </w:pPr>
      <w:r w:rsidRPr="004C53C0">
        <w:rPr>
          <w:rFonts w:ascii="Arial" w:hAnsi="Arial" w:cs="Arial"/>
          <w:iCs/>
          <w:lang w:eastAsia="zh-CN"/>
        </w:rPr>
        <w:t>9.33.8.2  CDMG dynamic truncation of service period</w:t>
      </w:r>
    </w:p>
    <w:p w:rsidR="005F5253" w:rsidRDefault="005F5253" w:rsidP="005F5253">
      <w:pPr>
        <w:rPr>
          <w:lang w:eastAsia="zh-CN"/>
        </w:rPr>
      </w:pPr>
    </w:p>
    <w:p w:rsidR="00E97EDD" w:rsidRDefault="00E97EDD" w:rsidP="005F5253">
      <w:pPr>
        <w:jc w:val="both"/>
        <w:rPr>
          <w:rFonts w:hint="eastAsia"/>
          <w:lang w:eastAsia="zh-CN" w:bidi="yi-Hebr"/>
        </w:rPr>
      </w:pPr>
      <w:r w:rsidRPr="00E97EDD">
        <w:rPr>
          <w:lang w:eastAsia="zh-CN" w:bidi="yi-Hebr"/>
        </w:rPr>
        <w:t xml:space="preserve">A </w:t>
      </w:r>
      <w:r>
        <w:rPr>
          <w:rFonts w:hint="eastAsia"/>
          <w:lang w:eastAsia="zh-CN" w:bidi="yi-Hebr"/>
        </w:rPr>
        <w:t xml:space="preserve">CDMG </w:t>
      </w:r>
      <w:r w:rsidRPr="00E97EDD">
        <w:rPr>
          <w:lang w:eastAsia="zh-CN" w:bidi="yi-Hebr"/>
        </w:rPr>
        <w:t>STA truncates an SP to release the remaining time in the SP.</w:t>
      </w:r>
      <w:r>
        <w:rPr>
          <w:rFonts w:hint="eastAsia"/>
          <w:lang w:eastAsia="zh-CN" w:bidi="yi-Hebr"/>
        </w:rPr>
        <w:t xml:space="preserve"> The</w:t>
      </w:r>
      <w:r w:rsidR="005D16CE">
        <w:rPr>
          <w:rFonts w:hint="eastAsia"/>
          <w:lang w:eastAsia="zh-CN" w:bidi="yi-Hebr"/>
        </w:rPr>
        <w:t xml:space="preserve"> dynamic truncation of SP includes two types of truncation. </w:t>
      </w:r>
      <w:r w:rsidR="005D16CE" w:rsidRPr="005D16CE">
        <w:rPr>
          <w:lang w:eastAsia="zh-CN" w:bidi="yi-Hebr"/>
        </w:rPr>
        <w:t xml:space="preserve">The </w:t>
      </w:r>
      <w:r w:rsidR="005D16CE">
        <w:rPr>
          <w:rFonts w:hint="eastAsia"/>
          <w:lang w:eastAsia="zh-CN" w:bidi="yi-Hebr"/>
        </w:rPr>
        <w:t xml:space="preserve">first </w:t>
      </w:r>
      <w:r w:rsidR="002567EF">
        <w:rPr>
          <w:rFonts w:hint="eastAsia"/>
          <w:lang w:eastAsia="zh-CN" w:bidi="yi-Hebr"/>
        </w:rPr>
        <w:t xml:space="preserve">type of </w:t>
      </w:r>
      <w:r w:rsidR="005D16CE">
        <w:rPr>
          <w:rFonts w:hint="eastAsia"/>
          <w:lang w:eastAsia="zh-CN" w:bidi="yi-Hebr"/>
        </w:rPr>
        <w:t xml:space="preserve">truncation is that the </w:t>
      </w:r>
      <w:r w:rsidR="005D16CE" w:rsidRPr="005D16CE">
        <w:rPr>
          <w:lang w:eastAsia="zh-CN" w:bidi="yi-Hebr"/>
        </w:rPr>
        <w:t>STA can return to the PCP/AP the time left in the SP, thus allowing the PCP/AP to grant any portion of the released time as part of an SP to any other STA or to allocate any portion of it as a CBAP. The</w:t>
      </w:r>
      <w:r w:rsidR="002567EF">
        <w:rPr>
          <w:rFonts w:hint="eastAsia"/>
          <w:lang w:eastAsia="zh-CN" w:bidi="yi-Hebr"/>
        </w:rPr>
        <w:t xml:space="preserve"> second type of truncation is that</w:t>
      </w:r>
      <w:r w:rsidR="005D16CE" w:rsidRPr="005D16CE">
        <w:rPr>
          <w:lang w:eastAsia="zh-CN" w:bidi="yi-Hebr"/>
        </w:rPr>
        <w:t xml:space="preserve"> </w:t>
      </w:r>
      <w:r w:rsidR="002567EF">
        <w:rPr>
          <w:rFonts w:hint="eastAsia"/>
          <w:lang w:eastAsia="zh-CN" w:bidi="yi-Hebr"/>
        </w:rPr>
        <w:t xml:space="preserve">the </w:t>
      </w:r>
      <w:r w:rsidR="005D16CE" w:rsidRPr="005D16CE">
        <w:rPr>
          <w:lang w:eastAsia="zh-CN" w:bidi="yi-Hebr"/>
        </w:rPr>
        <w:t>STA can use the Grant frame to release any part of the time left in the SP as a CBAP.</w:t>
      </w:r>
      <w:r w:rsidR="002567EF">
        <w:rPr>
          <w:rFonts w:hint="eastAsia"/>
          <w:lang w:eastAsia="zh-CN" w:bidi="yi-Hebr"/>
        </w:rPr>
        <w:t xml:space="preserve"> </w:t>
      </w:r>
    </w:p>
    <w:p w:rsidR="00E97EDD" w:rsidRDefault="00E97EDD" w:rsidP="005F5253">
      <w:pPr>
        <w:jc w:val="both"/>
        <w:rPr>
          <w:rFonts w:hint="eastAsia"/>
          <w:lang w:eastAsia="zh-CN" w:bidi="yi-Hebr"/>
        </w:rPr>
      </w:pPr>
    </w:p>
    <w:p w:rsidR="005D16CE" w:rsidRDefault="00E97EDD" w:rsidP="005F5253">
      <w:pPr>
        <w:jc w:val="both"/>
        <w:rPr>
          <w:lang w:eastAsia="zh-CN" w:bidi="yi-Hebr"/>
        </w:rPr>
      </w:pPr>
      <w:r w:rsidRPr="00E97EDD">
        <w:rPr>
          <w:lang w:eastAsia="zh-CN" w:bidi="yi-Hebr"/>
        </w:rPr>
        <w:t xml:space="preserve">A </w:t>
      </w:r>
      <w:r>
        <w:rPr>
          <w:rFonts w:hint="eastAsia"/>
          <w:lang w:eastAsia="zh-CN" w:bidi="yi-Hebr"/>
        </w:rPr>
        <w:t>C</w:t>
      </w:r>
      <w:r w:rsidRPr="00E97EDD">
        <w:rPr>
          <w:lang w:eastAsia="zh-CN" w:bidi="yi-Hebr"/>
        </w:rPr>
        <w:t xml:space="preserve">DMG STA supports </w:t>
      </w:r>
      <w:r w:rsidR="006374CA">
        <w:rPr>
          <w:rFonts w:hint="eastAsia"/>
          <w:lang w:eastAsia="zh-CN" w:bidi="yi-Hebr"/>
        </w:rPr>
        <w:t xml:space="preserve">the DMG </w:t>
      </w:r>
      <w:r w:rsidRPr="00E97EDD">
        <w:rPr>
          <w:lang w:eastAsia="zh-CN" w:bidi="yi-Hebr"/>
        </w:rPr>
        <w:t xml:space="preserve">dynamic truncation </w:t>
      </w:r>
      <w:r w:rsidR="006374CA">
        <w:rPr>
          <w:rFonts w:hint="eastAsia"/>
          <w:lang w:eastAsia="zh-CN" w:bidi="yi-Hebr"/>
        </w:rPr>
        <w:t xml:space="preserve">of SP </w:t>
      </w:r>
      <w:r w:rsidRPr="00E97EDD">
        <w:rPr>
          <w:lang w:eastAsia="zh-CN" w:bidi="yi-Hebr"/>
        </w:rPr>
        <w:t>as described in 9.3</w:t>
      </w:r>
      <w:r w:rsidR="006374CA">
        <w:rPr>
          <w:rFonts w:hint="eastAsia"/>
          <w:lang w:eastAsia="zh-CN" w:bidi="yi-Hebr"/>
        </w:rPr>
        <w:t>3.8.1</w:t>
      </w:r>
      <w:r>
        <w:rPr>
          <w:rFonts w:hint="eastAsia"/>
          <w:lang w:eastAsia="zh-CN" w:bidi="yi-Hebr"/>
        </w:rPr>
        <w:t xml:space="preserve">. </w:t>
      </w:r>
      <w:r w:rsidR="002567EF">
        <w:rPr>
          <w:rFonts w:hint="eastAsia"/>
          <w:lang w:eastAsia="zh-CN" w:bidi="yi-Hebr"/>
        </w:rPr>
        <w:t xml:space="preserve">Unlike the </w:t>
      </w:r>
      <w:r w:rsidR="002567EF" w:rsidRPr="002567EF">
        <w:rPr>
          <w:lang w:eastAsia="zh-CN" w:bidi="yi-Hebr"/>
        </w:rPr>
        <w:t>DMG dynamic truncation of</w:t>
      </w:r>
      <w:r w:rsidR="002567EF">
        <w:rPr>
          <w:rFonts w:hint="eastAsia"/>
          <w:lang w:eastAsia="zh-CN" w:bidi="yi-Hebr"/>
        </w:rPr>
        <w:t xml:space="preserve"> SP, the </w:t>
      </w:r>
      <w:r w:rsidR="002567EF" w:rsidRPr="002567EF">
        <w:rPr>
          <w:lang w:eastAsia="zh-CN" w:bidi="yi-Hebr"/>
        </w:rPr>
        <w:t>SP truncation type sh</w:t>
      </w:r>
      <w:r w:rsidR="006374CA">
        <w:rPr>
          <w:rFonts w:hint="eastAsia"/>
          <w:lang w:eastAsia="zh-CN" w:bidi="yi-Hebr"/>
        </w:rPr>
        <w:t>all</w:t>
      </w:r>
      <w:r w:rsidR="002567EF" w:rsidRPr="002567EF">
        <w:rPr>
          <w:lang w:eastAsia="zh-CN" w:bidi="yi-Hebr"/>
        </w:rPr>
        <w:t xml:space="preserve"> be </w:t>
      </w:r>
      <w:r w:rsidR="002567EF">
        <w:rPr>
          <w:rFonts w:hint="eastAsia"/>
          <w:lang w:eastAsia="zh-CN" w:bidi="yi-Hebr"/>
        </w:rPr>
        <w:t>determined</w:t>
      </w:r>
      <w:r w:rsidR="002567EF" w:rsidRPr="002567EF">
        <w:rPr>
          <w:lang w:eastAsia="zh-CN" w:bidi="yi-Hebr"/>
        </w:rPr>
        <w:t xml:space="preserve"> by </w:t>
      </w:r>
      <w:r>
        <w:rPr>
          <w:rFonts w:hint="eastAsia"/>
          <w:lang w:eastAsia="zh-CN" w:bidi="yi-Hebr"/>
        </w:rPr>
        <w:t xml:space="preserve">the CDMG </w:t>
      </w:r>
      <w:r w:rsidR="002567EF" w:rsidRPr="002567EF">
        <w:rPr>
          <w:lang w:eastAsia="zh-CN" w:bidi="yi-Hebr"/>
        </w:rPr>
        <w:t>PCP/AP when allocating an SP.</w:t>
      </w:r>
    </w:p>
    <w:p w:rsidR="005D16CE" w:rsidRDefault="005D16CE" w:rsidP="005F5253">
      <w:pPr>
        <w:jc w:val="both"/>
        <w:rPr>
          <w:lang w:eastAsia="zh-CN" w:bidi="yi-Hebr"/>
        </w:rPr>
      </w:pPr>
    </w:p>
    <w:p w:rsidR="005F5253" w:rsidRDefault="005F5253" w:rsidP="005F5253">
      <w:pPr>
        <w:jc w:val="both"/>
        <w:rPr>
          <w:lang w:eastAsia="zh-CN" w:bidi="yi-Hebr"/>
        </w:rPr>
      </w:pPr>
      <w:r>
        <w:rPr>
          <w:lang w:eastAsia="zh-CN" w:bidi="yi-Hebr"/>
        </w:rPr>
        <w:t>A</w:t>
      </w:r>
      <w:r>
        <w:rPr>
          <w:rFonts w:hint="eastAsia"/>
          <w:lang w:eastAsia="zh-CN" w:bidi="yi-Hebr"/>
        </w:rPr>
        <w:t xml:space="preserve"> CDMG PCP/AP shall determine whether an SP is truncatable and </w:t>
      </w:r>
      <w:r>
        <w:rPr>
          <w:lang w:eastAsia="zh-CN" w:bidi="yi-Hebr"/>
        </w:rPr>
        <w:t>which</w:t>
      </w:r>
      <w:r>
        <w:rPr>
          <w:rFonts w:hint="eastAsia"/>
          <w:lang w:eastAsia="zh-CN" w:bidi="yi-Hebr"/>
        </w:rPr>
        <w:t xml:space="preserve"> truncation type is adopted by setting the </w:t>
      </w:r>
      <w:r w:rsidR="00DD6FFE">
        <w:rPr>
          <w:rFonts w:hint="eastAsia"/>
          <w:lang w:eastAsia="zh-CN" w:bidi="yi-Hebr"/>
        </w:rPr>
        <w:t xml:space="preserve">CDMG </w:t>
      </w:r>
      <w:r>
        <w:rPr>
          <w:rFonts w:hint="eastAsia"/>
          <w:lang w:eastAsia="zh-CN" w:bidi="yi-Hebr"/>
        </w:rPr>
        <w:t xml:space="preserve">Truncatable field and the Truncation Type field within the Allocation Control field when allocating an SP for the source CDMG STA and destination CDMG STA. </w:t>
      </w:r>
      <w:r>
        <w:rPr>
          <w:lang w:eastAsia="zh-CN" w:bidi="yi-Hebr"/>
        </w:rPr>
        <w:t>T</w:t>
      </w:r>
      <w:r>
        <w:rPr>
          <w:rFonts w:hint="eastAsia"/>
          <w:lang w:eastAsia="zh-CN" w:bidi="yi-Hebr"/>
        </w:rPr>
        <w:t xml:space="preserve">he CDMG STA shall truncate the SP in accordance with the truncation type indicated by the </w:t>
      </w:r>
      <w:r>
        <w:rPr>
          <w:lang w:eastAsia="zh-CN" w:bidi="yi-Hebr"/>
        </w:rPr>
        <w:t>received</w:t>
      </w:r>
      <w:r>
        <w:rPr>
          <w:rFonts w:hint="eastAsia"/>
          <w:lang w:eastAsia="zh-CN" w:bidi="yi-Hebr"/>
        </w:rPr>
        <w:t xml:space="preserve"> Truncation Type field.</w:t>
      </w:r>
    </w:p>
    <w:p w:rsidR="005F5253" w:rsidRDefault="005F5253" w:rsidP="005F5253">
      <w:pPr>
        <w:jc w:val="both"/>
        <w:rPr>
          <w:lang w:eastAsia="zh-CN" w:bidi="yi-Hebr"/>
        </w:rPr>
      </w:pPr>
    </w:p>
    <w:p w:rsidR="005F5253" w:rsidRDefault="005F5253" w:rsidP="005F5253">
      <w:pPr>
        <w:jc w:val="both"/>
        <w:rPr>
          <w:lang w:eastAsia="zh-CN" w:bidi="yi-Hebr"/>
        </w:rPr>
      </w:pPr>
      <w:r>
        <w:rPr>
          <w:lang w:eastAsia="zh-CN" w:bidi="yi-Hebr"/>
        </w:rPr>
        <w:t>A</w:t>
      </w:r>
      <w:r>
        <w:rPr>
          <w:rFonts w:hint="eastAsia"/>
          <w:lang w:eastAsia="zh-CN" w:bidi="yi-Hebr"/>
        </w:rPr>
        <w:t xml:space="preserve"> CDMG PCP/AP should determine the Truncation Type fields according to the allocation type requirements of the STAs in its BSS, in order to satisfy the channel access requirements of the STAs. Since the remaining time in the SP released as a CBAP might cause interference to other STAs during SPSH, the CDMG PCP/AP shall set the Truncation Type field to 0 for the SPs that are under SPSH state to indicate</w:t>
      </w:r>
      <w:r w:rsidRPr="009C531C">
        <w:rPr>
          <w:rFonts w:hint="eastAsia"/>
          <w:lang w:eastAsia="zh-CN"/>
        </w:rPr>
        <w:t xml:space="preserve"> </w:t>
      </w:r>
      <w:r>
        <w:rPr>
          <w:rFonts w:hint="eastAsia"/>
          <w:lang w:eastAsia="zh-CN"/>
        </w:rPr>
        <w:t xml:space="preserve">that the CDMG STA returns </w:t>
      </w:r>
      <w:r w:rsidRPr="00884631">
        <w:rPr>
          <w:lang w:eastAsia="zh-CN"/>
        </w:rPr>
        <w:t>the time left in the SP to the PCP/AP</w:t>
      </w:r>
      <w:r>
        <w:rPr>
          <w:rFonts w:hint="eastAsia"/>
          <w:lang w:eastAsia="zh-CN" w:bidi="yi-Hebr"/>
        </w:rPr>
        <w:t xml:space="preserve">. </w:t>
      </w:r>
    </w:p>
    <w:p w:rsidR="005F5253" w:rsidRDefault="005F5253" w:rsidP="005F5253">
      <w:pPr>
        <w:jc w:val="both"/>
        <w:rPr>
          <w:lang w:eastAsia="zh-CN" w:bidi="yi-Hebr"/>
        </w:rPr>
      </w:pPr>
    </w:p>
    <w:p w:rsidR="005F5253" w:rsidRDefault="005F5253" w:rsidP="005F5253">
      <w:pPr>
        <w:jc w:val="both"/>
        <w:rPr>
          <w:lang w:eastAsia="zh-CN" w:bidi="yi-Hebr"/>
        </w:rPr>
      </w:pPr>
      <w:r>
        <w:rPr>
          <w:lang w:eastAsia="zh-CN" w:bidi="yi-Hebr"/>
        </w:rPr>
        <w:t>A</w:t>
      </w:r>
      <w:r>
        <w:rPr>
          <w:rFonts w:hint="eastAsia"/>
          <w:lang w:eastAsia="zh-CN" w:bidi="yi-Hebr"/>
        </w:rPr>
        <w:t xml:space="preserve"> CDMG PCP may sleep in a </w:t>
      </w:r>
      <w:r>
        <w:rPr>
          <w:lang w:eastAsia="zh-CN" w:bidi="yi-Hebr"/>
        </w:rPr>
        <w:t>truncat</w:t>
      </w:r>
      <w:r>
        <w:rPr>
          <w:rFonts w:hint="eastAsia"/>
          <w:lang w:eastAsia="zh-CN" w:bidi="yi-Hebr"/>
        </w:rPr>
        <w:t xml:space="preserve">able SP that </w:t>
      </w:r>
      <w:r>
        <w:rPr>
          <w:rFonts w:hint="eastAsia"/>
          <w:lang w:eastAsia="zh-CN"/>
        </w:rPr>
        <w:t>the</w:t>
      </w:r>
      <w:r w:rsidRPr="00884631">
        <w:rPr>
          <w:lang w:eastAsia="zh-CN"/>
        </w:rPr>
        <w:t xml:space="preserve"> </w:t>
      </w:r>
      <w:r>
        <w:rPr>
          <w:rFonts w:hint="eastAsia"/>
          <w:lang w:eastAsia="zh-CN"/>
        </w:rPr>
        <w:t xml:space="preserve">time left in </w:t>
      </w:r>
      <w:r>
        <w:rPr>
          <w:lang w:eastAsia="zh-CN"/>
        </w:rPr>
        <w:t>th</w:t>
      </w:r>
      <w:r>
        <w:rPr>
          <w:rFonts w:hint="eastAsia"/>
          <w:lang w:eastAsia="zh-CN"/>
        </w:rPr>
        <w:t xml:space="preserve">is </w:t>
      </w:r>
      <w:r w:rsidRPr="00884631">
        <w:rPr>
          <w:lang w:eastAsia="zh-CN"/>
        </w:rPr>
        <w:t xml:space="preserve">SP </w:t>
      </w:r>
      <w:r>
        <w:rPr>
          <w:rFonts w:hint="eastAsia"/>
          <w:lang w:eastAsia="zh-CN"/>
        </w:rPr>
        <w:t xml:space="preserve">is released </w:t>
      </w:r>
      <w:r w:rsidRPr="00884631">
        <w:rPr>
          <w:lang w:eastAsia="zh-CN"/>
        </w:rPr>
        <w:t>as a CBAP</w:t>
      </w:r>
      <w:r>
        <w:rPr>
          <w:rFonts w:hint="eastAsia"/>
          <w:lang w:eastAsia="zh-CN"/>
        </w:rPr>
        <w:t xml:space="preserve"> by the CDMG STA</w:t>
      </w:r>
      <w:r>
        <w:rPr>
          <w:rFonts w:hint="eastAsia"/>
          <w:lang w:eastAsia="zh-CN" w:bidi="yi-Hebr"/>
        </w:rPr>
        <w:t xml:space="preserve"> by setting the Truncation Type field to 1 and the </w:t>
      </w:r>
      <w:r w:rsidR="00DD6FFE">
        <w:rPr>
          <w:rFonts w:hint="eastAsia"/>
          <w:lang w:eastAsia="zh-CN" w:bidi="yi-Hebr"/>
        </w:rPr>
        <w:t xml:space="preserve">CDMG </w:t>
      </w:r>
      <w:r>
        <w:rPr>
          <w:rFonts w:hint="eastAsia"/>
          <w:lang w:eastAsia="zh-CN" w:bidi="yi-Hebr"/>
        </w:rPr>
        <w:t>PCP Active field to 0</w:t>
      </w:r>
      <w:r>
        <w:rPr>
          <w:rFonts w:hint="eastAsia"/>
          <w:lang w:eastAsia="zh-CN"/>
        </w:rPr>
        <w:t>.</w:t>
      </w:r>
    </w:p>
    <w:p w:rsidR="005F5253" w:rsidRDefault="005F5253" w:rsidP="005F5253">
      <w:pPr>
        <w:jc w:val="both"/>
        <w:rPr>
          <w:lang w:eastAsia="zh-CN" w:bidi="yi-Hebr"/>
        </w:rPr>
      </w:pPr>
    </w:p>
    <w:p w:rsidR="005F5253" w:rsidRDefault="005F5253" w:rsidP="005F5253">
      <w:pPr>
        <w:rPr>
          <w:rFonts w:ascii="Arial" w:hAnsi="Arial" w:cs="Arial"/>
          <w:iCs/>
          <w:lang w:eastAsia="zh-CN"/>
        </w:rPr>
      </w:pPr>
    </w:p>
    <w:p w:rsidR="005F5253" w:rsidRDefault="005F5253" w:rsidP="005F5253">
      <w:pPr>
        <w:rPr>
          <w:rFonts w:ascii="Arial" w:hAnsi="Arial" w:cs="Arial"/>
          <w:iCs/>
          <w:lang w:eastAsia="zh-CN"/>
        </w:rPr>
      </w:pPr>
      <w:r w:rsidRPr="005F5253">
        <w:rPr>
          <w:rFonts w:ascii="Arial" w:hAnsi="Arial" w:cs="Arial"/>
          <w:iCs/>
          <w:lang w:eastAsia="zh-CN"/>
        </w:rPr>
        <w:t>8.4.2.134 Extended Schedule element</w:t>
      </w:r>
    </w:p>
    <w:p w:rsidR="005F5253" w:rsidRPr="003A49E2" w:rsidRDefault="005F5253" w:rsidP="005F5253">
      <w:pPr>
        <w:rPr>
          <w:b/>
          <w:i/>
          <w:iCs/>
          <w:lang w:eastAsia="zh-CN"/>
        </w:rPr>
      </w:pPr>
    </w:p>
    <w:p w:rsidR="005F5253" w:rsidRDefault="005F5253" w:rsidP="005F5253">
      <w:pPr>
        <w:rPr>
          <w:b/>
          <w:i/>
          <w:iCs/>
          <w:lang w:eastAsia="zh-CN"/>
        </w:rPr>
      </w:pPr>
      <w:r w:rsidRPr="003A49E2">
        <w:rPr>
          <w:rFonts w:hint="eastAsia"/>
          <w:b/>
          <w:i/>
          <w:iCs/>
          <w:lang w:eastAsia="zh-CN"/>
        </w:rPr>
        <w:t>Change the title of Figure 8-401ab as follows:</w:t>
      </w:r>
    </w:p>
    <w:p w:rsidR="00DD6FFE" w:rsidRPr="003A49E2" w:rsidRDefault="00DD6FFE" w:rsidP="005F5253">
      <w:pPr>
        <w:rPr>
          <w:b/>
          <w:i/>
          <w:iCs/>
          <w:lang w:eastAsia="zh-CN"/>
        </w:rPr>
      </w:pPr>
    </w:p>
    <w:p w:rsidR="005F5253" w:rsidRPr="00975084" w:rsidRDefault="005F5253" w:rsidP="005F5253">
      <w:pPr>
        <w:jc w:val="center"/>
        <w:rPr>
          <w:rFonts w:ascii="宋体" w:hAnsi="宋体" w:cs="宋体"/>
          <w:iCs/>
          <w:lang w:eastAsia="zh-CN"/>
        </w:rPr>
      </w:pPr>
      <w:r>
        <w:rPr>
          <w:rFonts w:hint="eastAsia"/>
          <w:lang w:eastAsia="zh-CN"/>
        </w:rPr>
        <w:t xml:space="preserve">Figure </w:t>
      </w:r>
      <w:r w:rsidRPr="00D67B12">
        <w:rPr>
          <w:rFonts w:hint="eastAsia"/>
          <w:lang w:eastAsia="zh-CN"/>
        </w:rPr>
        <w:t>8-401ab</w:t>
      </w:r>
      <w:r>
        <w:rPr>
          <w:rFonts w:hint="eastAsia"/>
          <w:lang w:eastAsia="zh-CN"/>
        </w:rPr>
        <w:t xml:space="preserve">  Allocation Control field format (</w:t>
      </w:r>
      <w:r w:rsidRPr="00975084">
        <w:rPr>
          <w:u w:val="single"/>
          <w:lang w:eastAsia="zh-CN"/>
        </w:rPr>
        <w:t>DMG</w:t>
      </w:r>
      <w:r>
        <w:rPr>
          <w:rFonts w:hint="eastAsia"/>
          <w:u w:val="single"/>
          <w:lang w:eastAsia="zh-CN"/>
        </w:rPr>
        <w:t>)</w:t>
      </w:r>
    </w:p>
    <w:p w:rsidR="005F5253" w:rsidRDefault="005F5253" w:rsidP="005F5253">
      <w:pPr>
        <w:rPr>
          <w:rFonts w:ascii="宋体" w:hAnsi="宋体" w:cs="宋体"/>
          <w:i/>
          <w:iCs/>
          <w:lang w:eastAsia="zh-CN"/>
        </w:rPr>
      </w:pPr>
    </w:p>
    <w:p w:rsidR="005F5253" w:rsidRPr="001F7CDB" w:rsidRDefault="005F5253" w:rsidP="005F5253">
      <w:pPr>
        <w:rPr>
          <w:lang w:eastAsia="zh-CN"/>
        </w:rPr>
      </w:pPr>
    </w:p>
    <w:p w:rsidR="005F5253" w:rsidRPr="003A49E2" w:rsidRDefault="005F5253" w:rsidP="005F5253">
      <w:pPr>
        <w:rPr>
          <w:b/>
          <w:i/>
          <w:iCs/>
          <w:lang w:eastAsia="zh-CN"/>
        </w:rPr>
      </w:pPr>
      <w:r w:rsidRPr="003A49E2">
        <w:rPr>
          <w:rFonts w:hint="eastAsia"/>
          <w:b/>
          <w:i/>
          <w:iCs/>
          <w:lang w:eastAsia="zh-CN"/>
        </w:rPr>
        <w:t>Insert the following figure, Figure 8-401aba, after Figure 8-401ab:</w:t>
      </w:r>
    </w:p>
    <w:p w:rsidR="005F5253" w:rsidRDefault="005F5253" w:rsidP="005F5253">
      <w:pPr>
        <w:ind w:firstLineChars="200" w:firstLine="440"/>
        <w:rPr>
          <w:rFonts w:ascii="宋体" w:hAnsi="宋体"/>
          <w:szCs w:val="21"/>
          <w:lang w:eastAsia="zh-CN"/>
        </w:rPr>
      </w:pPr>
    </w:p>
    <w:tbl>
      <w:tblPr>
        <w:tblW w:w="4773" w:type="pct"/>
        <w:tblLayout w:type="fixed"/>
        <w:tblCellMar>
          <w:left w:w="0" w:type="dxa"/>
          <w:right w:w="0" w:type="dxa"/>
        </w:tblCellMar>
        <w:tblLook w:val="04A0"/>
      </w:tblPr>
      <w:tblGrid>
        <w:gridCol w:w="692"/>
        <w:gridCol w:w="927"/>
        <w:gridCol w:w="1022"/>
        <w:gridCol w:w="879"/>
        <w:gridCol w:w="875"/>
        <w:gridCol w:w="995"/>
        <w:gridCol w:w="849"/>
        <w:gridCol w:w="899"/>
        <w:gridCol w:w="1092"/>
        <w:gridCol w:w="980"/>
      </w:tblGrid>
      <w:tr w:rsidR="005F5253" w:rsidRPr="00170D67" w:rsidTr="00D80515">
        <w:trPr>
          <w:trHeight w:val="32"/>
        </w:trPr>
        <w:tc>
          <w:tcPr>
            <w:tcW w:w="376" w:type="pct"/>
            <w:tcBorders>
              <w:top w:val="single" w:sz="8" w:space="0" w:color="FFFFFF"/>
              <w:left w:val="single" w:sz="8" w:space="0" w:color="FFFFFF"/>
              <w:bottom w:val="nil"/>
              <w:right w:val="single" w:sz="8" w:space="0" w:color="FFFFFF"/>
            </w:tcBorders>
            <w:shd w:val="clear" w:color="auto" w:fill="auto"/>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rPr>
                <w:i w:val="0"/>
                <w:color w:val="000000"/>
                <w:sz w:val="18"/>
                <w:szCs w:val="18"/>
              </w:rPr>
            </w:pPr>
          </w:p>
        </w:tc>
        <w:tc>
          <w:tcPr>
            <w:tcW w:w="503" w:type="pct"/>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vAlign w:val="bottom"/>
            <w:hideMark/>
          </w:tcPr>
          <w:p w:rsidR="005F5253" w:rsidRPr="00170D67" w:rsidRDefault="005F5253" w:rsidP="00D80515">
            <w:pPr>
              <w:pStyle w:val="30"/>
              <w:numPr>
                <w:ilvl w:val="12"/>
                <w:numId w:val="0"/>
              </w:numPr>
              <w:spacing w:line="240" w:lineRule="auto"/>
              <w:rPr>
                <w:i w:val="0"/>
                <w:color w:val="000000"/>
                <w:sz w:val="18"/>
                <w:szCs w:val="18"/>
              </w:rPr>
            </w:pPr>
            <w:r w:rsidRPr="00170D67">
              <w:rPr>
                <w:bCs/>
                <w:i w:val="0"/>
                <w:color w:val="000000"/>
                <w:sz w:val="18"/>
                <w:szCs w:val="18"/>
              </w:rPr>
              <w:t>B0</w:t>
            </w:r>
            <w:r w:rsidRPr="00170D67">
              <w:rPr>
                <w:rFonts w:hint="eastAsia"/>
                <w:bCs/>
                <w:i w:val="0"/>
                <w:color w:val="000000"/>
                <w:sz w:val="18"/>
                <w:szCs w:val="18"/>
              </w:rPr>
              <w:t xml:space="preserve"> </w:t>
            </w:r>
            <w:r>
              <w:rPr>
                <w:rFonts w:hint="eastAsia"/>
                <w:bCs/>
                <w:i w:val="0"/>
                <w:color w:val="000000"/>
                <w:sz w:val="18"/>
                <w:szCs w:val="18"/>
              </w:rPr>
              <w:t xml:space="preserve">  </w:t>
            </w:r>
            <w:r w:rsidRPr="00170D67">
              <w:rPr>
                <w:bCs/>
                <w:i w:val="0"/>
                <w:color w:val="000000"/>
                <w:sz w:val="18"/>
                <w:szCs w:val="18"/>
              </w:rPr>
              <w:t>B</w:t>
            </w:r>
            <w:r w:rsidRPr="00170D67">
              <w:rPr>
                <w:rFonts w:hint="eastAsia"/>
                <w:bCs/>
                <w:i w:val="0"/>
                <w:color w:val="000000"/>
                <w:sz w:val="18"/>
                <w:szCs w:val="18"/>
              </w:rPr>
              <w:t>3</w:t>
            </w:r>
          </w:p>
        </w:tc>
        <w:tc>
          <w:tcPr>
            <w:tcW w:w="555" w:type="pct"/>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vAlign w:val="bottom"/>
            <w:hideMark/>
          </w:tcPr>
          <w:p w:rsidR="005F5253" w:rsidRPr="00170D67" w:rsidRDefault="005F5253" w:rsidP="00D80515">
            <w:pPr>
              <w:pStyle w:val="30"/>
              <w:numPr>
                <w:ilvl w:val="12"/>
                <w:numId w:val="0"/>
              </w:numPr>
              <w:spacing w:line="240" w:lineRule="auto"/>
              <w:jc w:val="left"/>
              <w:rPr>
                <w:i w:val="0"/>
                <w:color w:val="000000"/>
                <w:sz w:val="18"/>
                <w:szCs w:val="18"/>
              </w:rPr>
            </w:pPr>
            <w:r w:rsidRPr="00170D67">
              <w:rPr>
                <w:bCs/>
                <w:i w:val="0"/>
                <w:color w:val="000000"/>
                <w:sz w:val="18"/>
                <w:szCs w:val="18"/>
              </w:rPr>
              <w:t>B</w:t>
            </w:r>
            <w:r w:rsidRPr="00170D67">
              <w:rPr>
                <w:rFonts w:hint="eastAsia"/>
                <w:bCs/>
                <w:i w:val="0"/>
                <w:color w:val="000000"/>
                <w:sz w:val="18"/>
                <w:szCs w:val="18"/>
              </w:rPr>
              <w:t xml:space="preserve">4 </w:t>
            </w:r>
            <w:r>
              <w:rPr>
                <w:rFonts w:hint="eastAsia"/>
                <w:bCs/>
                <w:i w:val="0"/>
                <w:color w:val="000000"/>
                <w:sz w:val="18"/>
                <w:szCs w:val="18"/>
              </w:rPr>
              <w:t xml:space="preserve">   </w:t>
            </w:r>
            <w:r w:rsidRPr="00170D67">
              <w:rPr>
                <w:rFonts w:hint="eastAsia"/>
                <w:bCs/>
                <w:i w:val="0"/>
                <w:color w:val="000000"/>
                <w:sz w:val="18"/>
                <w:szCs w:val="18"/>
              </w:rPr>
              <w:t xml:space="preserve"> </w:t>
            </w:r>
            <w:r w:rsidRPr="00170D67">
              <w:rPr>
                <w:bCs/>
                <w:i w:val="0"/>
                <w:color w:val="000000"/>
                <w:sz w:val="18"/>
                <w:szCs w:val="18"/>
              </w:rPr>
              <w:t>B</w:t>
            </w:r>
            <w:r w:rsidRPr="00170D67">
              <w:rPr>
                <w:rFonts w:hint="eastAsia"/>
                <w:bCs/>
                <w:i w:val="0"/>
                <w:color w:val="000000"/>
                <w:sz w:val="18"/>
                <w:szCs w:val="18"/>
              </w:rPr>
              <w:t>6</w:t>
            </w:r>
          </w:p>
        </w:tc>
        <w:tc>
          <w:tcPr>
            <w:tcW w:w="477" w:type="pct"/>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vAlign w:val="bottom"/>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bCs/>
                <w:i w:val="0"/>
                <w:color w:val="000000"/>
                <w:sz w:val="18"/>
                <w:szCs w:val="18"/>
              </w:rPr>
              <w:t>B</w:t>
            </w:r>
            <w:r w:rsidRPr="00170D67">
              <w:rPr>
                <w:rFonts w:hint="eastAsia"/>
                <w:bCs/>
                <w:i w:val="0"/>
                <w:color w:val="000000"/>
                <w:sz w:val="18"/>
                <w:szCs w:val="18"/>
              </w:rPr>
              <w:t>7</w:t>
            </w:r>
          </w:p>
        </w:tc>
        <w:tc>
          <w:tcPr>
            <w:tcW w:w="475" w:type="pct"/>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vAlign w:val="bottom"/>
            <w:hideMark/>
          </w:tcPr>
          <w:p w:rsidR="005F5253" w:rsidRPr="00170D67" w:rsidRDefault="005F5253" w:rsidP="005F5253">
            <w:pPr>
              <w:pStyle w:val="30"/>
              <w:numPr>
                <w:ilvl w:val="12"/>
                <w:numId w:val="0"/>
              </w:numPr>
              <w:spacing w:line="240" w:lineRule="auto"/>
              <w:ind w:firstLineChars="150" w:firstLine="270"/>
              <w:rPr>
                <w:i w:val="0"/>
                <w:color w:val="000000"/>
                <w:sz w:val="18"/>
                <w:szCs w:val="18"/>
              </w:rPr>
            </w:pPr>
            <w:r w:rsidRPr="00170D67">
              <w:rPr>
                <w:bCs/>
                <w:i w:val="0"/>
                <w:color w:val="000000"/>
                <w:sz w:val="18"/>
                <w:szCs w:val="18"/>
              </w:rPr>
              <w:t>B</w:t>
            </w:r>
            <w:r w:rsidRPr="00170D67">
              <w:rPr>
                <w:rFonts w:hint="eastAsia"/>
                <w:bCs/>
                <w:i w:val="0"/>
                <w:color w:val="000000"/>
                <w:sz w:val="18"/>
                <w:szCs w:val="18"/>
              </w:rPr>
              <w:t>8</w:t>
            </w:r>
          </w:p>
        </w:tc>
        <w:tc>
          <w:tcPr>
            <w:tcW w:w="540" w:type="pct"/>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vAlign w:val="bottom"/>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bCs/>
                <w:i w:val="0"/>
                <w:color w:val="000000"/>
                <w:sz w:val="18"/>
                <w:szCs w:val="18"/>
              </w:rPr>
              <w:t>B</w:t>
            </w:r>
            <w:r w:rsidRPr="00170D67">
              <w:rPr>
                <w:rFonts w:hint="eastAsia"/>
                <w:bCs/>
                <w:i w:val="0"/>
                <w:color w:val="000000"/>
                <w:sz w:val="18"/>
                <w:szCs w:val="18"/>
              </w:rPr>
              <w:t>9</w:t>
            </w:r>
          </w:p>
        </w:tc>
        <w:tc>
          <w:tcPr>
            <w:tcW w:w="461" w:type="pct"/>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vAlign w:val="bottom"/>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bCs/>
                <w:i w:val="0"/>
                <w:color w:val="000000"/>
                <w:sz w:val="18"/>
                <w:szCs w:val="18"/>
              </w:rPr>
              <w:t>B</w:t>
            </w:r>
            <w:r w:rsidRPr="00170D67">
              <w:rPr>
                <w:rFonts w:hint="eastAsia"/>
                <w:bCs/>
                <w:i w:val="0"/>
                <w:color w:val="000000"/>
                <w:sz w:val="18"/>
                <w:szCs w:val="18"/>
              </w:rPr>
              <w:t>10</w:t>
            </w:r>
          </w:p>
        </w:tc>
        <w:tc>
          <w:tcPr>
            <w:tcW w:w="488" w:type="pct"/>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vAlign w:val="bottom"/>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bCs/>
                <w:i w:val="0"/>
                <w:color w:val="000000"/>
                <w:sz w:val="18"/>
                <w:szCs w:val="18"/>
              </w:rPr>
              <w:t>B</w:t>
            </w:r>
            <w:r w:rsidRPr="00170D67">
              <w:rPr>
                <w:rFonts w:hint="eastAsia"/>
                <w:bCs/>
                <w:i w:val="0"/>
                <w:color w:val="000000"/>
                <w:sz w:val="18"/>
                <w:szCs w:val="18"/>
              </w:rPr>
              <w:t>11</w:t>
            </w:r>
          </w:p>
        </w:tc>
        <w:tc>
          <w:tcPr>
            <w:tcW w:w="593" w:type="pct"/>
            <w:tcBorders>
              <w:top w:val="single" w:sz="8" w:space="0" w:color="FFFFFF"/>
              <w:left w:val="single" w:sz="8" w:space="0" w:color="FFFFFF"/>
              <w:bottom w:val="single" w:sz="8" w:space="0" w:color="000000"/>
              <w:right w:val="single" w:sz="8" w:space="0" w:color="FFFFFF"/>
            </w:tcBorders>
            <w:vAlign w:val="bottom"/>
          </w:tcPr>
          <w:p w:rsidR="005F5253" w:rsidRPr="00170D67" w:rsidRDefault="005F5253" w:rsidP="00D80515">
            <w:pPr>
              <w:pStyle w:val="30"/>
              <w:numPr>
                <w:ilvl w:val="12"/>
                <w:numId w:val="0"/>
              </w:numPr>
              <w:spacing w:line="240" w:lineRule="auto"/>
              <w:jc w:val="center"/>
              <w:rPr>
                <w:bCs/>
                <w:i w:val="0"/>
                <w:color w:val="000000"/>
                <w:sz w:val="18"/>
                <w:szCs w:val="18"/>
              </w:rPr>
            </w:pPr>
            <w:r w:rsidRPr="00170D67">
              <w:rPr>
                <w:rFonts w:hint="eastAsia"/>
                <w:bCs/>
                <w:i w:val="0"/>
                <w:color w:val="000000"/>
                <w:sz w:val="18"/>
                <w:szCs w:val="18"/>
              </w:rPr>
              <w:t>B12</w:t>
            </w:r>
          </w:p>
        </w:tc>
        <w:tc>
          <w:tcPr>
            <w:tcW w:w="532" w:type="pct"/>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vAlign w:val="bottom"/>
            <w:hideMark/>
          </w:tcPr>
          <w:p w:rsidR="005F5253" w:rsidRPr="00170D67" w:rsidRDefault="005F5253" w:rsidP="00D80515">
            <w:pPr>
              <w:pStyle w:val="30"/>
              <w:numPr>
                <w:ilvl w:val="12"/>
                <w:numId w:val="0"/>
              </w:numPr>
              <w:spacing w:line="240" w:lineRule="auto"/>
              <w:rPr>
                <w:bCs/>
                <w:i w:val="0"/>
                <w:color w:val="000000"/>
                <w:sz w:val="18"/>
                <w:szCs w:val="18"/>
              </w:rPr>
            </w:pPr>
            <w:r w:rsidRPr="00170D67">
              <w:rPr>
                <w:bCs/>
                <w:i w:val="0"/>
                <w:color w:val="000000"/>
                <w:sz w:val="18"/>
                <w:szCs w:val="18"/>
              </w:rPr>
              <w:t>B</w:t>
            </w:r>
            <w:r w:rsidRPr="00170D67">
              <w:rPr>
                <w:rFonts w:hint="eastAsia"/>
                <w:bCs/>
                <w:i w:val="0"/>
                <w:color w:val="000000"/>
                <w:sz w:val="18"/>
                <w:szCs w:val="18"/>
              </w:rPr>
              <w:t xml:space="preserve">13 </w:t>
            </w:r>
            <w:r w:rsidRPr="00170D67">
              <w:rPr>
                <w:bCs/>
                <w:i w:val="0"/>
                <w:color w:val="000000"/>
                <w:sz w:val="18"/>
                <w:szCs w:val="18"/>
              </w:rPr>
              <w:t>B1</w:t>
            </w:r>
            <w:r w:rsidRPr="00170D67">
              <w:rPr>
                <w:rFonts w:hint="eastAsia"/>
                <w:bCs/>
                <w:i w:val="0"/>
                <w:color w:val="000000"/>
                <w:sz w:val="18"/>
                <w:szCs w:val="18"/>
              </w:rPr>
              <w:t>5</w:t>
            </w:r>
          </w:p>
        </w:tc>
      </w:tr>
      <w:tr w:rsidR="005F5253" w:rsidRPr="00170D67" w:rsidTr="00D80515">
        <w:trPr>
          <w:trHeight w:val="327"/>
        </w:trPr>
        <w:tc>
          <w:tcPr>
            <w:tcW w:w="376" w:type="pct"/>
            <w:tcBorders>
              <w:top w:val="nil"/>
              <w:left w:val="nil"/>
              <w:bottom w:val="nil"/>
              <w:right w:val="single" w:sz="8" w:space="0" w:color="000000"/>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rPr>
                <w:i w:val="0"/>
                <w:color w:val="000000"/>
                <w:sz w:val="18"/>
                <w:szCs w:val="18"/>
              </w:rPr>
            </w:pPr>
          </w:p>
        </w:tc>
        <w:tc>
          <w:tcPr>
            <w:tcW w:w="503"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Pr>
                <w:rFonts w:hint="eastAsia"/>
                <w:bCs/>
                <w:i w:val="0"/>
                <w:color w:val="000000"/>
                <w:sz w:val="18"/>
                <w:szCs w:val="18"/>
              </w:rPr>
              <w:t xml:space="preserve">Allocation </w:t>
            </w:r>
            <w:r w:rsidRPr="00170D67">
              <w:rPr>
                <w:rFonts w:hint="eastAsia"/>
                <w:bCs/>
                <w:i w:val="0"/>
                <w:color w:val="000000"/>
                <w:sz w:val="18"/>
                <w:szCs w:val="18"/>
              </w:rPr>
              <w:t>ID</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Pr>
                <w:rFonts w:hint="eastAsia"/>
                <w:i w:val="0"/>
                <w:color w:val="000000"/>
                <w:sz w:val="18"/>
                <w:szCs w:val="18"/>
              </w:rPr>
              <w:t>Allocation Type</w:t>
            </w:r>
          </w:p>
        </w:tc>
        <w:tc>
          <w:tcPr>
            <w:tcW w:w="47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F5253" w:rsidRPr="00FF319A" w:rsidRDefault="005F5253" w:rsidP="00D80515">
            <w:pPr>
              <w:pStyle w:val="30"/>
              <w:numPr>
                <w:ilvl w:val="12"/>
                <w:numId w:val="0"/>
              </w:numPr>
              <w:jc w:val="center"/>
              <w:rPr>
                <w:bCs/>
                <w:i w:val="0"/>
                <w:color w:val="000000"/>
                <w:sz w:val="18"/>
                <w:szCs w:val="18"/>
              </w:rPr>
            </w:pPr>
            <w:r w:rsidRPr="00FF319A">
              <w:rPr>
                <w:bCs/>
                <w:i w:val="0"/>
                <w:color w:val="000000"/>
                <w:sz w:val="18"/>
                <w:szCs w:val="18"/>
              </w:rPr>
              <w:t>Pseudo-</w:t>
            </w:r>
          </w:p>
          <w:p w:rsidR="005F5253" w:rsidRPr="00170D67" w:rsidRDefault="005F5253" w:rsidP="00D80515">
            <w:pPr>
              <w:pStyle w:val="30"/>
              <w:numPr>
                <w:ilvl w:val="12"/>
                <w:numId w:val="0"/>
              </w:numPr>
              <w:spacing w:line="240" w:lineRule="auto"/>
              <w:jc w:val="center"/>
              <w:rPr>
                <w:i w:val="0"/>
                <w:color w:val="000000"/>
                <w:sz w:val="18"/>
                <w:szCs w:val="18"/>
              </w:rPr>
            </w:pPr>
            <w:r w:rsidRPr="00FF319A">
              <w:rPr>
                <w:bCs/>
                <w:i w:val="0"/>
                <w:color w:val="000000"/>
                <w:sz w:val="18"/>
                <w:szCs w:val="18"/>
              </w:rPr>
              <w:t>static</w:t>
            </w:r>
          </w:p>
        </w:tc>
        <w:tc>
          <w:tcPr>
            <w:tcW w:w="47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sidRPr="00500EF3">
              <w:rPr>
                <w:rFonts w:hint="eastAsia"/>
                <w:bCs/>
                <w:i w:val="0"/>
                <w:color w:val="000000"/>
                <w:sz w:val="18"/>
                <w:szCs w:val="18"/>
                <w:u w:val="single"/>
              </w:rPr>
              <w:t>CDMG</w:t>
            </w:r>
            <w:r>
              <w:rPr>
                <w:rFonts w:hint="eastAsia"/>
                <w:bCs/>
                <w:i w:val="0"/>
                <w:color w:val="000000"/>
                <w:sz w:val="18"/>
                <w:szCs w:val="18"/>
              </w:rPr>
              <w:t xml:space="preserve"> </w:t>
            </w:r>
            <w:r w:rsidRPr="00FF319A">
              <w:rPr>
                <w:bCs/>
                <w:i w:val="0"/>
                <w:color w:val="000000"/>
                <w:sz w:val="18"/>
                <w:szCs w:val="18"/>
              </w:rPr>
              <w:t>Truncatable</w:t>
            </w:r>
          </w:p>
        </w:tc>
        <w:tc>
          <w:tcPr>
            <w:tcW w:w="54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Pr>
                <w:rFonts w:hint="eastAsia"/>
                <w:i w:val="0"/>
                <w:color w:val="000000"/>
                <w:sz w:val="18"/>
                <w:szCs w:val="18"/>
              </w:rPr>
              <w:t>Extendable</w:t>
            </w:r>
          </w:p>
        </w:tc>
        <w:tc>
          <w:tcPr>
            <w:tcW w:w="46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sidRPr="00500EF3">
              <w:rPr>
                <w:rFonts w:hint="eastAsia"/>
                <w:i w:val="0"/>
                <w:color w:val="000000"/>
                <w:sz w:val="18"/>
                <w:szCs w:val="18"/>
                <w:u w:val="single"/>
              </w:rPr>
              <w:t>CDMG</w:t>
            </w:r>
            <w:r>
              <w:rPr>
                <w:rFonts w:hint="eastAsia"/>
                <w:i w:val="0"/>
                <w:color w:val="000000"/>
                <w:sz w:val="18"/>
                <w:szCs w:val="18"/>
                <w:u w:val="single"/>
              </w:rPr>
              <w:t xml:space="preserve"> </w:t>
            </w:r>
            <w:r w:rsidRPr="00170D67">
              <w:rPr>
                <w:rFonts w:hint="eastAsia"/>
                <w:i w:val="0"/>
                <w:color w:val="000000"/>
                <w:sz w:val="18"/>
                <w:szCs w:val="18"/>
              </w:rPr>
              <w:t xml:space="preserve">PCP </w:t>
            </w:r>
            <w:r>
              <w:rPr>
                <w:rFonts w:hint="eastAsia"/>
                <w:i w:val="0"/>
                <w:color w:val="000000"/>
                <w:sz w:val="18"/>
                <w:szCs w:val="18"/>
              </w:rPr>
              <w:t>Active</w:t>
            </w:r>
          </w:p>
        </w:tc>
        <w:tc>
          <w:tcPr>
            <w:tcW w:w="48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F5253" w:rsidRPr="00FF319A" w:rsidRDefault="005F5253" w:rsidP="00D80515">
            <w:pPr>
              <w:pStyle w:val="30"/>
              <w:numPr>
                <w:ilvl w:val="12"/>
                <w:numId w:val="0"/>
              </w:numPr>
              <w:jc w:val="center"/>
              <w:rPr>
                <w:bCs/>
                <w:i w:val="0"/>
                <w:color w:val="000000"/>
                <w:sz w:val="18"/>
                <w:szCs w:val="18"/>
              </w:rPr>
            </w:pPr>
            <w:r w:rsidRPr="00FF319A">
              <w:rPr>
                <w:bCs/>
                <w:i w:val="0"/>
                <w:color w:val="000000"/>
                <w:sz w:val="18"/>
                <w:szCs w:val="18"/>
              </w:rPr>
              <w:t>LP SC</w:t>
            </w:r>
          </w:p>
          <w:p w:rsidR="005F5253" w:rsidRPr="00170D67" w:rsidRDefault="005F5253" w:rsidP="00D80515">
            <w:pPr>
              <w:pStyle w:val="30"/>
              <w:numPr>
                <w:ilvl w:val="12"/>
                <w:numId w:val="0"/>
              </w:numPr>
              <w:spacing w:line="240" w:lineRule="auto"/>
              <w:jc w:val="center"/>
              <w:rPr>
                <w:i w:val="0"/>
                <w:color w:val="000000"/>
                <w:sz w:val="18"/>
                <w:szCs w:val="18"/>
              </w:rPr>
            </w:pPr>
            <w:r w:rsidRPr="00FF319A">
              <w:rPr>
                <w:bCs/>
                <w:i w:val="0"/>
                <w:color w:val="000000"/>
                <w:sz w:val="18"/>
                <w:szCs w:val="18"/>
              </w:rPr>
              <w:t>Used</w:t>
            </w:r>
          </w:p>
        </w:tc>
        <w:tc>
          <w:tcPr>
            <w:tcW w:w="593" w:type="pct"/>
            <w:tcBorders>
              <w:top w:val="single" w:sz="8" w:space="0" w:color="000000"/>
              <w:left w:val="single" w:sz="8" w:space="0" w:color="000000"/>
              <w:bottom w:val="single" w:sz="8" w:space="0" w:color="000000"/>
              <w:right w:val="single" w:sz="8" w:space="0" w:color="000000"/>
            </w:tcBorders>
            <w:shd w:val="clear" w:color="auto" w:fill="FFFFFF"/>
          </w:tcPr>
          <w:p w:rsidR="005F5253" w:rsidRPr="00975084" w:rsidRDefault="005F5253" w:rsidP="005F5253">
            <w:pPr>
              <w:pStyle w:val="30"/>
              <w:numPr>
                <w:ilvl w:val="12"/>
                <w:numId w:val="0"/>
              </w:numPr>
              <w:spacing w:line="240" w:lineRule="auto"/>
              <w:ind w:firstLineChars="50" w:firstLine="90"/>
              <w:jc w:val="center"/>
              <w:rPr>
                <w:bCs/>
                <w:i w:val="0"/>
                <w:color w:val="000000"/>
                <w:sz w:val="18"/>
                <w:szCs w:val="18"/>
                <w:u w:val="single"/>
              </w:rPr>
            </w:pPr>
            <w:r>
              <w:rPr>
                <w:rFonts w:hint="eastAsia"/>
                <w:bCs/>
                <w:i w:val="0"/>
                <w:color w:val="000000"/>
                <w:sz w:val="18"/>
                <w:szCs w:val="18"/>
                <w:u w:val="single"/>
              </w:rPr>
              <w:t>Truncation Type</w:t>
            </w:r>
          </w:p>
        </w:tc>
        <w:tc>
          <w:tcPr>
            <w:tcW w:w="53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Pr>
                <w:rFonts w:hint="eastAsia"/>
                <w:bCs/>
                <w:i w:val="0"/>
                <w:color w:val="000000"/>
                <w:sz w:val="18"/>
                <w:szCs w:val="18"/>
              </w:rPr>
              <w:t>Reserved</w:t>
            </w:r>
          </w:p>
        </w:tc>
      </w:tr>
      <w:tr w:rsidR="005F5253" w:rsidRPr="00170D67" w:rsidTr="00D80515">
        <w:trPr>
          <w:trHeight w:val="327"/>
        </w:trPr>
        <w:tc>
          <w:tcPr>
            <w:tcW w:w="376" w:type="pct"/>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Pr>
                <w:rFonts w:hint="eastAsia"/>
                <w:i w:val="0"/>
                <w:color w:val="000000"/>
                <w:sz w:val="18"/>
                <w:szCs w:val="18"/>
              </w:rPr>
              <w:t>Bits:</w:t>
            </w:r>
          </w:p>
        </w:tc>
        <w:tc>
          <w:tcPr>
            <w:tcW w:w="503" w:type="pct"/>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rFonts w:hint="eastAsia"/>
                <w:bCs/>
                <w:i w:val="0"/>
                <w:color w:val="000000"/>
                <w:sz w:val="18"/>
                <w:szCs w:val="18"/>
              </w:rPr>
              <w:t>4</w:t>
            </w:r>
          </w:p>
        </w:tc>
        <w:tc>
          <w:tcPr>
            <w:tcW w:w="555" w:type="pct"/>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rFonts w:hint="eastAsia"/>
                <w:i w:val="0"/>
                <w:color w:val="000000"/>
                <w:sz w:val="18"/>
                <w:szCs w:val="18"/>
              </w:rPr>
              <w:t>3</w:t>
            </w:r>
          </w:p>
        </w:tc>
        <w:tc>
          <w:tcPr>
            <w:tcW w:w="477" w:type="pct"/>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rFonts w:hint="eastAsia"/>
                <w:i w:val="0"/>
                <w:color w:val="000000"/>
                <w:sz w:val="18"/>
                <w:szCs w:val="18"/>
              </w:rPr>
              <w:t>1</w:t>
            </w:r>
          </w:p>
        </w:tc>
        <w:tc>
          <w:tcPr>
            <w:tcW w:w="475" w:type="pct"/>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bCs/>
                <w:i w:val="0"/>
                <w:color w:val="000000"/>
                <w:sz w:val="18"/>
                <w:szCs w:val="18"/>
              </w:rPr>
              <w:t>1</w:t>
            </w:r>
          </w:p>
        </w:tc>
        <w:tc>
          <w:tcPr>
            <w:tcW w:w="540" w:type="pct"/>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bCs/>
                <w:i w:val="0"/>
                <w:color w:val="000000"/>
                <w:sz w:val="18"/>
                <w:szCs w:val="18"/>
              </w:rPr>
              <w:t>1</w:t>
            </w:r>
          </w:p>
        </w:tc>
        <w:tc>
          <w:tcPr>
            <w:tcW w:w="461" w:type="pct"/>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bCs/>
                <w:i w:val="0"/>
                <w:color w:val="000000"/>
                <w:sz w:val="18"/>
                <w:szCs w:val="18"/>
              </w:rPr>
              <w:t>1</w:t>
            </w:r>
          </w:p>
        </w:tc>
        <w:tc>
          <w:tcPr>
            <w:tcW w:w="488" w:type="pct"/>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bCs/>
                <w:i w:val="0"/>
                <w:color w:val="000000"/>
                <w:sz w:val="18"/>
                <w:szCs w:val="18"/>
              </w:rPr>
              <w:t>1</w:t>
            </w:r>
          </w:p>
        </w:tc>
        <w:tc>
          <w:tcPr>
            <w:tcW w:w="593" w:type="pct"/>
            <w:tcBorders>
              <w:top w:val="single" w:sz="8" w:space="0" w:color="000000"/>
              <w:left w:val="single" w:sz="8" w:space="0" w:color="FFFFFF"/>
              <w:bottom w:val="single" w:sz="8" w:space="0" w:color="FFFFFF"/>
              <w:right w:val="single" w:sz="8" w:space="0" w:color="FFFFFF"/>
            </w:tcBorders>
            <w:shd w:val="clear" w:color="auto" w:fill="FFFFFF"/>
          </w:tcPr>
          <w:p w:rsidR="005F5253" w:rsidRPr="00170D67" w:rsidRDefault="005F5253" w:rsidP="00D80515">
            <w:pPr>
              <w:pStyle w:val="30"/>
              <w:numPr>
                <w:ilvl w:val="12"/>
                <w:numId w:val="0"/>
              </w:numPr>
              <w:spacing w:line="240" w:lineRule="auto"/>
              <w:jc w:val="center"/>
              <w:rPr>
                <w:i w:val="0"/>
                <w:color w:val="000000"/>
                <w:sz w:val="18"/>
                <w:szCs w:val="18"/>
              </w:rPr>
            </w:pPr>
            <w:r w:rsidRPr="00170D67">
              <w:rPr>
                <w:rFonts w:hint="eastAsia"/>
                <w:i w:val="0"/>
                <w:color w:val="000000"/>
                <w:sz w:val="18"/>
                <w:szCs w:val="18"/>
              </w:rPr>
              <w:t>1</w:t>
            </w:r>
          </w:p>
        </w:tc>
        <w:tc>
          <w:tcPr>
            <w:tcW w:w="532" w:type="pct"/>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5F5253" w:rsidRPr="00170D67" w:rsidRDefault="005F5253" w:rsidP="00D80515">
            <w:pPr>
              <w:pStyle w:val="30"/>
              <w:numPr>
                <w:ilvl w:val="12"/>
                <w:numId w:val="0"/>
              </w:numPr>
              <w:spacing w:line="240" w:lineRule="auto"/>
              <w:jc w:val="center"/>
              <w:rPr>
                <w:i w:val="0"/>
                <w:color w:val="000000"/>
                <w:sz w:val="18"/>
                <w:szCs w:val="18"/>
              </w:rPr>
            </w:pPr>
            <w:r w:rsidRPr="00170D67">
              <w:rPr>
                <w:rFonts w:hint="eastAsia"/>
                <w:i w:val="0"/>
                <w:color w:val="000000"/>
                <w:sz w:val="18"/>
                <w:szCs w:val="18"/>
              </w:rPr>
              <w:t>3</w:t>
            </w:r>
          </w:p>
        </w:tc>
      </w:tr>
    </w:tbl>
    <w:p w:rsidR="005F5253" w:rsidRPr="00872A8B" w:rsidRDefault="005F5253" w:rsidP="005F5253">
      <w:pPr>
        <w:jc w:val="center"/>
        <w:rPr>
          <w:lang w:eastAsia="zh-CN"/>
        </w:rPr>
      </w:pPr>
      <w:r>
        <w:rPr>
          <w:rFonts w:hint="eastAsia"/>
          <w:lang w:eastAsia="zh-CN"/>
        </w:rPr>
        <w:t xml:space="preserve">Figure </w:t>
      </w:r>
      <w:r w:rsidRPr="00D67B12">
        <w:rPr>
          <w:rFonts w:hint="eastAsia"/>
          <w:lang w:eastAsia="zh-CN"/>
        </w:rPr>
        <w:t>8-401ab</w:t>
      </w:r>
      <w:r>
        <w:rPr>
          <w:rFonts w:hint="eastAsia"/>
          <w:lang w:eastAsia="zh-CN"/>
        </w:rPr>
        <w:t>a  Allocation Control field (</w:t>
      </w:r>
      <w:r w:rsidRPr="00975084">
        <w:rPr>
          <w:rFonts w:hint="eastAsia"/>
          <w:u w:val="single"/>
          <w:lang w:eastAsia="zh-CN"/>
        </w:rPr>
        <w:t>C</w:t>
      </w:r>
      <w:r w:rsidRPr="00975084">
        <w:rPr>
          <w:u w:val="single"/>
          <w:lang w:eastAsia="zh-CN"/>
        </w:rPr>
        <w:t>DMG</w:t>
      </w:r>
      <w:r>
        <w:rPr>
          <w:rFonts w:hint="eastAsia"/>
          <w:lang w:eastAsia="zh-CN"/>
        </w:rPr>
        <w:t>)</w:t>
      </w:r>
    </w:p>
    <w:p w:rsidR="005F5253" w:rsidRPr="00E77782" w:rsidRDefault="005F5253" w:rsidP="00E97EDD">
      <w:pPr>
        <w:spacing w:beforeLines="50"/>
        <w:rPr>
          <w:i/>
          <w:lang w:eastAsia="zh-CN"/>
        </w:rPr>
      </w:pPr>
    </w:p>
    <w:p w:rsidR="005F5253" w:rsidRPr="003A49E2" w:rsidRDefault="005F5253" w:rsidP="003A49E2">
      <w:pPr>
        <w:rPr>
          <w:b/>
          <w:i/>
          <w:iCs/>
          <w:lang w:eastAsia="zh-CN"/>
        </w:rPr>
      </w:pPr>
      <w:r w:rsidRPr="003A49E2">
        <w:rPr>
          <w:b/>
          <w:i/>
          <w:iCs/>
          <w:lang w:eastAsia="zh-CN"/>
        </w:rPr>
        <w:t xml:space="preserve">Insert the following paragraph at the end of </w:t>
      </w:r>
      <w:r w:rsidR="00DD6FFE" w:rsidRPr="00DD6FFE">
        <w:rPr>
          <w:b/>
          <w:i/>
          <w:iCs/>
          <w:lang w:eastAsia="zh-CN"/>
        </w:rPr>
        <w:t>8.4.2.134</w:t>
      </w:r>
      <w:r w:rsidRPr="003A49E2">
        <w:rPr>
          <w:b/>
          <w:i/>
          <w:iCs/>
          <w:lang w:eastAsia="zh-CN"/>
        </w:rPr>
        <w:t>:</w:t>
      </w:r>
    </w:p>
    <w:p w:rsidR="005F5253" w:rsidRPr="003A49E2" w:rsidRDefault="005F5253" w:rsidP="003A49E2">
      <w:pPr>
        <w:rPr>
          <w:b/>
          <w:i/>
          <w:iCs/>
          <w:lang w:eastAsia="zh-CN"/>
        </w:rPr>
      </w:pPr>
    </w:p>
    <w:p w:rsidR="005F5253" w:rsidRDefault="005F5253" w:rsidP="00E97EDD">
      <w:pPr>
        <w:spacing w:beforeLines="50"/>
        <w:jc w:val="both"/>
        <w:rPr>
          <w:lang w:eastAsia="zh-CN"/>
        </w:rPr>
      </w:pPr>
      <w:r>
        <w:rPr>
          <w:rFonts w:hint="eastAsia"/>
          <w:lang w:eastAsia="zh-CN"/>
        </w:rPr>
        <w:t>For an SP allocation, the CDMG Truncatable field indicates whether an SP is truncatable. T</w:t>
      </w:r>
      <w:r w:rsidRPr="002F0A61">
        <w:rPr>
          <w:szCs w:val="21"/>
          <w:lang w:eastAsia="zh-CN"/>
        </w:rPr>
        <w:t xml:space="preserve">he </w:t>
      </w:r>
      <w:r>
        <w:rPr>
          <w:rFonts w:hint="eastAsia"/>
          <w:szCs w:val="21"/>
          <w:lang w:eastAsia="zh-CN"/>
        </w:rPr>
        <w:t xml:space="preserve">CDMG </w:t>
      </w:r>
      <w:r w:rsidRPr="002F0A61">
        <w:rPr>
          <w:szCs w:val="21"/>
          <w:lang w:eastAsia="zh-CN"/>
        </w:rPr>
        <w:t xml:space="preserve">Truncatable field is set to 1 to indicate that the source </w:t>
      </w:r>
      <w:r>
        <w:rPr>
          <w:rFonts w:hint="eastAsia"/>
          <w:szCs w:val="21"/>
          <w:lang w:eastAsia="zh-CN"/>
        </w:rPr>
        <w:t>C</w:t>
      </w:r>
      <w:r w:rsidRPr="002F0A61">
        <w:rPr>
          <w:szCs w:val="21"/>
          <w:lang w:eastAsia="zh-CN"/>
        </w:rPr>
        <w:t>DMG STA and destination</w:t>
      </w:r>
      <w:r w:rsidRPr="002F0A61">
        <w:rPr>
          <w:rFonts w:hint="eastAsia"/>
          <w:szCs w:val="21"/>
          <w:lang w:eastAsia="zh-CN"/>
        </w:rPr>
        <w:t xml:space="preserve"> </w:t>
      </w:r>
      <w:r>
        <w:rPr>
          <w:rFonts w:hint="eastAsia"/>
          <w:szCs w:val="21"/>
          <w:lang w:eastAsia="zh-CN"/>
        </w:rPr>
        <w:t>C</w:t>
      </w:r>
      <w:r w:rsidRPr="002F0A61">
        <w:rPr>
          <w:szCs w:val="21"/>
          <w:lang w:eastAsia="zh-CN"/>
        </w:rPr>
        <w:t>DMG STA can request SP t</w:t>
      </w:r>
      <w:r>
        <w:rPr>
          <w:szCs w:val="21"/>
          <w:lang w:eastAsia="zh-CN"/>
        </w:rPr>
        <w:t>runcation</w:t>
      </w:r>
      <w:r>
        <w:rPr>
          <w:rFonts w:hint="eastAsia"/>
          <w:szCs w:val="21"/>
          <w:lang w:eastAsia="zh-CN"/>
        </w:rPr>
        <w:t>, and the SP truncation type is determined by the Truncation Type field</w:t>
      </w:r>
      <w:r w:rsidRPr="002F0A61">
        <w:rPr>
          <w:szCs w:val="21"/>
          <w:lang w:eastAsia="zh-CN"/>
        </w:rPr>
        <w:t xml:space="preserve">. </w:t>
      </w:r>
      <w:r>
        <w:rPr>
          <w:rFonts w:hint="eastAsia"/>
          <w:szCs w:val="21"/>
          <w:lang w:eastAsia="zh-CN"/>
        </w:rPr>
        <w:t xml:space="preserve">Otherwise, it is set to 0, and the Truncation Type field is reserved. </w:t>
      </w:r>
      <w:r w:rsidRPr="002F0A61">
        <w:rPr>
          <w:szCs w:val="21"/>
          <w:lang w:eastAsia="zh-CN"/>
        </w:rPr>
        <w:t>For a CBAP allocation, the</w:t>
      </w:r>
      <w:r>
        <w:rPr>
          <w:rFonts w:hint="eastAsia"/>
          <w:szCs w:val="21"/>
          <w:lang w:eastAsia="zh-CN"/>
        </w:rPr>
        <w:t xml:space="preserve"> CDMG</w:t>
      </w:r>
      <w:r w:rsidRPr="002F0A61">
        <w:rPr>
          <w:szCs w:val="21"/>
          <w:lang w:eastAsia="zh-CN"/>
        </w:rPr>
        <w:t xml:space="preserve"> Truncatable field is</w:t>
      </w:r>
      <w:r>
        <w:rPr>
          <w:rFonts w:hint="eastAsia"/>
          <w:szCs w:val="21"/>
          <w:lang w:eastAsia="zh-CN"/>
        </w:rPr>
        <w:t xml:space="preserve"> </w:t>
      </w:r>
      <w:r w:rsidRPr="002F0A61">
        <w:rPr>
          <w:szCs w:val="21"/>
          <w:lang w:eastAsia="zh-CN"/>
        </w:rPr>
        <w:t>reserved.</w:t>
      </w:r>
    </w:p>
    <w:p w:rsidR="005F5253" w:rsidRDefault="005F5253" w:rsidP="00E97EDD">
      <w:pPr>
        <w:spacing w:beforeLines="50"/>
        <w:jc w:val="both"/>
        <w:rPr>
          <w:lang w:eastAsia="zh-CN"/>
        </w:rPr>
      </w:pPr>
    </w:p>
    <w:p w:rsidR="005F5253" w:rsidRDefault="005F5253" w:rsidP="005F5253">
      <w:pPr>
        <w:jc w:val="both"/>
        <w:rPr>
          <w:lang w:eastAsia="zh-CN"/>
        </w:rPr>
      </w:pPr>
      <w:r>
        <w:rPr>
          <w:lang w:eastAsia="zh-CN"/>
        </w:rPr>
        <w:t>The</w:t>
      </w:r>
      <w:r>
        <w:rPr>
          <w:rFonts w:hint="eastAsia"/>
          <w:lang w:eastAsia="zh-CN"/>
        </w:rPr>
        <w:t xml:space="preserve"> CDMG</w:t>
      </w:r>
      <w:r>
        <w:rPr>
          <w:lang w:eastAsia="zh-CN"/>
        </w:rPr>
        <w:t xml:space="preserve"> PCP Active field is set to 1 if the PCP is available to receive transmissions during the CBAP or SP</w:t>
      </w:r>
      <w:r>
        <w:rPr>
          <w:rFonts w:hint="eastAsia"/>
          <w:lang w:eastAsia="zh-CN"/>
        </w:rPr>
        <w:t xml:space="preserve"> </w:t>
      </w:r>
      <w:r>
        <w:rPr>
          <w:lang w:eastAsia="zh-CN"/>
        </w:rPr>
        <w:t xml:space="preserve">allocation and set to 0 otherwise. </w:t>
      </w:r>
      <w:r w:rsidRPr="00277C9F">
        <w:rPr>
          <w:rFonts w:hint="eastAsia"/>
          <w:lang w:eastAsia="zh-CN"/>
        </w:rPr>
        <w:t xml:space="preserve">The CDMG PCP Active field is </w:t>
      </w:r>
      <w:r w:rsidRPr="00277C9F">
        <w:rPr>
          <w:lang w:eastAsia="zh-CN"/>
        </w:rPr>
        <w:t xml:space="preserve">set to 1 </w:t>
      </w:r>
      <w:r w:rsidRPr="00277C9F">
        <w:rPr>
          <w:rFonts w:hint="eastAsia"/>
          <w:lang w:eastAsia="zh-CN"/>
        </w:rPr>
        <w:t>if</w:t>
      </w:r>
      <w:r w:rsidRPr="00277C9F">
        <w:rPr>
          <w:lang w:eastAsia="zh-CN"/>
        </w:rPr>
        <w:t xml:space="preserve"> </w:t>
      </w:r>
      <w:r w:rsidRPr="00277C9F">
        <w:rPr>
          <w:rFonts w:hint="eastAsia"/>
          <w:lang w:eastAsia="zh-CN"/>
        </w:rPr>
        <w:t xml:space="preserve">the </w:t>
      </w:r>
      <w:r w:rsidR="00E14476">
        <w:rPr>
          <w:rFonts w:hint="eastAsia"/>
          <w:lang w:eastAsia="zh-CN"/>
        </w:rPr>
        <w:t xml:space="preserve">CDMG </w:t>
      </w:r>
      <w:r w:rsidRPr="00277C9F">
        <w:rPr>
          <w:lang w:eastAsia="zh-CN"/>
        </w:rPr>
        <w:t>Truncatable field is set to 1 and the Truncation Type field is set to 0</w:t>
      </w:r>
      <w:r w:rsidRPr="00277C9F">
        <w:rPr>
          <w:rFonts w:hint="eastAsia"/>
          <w:lang w:eastAsia="zh-CN"/>
        </w:rPr>
        <w:t xml:space="preserve">, or </w:t>
      </w:r>
      <w:r w:rsidRPr="00277C9F">
        <w:rPr>
          <w:lang w:eastAsia="zh-CN"/>
        </w:rPr>
        <w:t>if the Extendable field is set to 1</w:t>
      </w:r>
      <w:r w:rsidRPr="00277C9F">
        <w:rPr>
          <w:rFonts w:hint="eastAsia"/>
          <w:lang w:eastAsia="zh-CN"/>
        </w:rPr>
        <w:t>,</w:t>
      </w:r>
      <w:r w:rsidRPr="00277C9F">
        <w:rPr>
          <w:lang w:eastAsia="zh-CN"/>
        </w:rPr>
        <w:t xml:space="preserve"> or when transmitted by an AP</w:t>
      </w:r>
      <w:r w:rsidRPr="00277C9F">
        <w:rPr>
          <w:rFonts w:hint="eastAsia"/>
          <w:lang w:eastAsia="zh-CN"/>
        </w:rPr>
        <w:t xml:space="preserve">. </w:t>
      </w:r>
      <w:r w:rsidRPr="00277C9F">
        <w:rPr>
          <w:lang w:eastAsia="zh-CN"/>
        </w:rPr>
        <w:t>In all other cases, the</w:t>
      </w:r>
      <w:r>
        <w:rPr>
          <w:rFonts w:hint="eastAsia"/>
          <w:lang w:eastAsia="zh-CN"/>
        </w:rPr>
        <w:t xml:space="preserve"> CDMG</w:t>
      </w:r>
      <w:r w:rsidRPr="00277C9F">
        <w:rPr>
          <w:lang w:eastAsia="zh-CN"/>
        </w:rPr>
        <w:t xml:space="preserve"> PCP Active field can be set to 0.</w:t>
      </w:r>
    </w:p>
    <w:p w:rsidR="00DD6FFE" w:rsidRDefault="00DD6FFE" w:rsidP="005F5253">
      <w:pPr>
        <w:jc w:val="both"/>
        <w:rPr>
          <w:lang w:eastAsia="zh-CN"/>
        </w:rPr>
      </w:pPr>
    </w:p>
    <w:p w:rsidR="00DD6FFE" w:rsidRDefault="00DD6FFE" w:rsidP="00E97EDD">
      <w:pPr>
        <w:spacing w:beforeLines="50"/>
        <w:jc w:val="both"/>
        <w:rPr>
          <w:lang w:eastAsia="zh-CN"/>
        </w:rPr>
      </w:pPr>
      <w:r>
        <w:rPr>
          <w:rFonts w:hint="eastAsia"/>
          <w:lang w:eastAsia="zh-CN"/>
        </w:rPr>
        <w:t xml:space="preserve">The Truncation Type field is </w:t>
      </w:r>
      <w:r w:rsidRPr="00440182">
        <w:rPr>
          <w:lang w:eastAsia="zh-CN"/>
        </w:rPr>
        <w:t>valid only if</w:t>
      </w:r>
      <w:r>
        <w:rPr>
          <w:rFonts w:hint="eastAsia"/>
          <w:lang w:eastAsia="zh-CN"/>
        </w:rPr>
        <w:t xml:space="preserve"> the CDMG Truncatable field is set to 1 and is reserved otherwise. The Truncation Type field is set to 0 to indicate that the CDMG STA is to return </w:t>
      </w:r>
      <w:r w:rsidRPr="00884631">
        <w:rPr>
          <w:lang w:eastAsia="zh-CN"/>
        </w:rPr>
        <w:t xml:space="preserve">the time left in the SP to the </w:t>
      </w:r>
      <w:r>
        <w:rPr>
          <w:rFonts w:hint="eastAsia"/>
          <w:lang w:eastAsia="zh-CN"/>
        </w:rPr>
        <w:t xml:space="preserve">CDMG </w:t>
      </w:r>
      <w:r w:rsidRPr="00884631">
        <w:rPr>
          <w:lang w:eastAsia="zh-CN"/>
        </w:rPr>
        <w:t>PCP/AP, thus allowing the</w:t>
      </w:r>
      <w:r>
        <w:rPr>
          <w:rFonts w:hint="eastAsia"/>
          <w:lang w:eastAsia="zh-CN"/>
        </w:rPr>
        <w:t xml:space="preserve"> CDMG </w:t>
      </w:r>
      <w:r w:rsidRPr="00884631">
        <w:rPr>
          <w:lang w:eastAsia="zh-CN"/>
        </w:rPr>
        <w:t>PCP/AP to grant the released time to any other STA as an SP or a CBAP</w:t>
      </w:r>
      <w:r>
        <w:rPr>
          <w:rFonts w:hint="eastAsia"/>
          <w:lang w:eastAsia="zh-CN"/>
        </w:rPr>
        <w:t xml:space="preserve">; This field is set to 1 to indicate that the CDMG STA </w:t>
      </w:r>
      <w:r w:rsidRPr="00884631">
        <w:rPr>
          <w:lang w:eastAsia="zh-CN"/>
        </w:rPr>
        <w:t>allocate</w:t>
      </w:r>
      <w:r>
        <w:rPr>
          <w:rFonts w:hint="eastAsia"/>
          <w:lang w:eastAsia="zh-CN"/>
        </w:rPr>
        <w:t>s</w:t>
      </w:r>
      <w:r w:rsidRPr="00884631">
        <w:rPr>
          <w:lang w:eastAsia="zh-CN"/>
        </w:rPr>
        <w:t xml:space="preserve"> any portion of its SP as a CBAP</w:t>
      </w:r>
      <w:r>
        <w:rPr>
          <w:rFonts w:hint="eastAsia"/>
          <w:lang w:eastAsia="zh-CN"/>
        </w:rPr>
        <w:t>.</w:t>
      </w:r>
    </w:p>
    <w:p w:rsidR="005F5253" w:rsidRDefault="005F5253" w:rsidP="00E97EDD">
      <w:pPr>
        <w:spacing w:beforeLines="50"/>
        <w:rPr>
          <w:lang w:eastAsia="zh-CN"/>
        </w:rPr>
      </w:pPr>
    </w:p>
    <w:p w:rsidR="005F5253" w:rsidRDefault="005F5253" w:rsidP="003A49E2">
      <w:pPr>
        <w:rPr>
          <w:b/>
          <w:i/>
          <w:iCs/>
          <w:lang w:eastAsia="zh-CN"/>
        </w:rPr>
      </w:pPr>
      <w:r w:rsidRPr="003A49E2">
        <w:rPr>
          <w:rFonts w:hint="eastAsia"/>
          <w:b/>
          <w:i/>
          <w:iCs/>
          <w:lang w:eastAsia="zh-CN"/>
        </w:rPr>
        <w:t>Change the fifth paragraph after Figure</w:t>
      </w:r>
      <w:r w:rsidRPr="003A49E2">
        <w:rPr>
          <w:b/>
          <w:i/>
          <w:iCs/>
          <w:lang w:eastAsia="zh-CN"/>
        </w:rPr>
        <w:t xml:space="preserve"> </w:t>
      </w:r>
      <w:r w:rsidRPr="003A49E2">
        <w:rPr>
          <w:rFonts w:hint="eastAsia"/>
          <w:b/>
          <w:i/>
          <w:iCs/>
          <w:lang w:eastAsia="zh-CN"/>
        </w:rPr>
        <w:t>10</w:t>
      </w:r>
      <w:r w:rsidRPr="003A49E2">
        <w:rPr>
          <w:b/>
          <w:i/>
          <w:iCs/>
          <w:lang w:eastAsia="zh-CN"/>
        </w:rPr>
        <w:t>-</w:t>
      </w:r>
      <w:r w:rsidRPr="003A49E2">
        <w:rPr>
          <w:rFonts w:hint="eastAsia"/>
          <w:b/>
          <w:i/>
          <w:iCs/>
          <w:lang w:eastAsia="zh-CN"/>
        </w:rPr>
        <w:t>5b as follows:</w:t>
      </w:r>
    </w:p>
    <w:p w:rsidR="003A49E2" w:rsidRPr="003A49E2" w:rsidRDefault="003A49E2" w:rsidP="003A49E2">
      <w:pPr>
        <w:rPr>
          <w:b/>
          <w:i/>
          <w:iCs/>
          <w:lang w:eastAsia="zh-CN"/>
        </w:rPr>
      </w:pPr>
    </w:p>
    <w:p w:rsidR="005F5253" w:rsidRPr="0004254C" w:rsidRDefault="005F5253" w:rsidP="00E97EDD">
      <w:pPr>
        <w:spacing w:beforeLines="50"/>
        <w:jc w:val="both"/>
        <w:rPr>
          <w:lang w:eastAsia="zh-CN"/>
        </w:rPr>
      </w:pPr>
      <w:r>
        <w:rPr>
          <w:lang w:eastAsia="zh-CN"/>
        </w:rPr>
        <w:t>The PCP may enter and remain in the Doze state for any portion of an SP if it is not a source or a destination</w:t>
      </w:r>
      <w:r>
        <w:rPr>
          <w:rFonts w:hint="eastAsia"/>
          <w:lang w:eastAsia="zh-CN"/>
        </w:rPr>
        <w:t xml:space="preserve"> </w:t>
      </w:r>
      <w:r>
        <w:rPr>
          <w:lang w:eastAsia="zh-CN"/>
        </w:rPr>
        <w:t xml:space="preserve">of the SP. The </w:t>
      </w:r>
      <w:r w:rsidRPr="00FD71CF">
        <w:rPr>
          <w:rFonts w:hint="eastAsia"/>
          <w:u w:val="single"/>
          <w:lang w:eastAsia="zh-CN"/>
        </w:rPr>
        <w:t>DMG</w:t>
      </w:r>
      <w:r>
        <w:rPr>
          <w:rFonts w:hint="eastAsia"/>
          <w:lang w:eastAsia="zh-CN"/>
        </w:rPr>
        <w:t xml:space="preserve"> </w:t>
      </w:r>
      <w:r>
        <w:rPr>
          <w:lang w:eastAsia="zh-CN"/>
        </w:rPr>
        <w:t>PCP shall remain in the Awake state for any portion of a truncatable or extendable SP</w:t>
      </w:r>
      <w:r>
        <w:rPr>
          <w:rFonts w:hint="eastAsia"/>
          <w:lang w:eastAsia="zh-CN"/>
        </w:rPr>
        <w:t xml:space="preserve"> </w:t>
      </w:r>
      <w:r>
        <w:rPr>
          <w:lang w:eastAsia="zh-CN"/>
        </w:rPr>
        <w:t xml:space="preserve">(8.4.2.134). </w:t>
      </w:r>
      <w:r w:rsidRPr="00FD71CF">
        <w:rPr>
          <w:rFonts w:hint="eastAsia"/>
          <w:u w:val="single"/>
          <w:lang w:eastAsia="zh-CN"/>
        </w:rPr>
        <w:t xml:space="preserve">The CDMG PCP shall remain in the </w:t>
      </w:r>
      <w:r w:rsidRPr="00FD71CF">
        <w:rPr>
          <w:u w:val="single"/>
          <w:lang w:eastAsia="zh-CN"/>
        </w:rPr>
        <w:t>Awake state for any portion of a extendable SP</w:t>
      </w:r>
      <w:r w:rsidRPr="00FD71CF">
        <w:rPr>
          <w:rFonts w:hint="eastAsia"/>
          <w:u w:val="single"/>
          <w:lang w:eastAsia="zh-CN"/>
        </w:rPr>
        <w:t xml:space="preserve"> or a </w:t>
      </w:r>
      <w:r w:rsidRPr="00FD71CF">
        <w:rPr>
          <w:u w:val="single"/>
          <w:lang w:eastAsia="zh-CN"/>
        </w:rPr>
        <w:t xml:space="preserve">truncatable </w:t>
      </w:r>
      <w:r w:rsidRPr="00FD71CF">
        <w:rPr>
          <w:rFonts w:hint="eastAsia"/>
          <w:u w:val="single"/>
          <w:lang w:eastAsia="zh-CN"/>
        </w:rPr>
        <w:t xml:space="preserve">SP </w:t>
      </w:r>
      <w:r>
        <w:rPr>
          <w:rFonts w:hint="eastAsia"/>
          <w:u w:val="single"/>
          <w:lang w:eastAsia="zh-CN"/>
        </w:rPr>
        <w:t>whose</w:t>
      </w:r>
      <w:r w:rsidRPr="00FD71CF">
        <w:rPr>
          <w:rFonts w:hint="eastAsia"/>
          <w:u w:val="single"/>
          <w:lang w:eastAsia="zh-CN"/>
        </w:rPr>
        <w:t xml:space="preserve"> Truncation Type field </w:t>
      </w:r>
      <w:r>
        <w:rPr>
          <w:rFonts w:hint="eastAsia"/>
          <w:u w:val="single"/>
          <w:lang w:eastAsia="zh-CN"/>
        </w:rPr>
        <w:t xml:space="preserve">is </w:t>
      </w:r>
      <w:r w:rsidRPr="00FD71CF">
        <w:rPr>
          <w:rFonts w:hint="eastAsia"/>
          <w:u w:val="single"/>
          <w:lang w:eastAsia="zh-CN"/>
        </w:rPr>
        <w:t xml:space="preserve">set to </w:t>
      </w:r>
      <w:r>
        <w:rPr>
          <w:rFonts w:hint="eastAsia"/>
          <w:u w:val="single"/>
          <w:lang w:eastAsia="zh-CN"/>
        </w:rPr>
        <w:t>zero</w:t>
      </w:r>
      <w:r w:rsidRPr="00FD71CF">
        <w:rPr>
          <w:rFonts w:hint="eastAsia"/>
          <w:u w:val="single"/>
          <w:lang w:eastAsia="zh-CN"/>
        </w:rPr>
        <w:t xml:space="preserve"> </w:t>
      </w:r>
      <w:r w:rsidRPr="00FD71CF">
        <w:rPr>
          <w:u w:val="single"/>
          <w:lang w:eastAsia="zh-CN"/>
        </w:rPr>
        <w:t>(8.4.2.134)</w:t>
      </w:r>
      <w:r>
        <w:rPr>
          <w:rFonts w:hint="eastAsia"/>
          <w:lang w:eastAsia="zh-CN"/>
        </w:rPr>
        <w:t xml:space="preserve">. </w:t>
      </w:r>
      <w:r>
        <w:rPr>
          <w:lang w:eastAsia="zh-CN"/>
        </w:rPr>
        <w:t>The availability of the PCP during a CBAP in the Awake BI shall be announced by setting the</w:t>
      </w:r>
      <w:r>
        <w:rPr>
          <w:rFonts w:hint="eastAsia"/>
          <w:lang w:eastAsia="zh-CN"/>
        </w:rPr>
        <w:t xml:space="preserve"> </w:t>
      </w:r>
      <w:r>
        <w:rPr>
          <w:lang w:eastAsia="zh-CN"/>
        </w:rPr>
        <w:t>PCP Active subfield within the Allocation Control field to one for a CBAP allocation made through the</w:t>
      </w:r>
      <w:r>
        <w:rPr>
          <w:rFonts w:hint="eastAsia"/>
          <w:lang w:eastAsia="zh-CN"/>
        </w:rPr>
        <w:t xml:space="preserve"> </w:t>
      </w:r>
      <w:r>
        <w:rPr>
          <w:lang w:eastAsia="zh-CN"/>
        </w:rPr>
        <w:t>Extended Schedule element.</w:t>
      </w:r>
    </w:p>
    <w:p w:rsidR="00F800DE" w:rsidRPr="005F5253" w:rsidRDefault="00F800DE" w:rsidP="00F800DE">
      <w:pPr>
        <w:spacing w:line="240" w:lineRule="atLeast"/>
        <w:jc w:val="both"/>
        <w:rPr>
          <w:rFonts w:ascii="Arial" w:hAnsi="Arial"/>
          <w:color w:val="000000"/>
          <w:sz w:val="24"/>
          <w:szCs w:val="24"/>
          <w:lang w:eastAsia="zh-CN"/>
        </w:rPr>
      </w:pPr>
    </w:p>
    <w:p w:rsidR="00F800DE" w:rsidRDefault="00F800DE" w:rsidP="00EA2D6E">
      <w:pPr>
        <w:spacing w:line="240" w:lineRule="atLeast"/>
        <w:jc w:val="both"/>
        <w:rPr>
          <w:rFonts w:ascii="Arial" w:hAnsi="Arial"/>
          <w:color w:val="000000"/>
          <w:sz w:val="24"/>
          <w:szCs w:val="24"/>
          <w:lang w:eastAsia="zh-CN"/>
        </w:rPr>
      </w:pPr>
    </w:p>
    <w:sectPr w:rsidR="00F800DE"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D0F" w:rsidRDefault="00EF4D0F">
      <w:r>
        <w:separator/>
      </w:r>
    </w:p>
  </w:endnote>
  <w:endnote w:type="continuationSeparator" w:id="1">
    <w:p w:rsidR="00EF4D0F" w:rsidRDefault="00EF4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a3"/>
      <w:tabs>
        <w:tab w:val="clear" w:pos="6480"/>
        <w:tab w:val="center" w:pos="4680"/>
        <w:tab w:val="right" w:pos="9360"/>
      </w:tabs>
      <w:rPr>
        <w:lang w:eastAsia="zh-CN"/>
      </w:rPr>
    </w:pPr>
    <w:r>
      <w:tab/>
    </w:r>
    <w:r w:rsidR="00D55629">
      <w:t>P</w:t>
    </w:r>
    <w:r>
      <w:t xml:space="preserve">age </w:t>
    </w:r>
    <w:r w:rsidR="00F304F2">
      <w:fldChar w:fldCharType="begin"/>
    </w:r>
    <w:r>
      <w:instrText xml:space="preserve">page </w:instrText>
    </w:r>
    <w:r w:rsidR="00F304F2">
      <w:fldChar w:fldCharType="separate"/>
    </w:r>
    <w:r w:rsidR="00144B3C">
      <w:rPr>
        <w:noProof/>
      </w:rPr>
      <w:t>1</w:t>
    </w:r>
    <w:r w:rsidR="00F304F2">
      <w:fldChar w:fldCharType="end"/>
    </w:r>
    <w:r>
      <w:tab/>
    </w:r>
    <w:r w:rsidR="00DC12FE">
      <w:t xml:space="preserve"> </w:t>
    </w:r>
    <w:r w:rsidR="00363951">
      <w:rPr>
        <w:rFonts w:hint="eastAsia"/>
        <w:lang w:eastAsia="zh-CN"/>
      </w:rPr>
      <w:t>Dejian Li</w:t>
    </w:r>
    <w:r w:rsidR="00D55629">
      <w:t xml:space="preserve"> </w:t>
    </w:r>
    <w:r w:rsidR="00DC12FE">
      <w:t xml:space="preserve">et al, </w:t>
    </w:r>
    <w:r w:rsidR="00363951">
      <w:rPr>
        <w:rFonts w:hint="eastAsia"/>
        <w:lang w:eastAsia="zh-CN"/>
      </w:rPr>
      <w:t>Huawei</w:t>
    </w:r>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D0F" w:rsidRDefault="00EF4D0F">
      <w:r>
        <w:separator/>
      </w:r>
    </w:p>
  </w:footnote>
  <w:footnote w:type="continuationSeparator" w:id="1">
    <w:p w:rsidR="00EF4D0F" w:rsidRDefault="00EF4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A02489">
    <w:pPr>
      <w:pStyle w:val="a4"/>
      <w:tabs>
        <w:tab w:val="clear" w:pos="6480"/>
        <w:tab w:val="center" w:pos="4680"/>
        <w:tab w:val="right" w:pos="9360"/>
      </w:tabs>
      <w:rPr>
        <w:lang w:eastAsia="zh-CN"/>
      </w:rPr>
    </w:pPr>
    <w:r>
      <w:t>May</w:t>
    </w:r>
    <w:r w:rsidR="009C1614">
      <w:t xml:space="preserve"> 2014</w:t>
    </w:r>
    <w:r w:rsidR="00DD1797">
      <w:tab/>
    </w:r>
    <w:r w:rsidR="00DD1797">
      <w:tab/>
    </w:r>
    <w:fldSimple w:instr=" TITLE  \* MERGEFORMAT ">
      <w:r w:rsidR="009C1614">
        <w:t>doc.: IEEE 802.11-1</w:t>
      </w:r>
      <w:r w:rsidR="00D55629">
        <w:t>4</w:t>
      </w:r>
      <w:r w:rsidR="009C1614">
        <w:t>/</w:t>
      </w:r>
      <w:r w:rsidR="00344194">
        <w:t>0</w:t>
      </w:r>
      <w:r w:rsidR="00AA4757">
        <w:rPr>
          <w:rFonts w:hint="eastAsia"/>
          <w:lang w:eastAsia="zh-CN"/>
        </w:rPr>
        <w:t>71</w:t>
      </w:r>
      <w:r w:rsidR="00344194">
        <w:t>8</w:t>
      </w:r>
      <w:r w:rsidR="009C1614">
        <w:t>r</w:t>
      </w:r>
    </w:fldSimple>
    <w:r w:rsidR="00AA4757">
      <w:rPr>
        <w:rFonts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956C21"/>
    <w:multiLevelType w:val="multilevel"/>
    <w:tmpl w:val="6388C8C8"/>
    <w:lvl w:ilvl="0">
      <w:start w:val="1"/>
      <w:numFmt w:val="decimal"/>
      <w:pStyle w:val="IEEEStdsLevel1Header"/>
      <w:lvlText w:val="%1."/>
      <w:lvlJc w:val="left"/>
      <w:pPr>
        <w:tabs>
          <w:tab w:val="num" w:pos="432"/>
        </w:tabs>
        <w:ind w:left="432" w:hanging="432"/>
      </w:pPr>
      <w:rPr>
        <w:rFonts w:hint="eastAsia"/>
        <w:b/>
        <w:i w:val="0"/>
        <w:caps w:val="0"/>
        <w:strike w:val="0"/>
        <w:dstrike w:val="0"/>
        <w:outline w:val="0"/>
        <w:shadow w:val="0"/>
        <w:emboss w:val="0"/>
        <w:imprint w:val="0"/>
        <w:vanish w:val="0"/>
        <w:sz w:val="32"/>
        <w:vertAlign w:val="baseline"/>
      </w:rPr>
    </w:lvl>
    <w:lvl w:ilvl="1">
      <w:start w:val="4"/>
      <w:numFmt w:val="decimal"/>
      <w:pStyle w:val="IEEEStdsLevel2Header"/>
      <w:lvlText w:val="%1.%2"/>
      <w:lvlJc w:val="left"/>
      <w:pPr>
        <w:tabs>
          <w:tab w:val="num" w:pos="576"/>
        </w:tabs>
        <w:ind w:left="576" w:hanging="576"/>
      </w:pPr>
      <w:rPr>
        <w:rFonts w:hint="eastAsia"/>
        <w:b/>
        <w:i w:val="0"/>
        <w:caps w:val="0"/>
        <w:strike w:val="0"/>
        <w:dstrike w:val="0"/>
        <w:outline w:val="0"/>
        <w:shadow w:val="0"/>
        <w:emboss w:val="0"/>
        <w:imprint w:val="0"/>
        <w:vanish w:val="0"/>
        <w:sz w:val="22"/>
        <w:u w:val="none"/>
        <w:vertAlign w:val="baseline"/>
      </w:rPr>
    </w:lvl>
    <w:lvl w:ilvl="2">
      <w:start w:val="1"/>
      <w:numFmt w:val="decimal"/>
      <w:pStyle w:val="IEEEStdsLevel3Header"/>
      <w:lvlText w:val="%1.%2.%3"/>
      <w:lvlJc w:val="left"/>
      <w:pPr>
        <w:tabs>
          <w:tab w:val="num" w:pos="720"/>
        </w:tabs>
        <w:ind w:left="720" w:hanging="720"/>
      </w:pPr>
      <w:rPr>
        <w:rFonts w:hint="eastAsia"/>
        <w:b/>
        <w:i w:val="0"/>
        <w:caps w:val="0"/>
        <w:strike w:val="0"/>
        <w:dstrike w:val="0"/>
        <w:outline w:val="0"/>
        <w:shadow w:val="0"/>
        <w:emboss w:val="0"/>
        <w:imprint w:val="0"/>
        <w:vanish w:val="0"/>
        <w:sz w:val="24"/>
        <w:vertAlign w:val="baseline"/>
      </w:rPr>
    </w:lvl>
    <w:lvl w:ilvl="3">
      <w:start w:val="1"/>
      <w:numFmt w:val="decimal"/>
      <w:pStyle w:val="IEEEStdsLevel4Header"/>
      <w:lvlText w:val="%1.%2.%3.%4"/>
      <w:lvlJc w:val="left"/>
      <w:pPr>
        <w:tabs>
          <w:tab w:val="num" w:pos="864"/>
        </w:tabs>
        <w:ind w:left="864" w:hanging="864"/>
      </w:pPr>
      <w:rPr>
        <w:rFonts w:hint="eastAsia"/>
        <w:b/>
        <w:i w:val="0"/>
        <w:caps w:val="0"/>
        <w:strike w:val="0"/>
        <w:dstrike w:val="0"/>
        <w:outline w:val="0"/>
        <w:shadow w:val="0"/>
        <w:emboss w:val="0"/>
        <w:imprint w:val="0"/>
        <w:vanish w:val="0"/>
        <w:sz w:val="22"/>
        <w:vertAlign w:val="baseline"/>
        <w:lang w:val="en-US"/>
      </w:rPr>
    </w:lvl>
    <w:lvl w:ilvl="4">
      <w:start w:val="1"/>
      <w:numFmt w:val="decimal"/>
      <w:pStyle w:val="IEEEStdsLevel5Header"/>
      <w:lvlText w:val="%1.%2.%3.%4.%5"/>
      <w:lvlJc w:val="left"/>
      <w:pPr>
        <w:tabs>
          <w:tab w:val="num" w:pos="1008"/>
        </w:tabs>
        <w:ind w:left="1008" w:hanging="1008"/>
      </w:pPr>
      <w:rPr>
        <w:rFonts w:hint="eastAsia"/>
        <w:b/>
        <w:i w:val="0"/>
        <w:caps w:val="0"/>
        <w:strike w:val="0"/>
        <w:dstrike w:val="0"/>
        <w:outline w:val="0"/>
        <w:shadow w:val="0"/>
        <w:emboss w:val="0"/>
        <w:imprint w:val="0"/>
        <w:vanish w:val="0"/>
        <w:sz w:val="20"/>
        <w:vertAlign w:val="baseline"/>
      </w:rPr>
    </w:lvl>
    <w:lvl w:ilvl="5">
      <w:start w:val="1"/>
      <w:numFmt w:val="decimal"/>
      <w:lvlText w:val="%1.%2.%3.%4.%5.%6"/>
      <w:lvlJc w:val="left"/>
      <w:pPr>
        <w:tabs>
          <w:tab w:val="num" w:pos="1152"/>
        </w:tabs>
        <w:ind w:left="1152" w:hanging="1152"/>
      </w:pPr>
      <w:rPr>
        <w:rFonts w:hint="eastAsia"/>
        <w:b/>
        <w:i w:val="0"/>
        <w:caps w:val="0"/>
        <w:strike w:val="0"/>
        <w:dstrike w:val="0"/>
        <w:outline w:val="0"/>
        <w:shadow w:val="0"/>
        <w:emboss w:val="0"/>
        <w:imprint w:val="0"/>
        <w:vanish w:val="0"/>
        <w:sz w:val="20"/>
        <w:vertAlign w:val="baseline"/>
      </w:rPr>
    </w:lvl>
    <w:lvl w:ilvl="6">
      <w:start w:val="1"/>
      <w:numFmt w:val="decimal"/>
      <w:lvlText w:val="%1.%2.%3.%4.%5.%6.%7"/>
      <w:lvlJc w:val="left"/>
      <w:pPr>
        <w:tabs>
          <w:tab w:val="num" w:pos="1296"/>
        </w:tabs>
        <w:ind w:left="1296" w:hanging="1296"/>
      </w:pPr>
      <w:rPr>
        <w:rFonts w:hint="eastAsia"/>
        <w:b/>
        <w:i w:val="0"/>
        <w:caps w:val="0"/>
        <w:strike w:val="0"/>
        <w:dstrike w:val="0"/>
        <w:outline w:val="0"/>
        <w:shadow w:val="0"/>
        <w:emboss w:val="0"/>
        <w:imprint w:val="0"/>
        <w:vanish w:val="0"/>
        <w:sz w:val="20"/>
        <w:vertAlign w:val="baseline"/>
      </w:rPr>
    </w:lvl>
    <w:lvl w:ilvl="7">
      <w:start w:val="1"/>
      <w:numFmt w:val="decimal"/>
      <w:lvlText w:val="%1.%2.%3.%4.%5.%6.%7.%8"/>
      <w:lvlJc w:val="left"/>
      <w:pPr>
        <w:tabs>
          <w:tab w:val="num" w:pos="1440"/>
        </w:tabs>
        <w:ind w:left="1440" w:hanging="1440"/>
      </w:pPr>
      <w:rPr>
        <w:rFonts w:hint="eastAsia"/>
        <w:b/>
        <w:i w:val="0"/>
        <w:caps w:val="0"/>
        <w:strike w:val="0"/>
        <w:dstrike w:val="0"/>
        <w:outline w:val="0"/>
        <w:shadow w:val="0"/>
        <w:emboss w:val="0"/>
        <w:imprint w:val="0"/>
        <w:vanish w:val="0"/>
        <w:sz w:val="20"/>
        <w:vertAlign w:val="baseline"/>
      </w:rPr>
    </w:lvl>
    <w:lvl w:ilvl="8">
      <w:start w:val="1"/>
      <w:numFmt w:val="decimal"/>
      <w:lvlText w:val="%1.%2.%3.%4.%5.%6.%7.%8.%9"/>
      <w:lvlJc w:val="left"/>
      <w:pPr>
        <w:tabs>
          <w:tab w:val="num" w:pos="1584"/>
        </w:tabs>
        <w:ind w:left="1584" w:hanging="1584"/>
      </w:pPr>
      <w:rPr>
        <w:rFonts w:hint="eastAsia"/>
        <w:b/>
        <w:i w:val="0"/>
        <w:caps w:val="0"/>
        <w:strike w:val="0"/>
        <w:dstrike w:val="0"/>
        <w:outline w:val="0"/>
        <w:shadow w:val="0"/>
        <w:emboss w:val="0"/>
        <w:imprint w:val="0"/>
        <w:vanish w:val="0"/>
        <w:sz w:val="20"/>
        <w:vertAlign w:val="baseline"/>
      </w:rPr>
    </w:lvl>
  </w:abstractNum>
  <w:abstractNum w:abstractNumId="12">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8"/>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0"/>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9"/>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3"/>
  </w:num>
  <w:num w:numId="104">
    <w:abstractNumId w:val="6"/>
  </w:num>
  <w:num w:numId="105">
    <w:abstractNumId w:val="11"/>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0178"/>
  </w:hdrShapeDefaults>
  <w:footnotePr>
    <w:footnote w:id="0"/>
    <w:footnote w:id="1"/>
  </w:footnotePr>
  <w:endnotePr>
    <w:endnote w:id="0"/>
    <w:endnote w:id="1"/>
  </w:endnotePr>
  <w:compat>
    <w:useFELayout/>
  </w:compat>
  <w:rsids>
    <w:rsidRoot w:val="004454A0"/>
    <w:rsid w:val="000006A2"/>
    <w:rsid w:val="0000362F"/>
    <w:rsid w:val="00010E5F"/>
    <w:rsid w:val="00011CB4"/>
    <w:rsid w:val="0001222D"/>
    <w:rsid w:val="000165E3"/>
    <w:rsid w:val="000233A5"/>
    <w:rsid w:val="00025C14"/>
    <w:rsid w:val="0003125A"/>
    <w:rsid w:val="00032647"/>
    <w:rsid w:val="00043202"/>
    <w:rsid w:val="000654E2"/>
    <w:rsid w:val="0007241C"/>
    <w:rsid w:val="000744A0"/>
    <w:rsid w:val="000934A3"/>
    <w:rsid w:val="000A09EB"/>
    <w:rsid w:val="000A3AAB"/>
    <w:rsid w:val="000B46C2"/>
    <w:rsid w:val="000B4A51"/>
    <w:rsid w:val="000B53CB"/>
    <w:rsid w:val="000C66E2"/>
    <w:rsid w:val="000C732A"/>
    <w:rsid w:val="000D6840"/>
    <w:rsid w:val="000F3DCF"/>
    <w:rsid w:val="001033F6"/>
    <w:rsid w:val="0010732A"/>
    <w:rsid w:val="001150CE"/>
    <w:rsid w:val="001165F3"/>
    <w:rsid w:val="00120485"/>
    <w:rsid w:val="0012272B"/>
    <w:rsid w:val="001271E6"/>
    <w:rsid w:val="00127BEA"/>
    <w:rsid w:val="00133855"/>
    <w:rsid w:val="001369DA"/>
    <w:rsid w:val="00144B3C"/>
    <w:rsid w:val="00145B4C"/>
    <w:rsid w:val="00167D8A"/>
    <w:rsid w:val="001862BC"/>
    <w:rsid w:val="001922D4"/>
    <w:rsid w:val="00193352"/>
    <w:rsid w:val="00195B25"/>
    <w:rsid w:val="00196337"/>
    <w:rsid w:val="001A55D2"/>
    <w:rsid w:val="001A718F"/>
    <w:rsid w:val="001A753E"/>
    <w:rsid w:val="001D723B"/>
    <w:rsid w:val="001E6749"/>
    <w:rsid w:val="001F29F5"/>
    <w:rsid w:val="001F3FC0"/>
    <w:rsid w:val="002056D8"/>
    <w:rsid w:val="00205C33"/>
    <w:rsid w:val="00211279"/>
    <w:rsid w:val="002207E2"/>
    <w:rsid w:val="002235E8"/>
    <w:rsid w:val="00223F31"/>
    <w:rsid w:val="00224081"/>
    <w:rsid w:val="00232E29"/>
    <w:rsid w:val="00234EB0"/>
    <w:rsid w:val="002447E4"/>
    <w:rsid w:val="002452DE"/>
    <w:rsid w:val="00245FF9"/>
    <w:rsid w:val="00246E5D"/>
    <w:rsid w:val="00251BF4"/>
    <w:rsid w:val="002566CA"/>
    <w:rsid w:val="002567EF"/>
    <w:rsid w:val="00260E7D"/>
    <w:rsid w:val="00270963"/>
    <w:rsid w:val="0029020B"/>
    <w:rsid w:val="00293C60"/>
    <w:rsid w:val="002A1858"/>
    <w:rsid w:val="002A2466"/>
    <w:rsid w:val="002A628E"/>
    <w:rsid w:val="002C0D0D"/>
    <w:rsid w:val="002D44BE"/>
    <w:rsid w:val="002D5716"/>
    <w:rsid w:val="002E0D3F"/>
    <w:rsid w:val="002E6192"/>
    <w:rsid w:val="002E6EF8"/>
    <w:rsid w:val="002E7D1E"/>
    <w:rsid w:val="00302A55"/>
    <w:rsid w:val="0030669A"/>
    <w:rsid w:val="00313F6B"/>
    <w:rsid w:val="0031725D"/>
    <w:rsid w:val="0032683C"/>
    <w:rsid w:val="003326A7"/>
    <w:rsid w:val="00334570"/>
    <w:rsid w:val="003425BD"/>
    <w:rsid w:val="00344194"/>
    <w:rsid w:val="00345504"/>
    <w:rsid w:val="00346A95"/>
    <w:rsid w:val="00347DC8"/>
    <w:rsid w:val="00363951"/>
    <w:rsid w:val="00392E95"/>
    <w:rsid w:val="003933E7"/>
    <w:rsid w:val="00394570"/>
    <w:rsid w:val="003A19FC"/>
    <w:rsid w:val="003A49E2"/>
    <w:rsid w:val="003B6B82"/>
    <w:rsid w:val="003C6D9A"/>
    <w:rsid w:val="003E6194"/>
    <w:rsid w:val="003F01F4"/>
    <w:rsid w:val="003F4CAC"/>
    <w:rsid w:val="003F6CC2"/>
    <w:rsid w:val="0040207B"/>
    <w:rsid w:val="00414005"/>
    <w:rsid w:val="00421378"/>
    <w:rsid w:val="00422566"/>
    <w:rsid w:val="0042604D"/>
    <w:rsid w:val="00426752"/>
    <w:rsid w:val="00432C9A"/>
    <w:rsid w:val="004377FA"/>
    <w:rsid w:val="00442037"/>
    <w:rsid w:val="004454A0"/>
    <w:rsid w:val="00446064"/>
    <w:rsid w:val="00446CF5"/>
    <w:rsid w:val="0045009D"/>
    <w:rsid w:val="004528AF"/>
    <w:rsid w:val="004611D6"/>
    <w:rsid w:val="00462695"/>
    <w:rsid w:val="00463C1C"/>
    <w:rsid w:val="00464F44"/>
    <w:rsid w:val="004718D4"/>
    <w:rsid w:val="0049528E"/>
    <w:rsid w:val="004972D2"/>
    <w:rsid w:val="004A1546"/>
    <w:rsid w:val="004C2CAA"/>
    <w:rsid w:val="004C5EFF"/>
    <w:rsid w:val="004C7FCE"/>
    <w:rsid w:val="004D3726"/>
    <w:rsid w:val="004E3B12"/>
    <w:rsid w:val="004E5C23"/>
    <w:rsid w:val="0050016A"/>
    <w:rsid w:val="00501000"/>
    <w:rsid w:val="00502761"/>
    <w:rsid w:val="00504DC3"/>
    <w:rsid w:val="00510128"/>
    <w:rsid w:val="00513495"/>
    <w:rsid w:val="00513A4C"/>
    <w:rsid w:val="005218B6"/>
    <w:rsid w:val="0052217D"/>
    <w:rsid w:val="00523846"/>
    <w:rsid w:val="00526BDD"/>
    <w:rsid w:val="00551CCD"/>
    <w:rsid w:val="00560EB4"/>
    <w:rsid w:val="0056481A"/>
    <w:rsid w:val="005660E5"/>
    <w:rsid w:val="00566A4C"/>
    <w:rsid w:val="00573ABA"/>
    <w:rsid w:val="0057422F"/>
    <w:rsid w:val="00581740"/>
    <w:rsid w:val="005912EC"/>
    <w:rsid w:val="005A0340"/>
    <w:rsid w:val="005C4D96"/>
    <w:rsid w:val="005C57B0"/>
    <w:rsid w:val="005C5A83"/>
    <w:rsid w:val="005D08DE"/>
    <w:rsid w:val="005D16CE"/>
    <w:rsid w:val="005D49B6"/>
    <w:rsid w:val="005D6D1F"/>
    <w:rsid w:val="005D7A0A"/>
    <w:rsid w:val="005E2EFA"/>
    <w:rsid w:val="005E56F3"/>
    <w:rsid w:val="005E69FC"/>
    <w:rsid w:val="005F083C"/>
    <w:rsid w:val="005F3588"/>
    <w:rsid w:val="005F5021"/>
    <w:rsid w:val="005F51E6"/>
    <w:rsid w:val="005F5253"/>
    <w:rsid w:val="00612024"/>
    <w:rsid w:val="00612806"/>
    <w:rsid w:val="00620579"/>
    <w:rsid w:val="006207CE"/>
    <w:rsid w:val="006240B5"/>
    <w:rsid w:val="0062440B"/>
    <w:rsid w:val="006374CA"/>
    <w:rsid w:val="00644E13"/>
    <w:rsid w:val="00644FBB"/>
    <w:rsid w:val="006547B3"/>
    <w:rsid w:val="0065743D"/>
    <w:rsid w:val="00663BB1"/>
    <w:rsid w:val="006816EE"/>
    <w:rsid w:val="00684213"/>
    <w:rsid w:val="0068624C"/>
    <w:rsid w:val="00696216"/>
    <w:rsid w:val="006A1FF7"/>
    <w:rsid w:val="006A61A0"/>
    <w:rsid w:val="006B1B7E"/>
    <w:rsid w:val="006B24D8"/>
    <w:rsid w:val="006B7CF8"/>
    <w:rsid w:val="006C0727"/>
    <w:rsid w:val="006C1AAE"/>
    <w:rsid w:val="006C2926"/>
    <w:rsid w:val="006C4193"/>
    <w:rsid w:val="006C4A00"/>
    <w:rsid w:val="006D7080"/>
    <w:rsid w:val="006E07BA"/>
    <w:rsid w:val="006E0DCD"/>
    <w:rsid w:val="006E145F"/>
    <w:rsid w:val="006E44BF"/>
    <w:rsid w:val="006E561C"/>
    <w:rsid w:val="006E7CEE"/>
    <w:rsid w:val="006F2339"/>
    <w:rsid w:val="0070174D"/>
    <w:rsid w:val="007068F4"/>
    <w:rsid w:val="00710983"/>
    <w:rsid w:val="007121F6"/>
    <w:rsid w:val="0072755A"/>
    <w:rsid w:val="0073428B"/>
    <w:rsid w:val="00736FEE"/>
    <w:rsid w:val="00737536"/>
    <w:rsid w:val="00743A8A"/>
    <w:rsid w:val="0074452E"/>
    <w:rsid w:val="00746490"/>
    <w:rsid w:val="00752FBC"/>
    <w:rsid w:val="007655EF"/>
    <w:rsid w:val="00770572"/>
    <w:rsid w:val="00772CF4"/>
    <w:rsid w:val="00774DCF"/>
    <w:rsid w:val="00796D31"/>
    <w:rsid w:val="0079754A"/>
    <w:rsid w:val="007A0A28"/>
    <w:rsid w:val="007A7810"/>
    <w:rsid w:val="007B2B29"/>
    <w:rsid w:val="007B32FD"/>
    <w:rsid w:val="007B50E7"/>
    <w:rsid w:val="007C4A60"/>
    <w:rsid w:val="007D4420"/>
    <w:rsid w:val="007E1D81"/>
    <w:rsid w:val="007F5BE8"/>
    <w:rsid w:val="0080096E"/>
    <w:rsid w:val="00805664"/>
    <w:rsid w:val="00810426"/>
    <w:rsid w:val="00810B6F"/>
    <w:rsid w:val="008238A7"/>
    <w:rsid w:val="008254A4"/>
    <w:rsid w:val="00852B4C"/>
    <w:rsid w:val="0086775A"/>
    <w:rsid w:val="00880A68"/>
    <w:rsid w:val="00887899"/>
    <w:rsid w:val="00891DDF"/>
    <w:rsid w:val="00895547"/>
    <w:rsid w:val="00895AF9"/>
    <w:rsid w:val="008A5848"/>
    <w:rsid w:val="008B2AF5"/>
    <w:rsid w:val="008B33C1"/>
    <w:rsid w:val="008B4065"/>
    <w:rsid w:val="008B7C96"/>
    <w:rsid w:val="008C14AE"/>
    <w:rsid w:val="008C77E2"/>
    <w:rsid w:val="008E4242"/>
    <w:rsid w:val="008E43E5"/>
    <w:rsid w:val="009147AE"/>
    <w:rsid w:val="00921080"/>
    <w:rsid w:val="00925BA0"/>
    <w:rsid w:val="00957DBF"/>
    <w:rsid w:val="0096006F"/>
    <w:rsid w:val="0096046A"/>
    <w:rsid w:val="00964D96"/>
    <w:rsid w:val="00967673"/>
    <w:rsid w:val="00975A60"/>
    <w:rsid w:val="009802A8"/>
    <w:rsid w:val="00980363"/>
    <w:rsid w:val="00981AEF"/>
    <w:rsid w:val="00982B8A"/>
    <w:rsid w:val="00987B50"/>
    <w:rsid w:val="009A75F9"/>
    <w:rsid w:val="009B02BA"/>
    <w:rsid w:val="009B4171"/>
    <w:rsid w:val="009C1614"/>
    <w:rsid w:val="009C2F60"/>
    <w:rsid w:val="009D1C87"/>
    <w:rsid w:val="009D2BAF"/>
    <w:rsid w:val="009D3B32"/>
    <w:rsid w:val="00A02489"/>
    <w:rsid w:val="00A04ABC"/>
    <w:rsid w:val="00A12C2F"/>
    <w:rsid w:val="00A1625D"/>
    <w:rsid w:val="00A33A58"/>
    <w:rsid w:val="00A405B3"/>
    <w:rsid w:val="00A411DE"/>
    <w:rsid w:val="00A44F19"/>
    <w:rsid w:val="00A51653"/>
    <w:rsid w:val="00A54DE1"/>
    <w:rsid w:val="00A63216"/>
    <w:rsid w:val="00A6353F"/>
    <w:rsid w:val="00A862C7"/>
    <w:rsid w:val="00A8667F"/>
    <w:rsid w:val="00A86724"/>
    <w:rsid w:val="00A90AE9"/>
    <w:rsid w:val="00A90F71"/>
    <w:rsid w:val="00A91C76"/>
    <w:rsid w:val="00A97458"/>
    <w:rsid w:val="00AA1514"/>
    <w:rsid w:val="00AA427C"/>
    <w:rsid w:val="00AA4757"/>
    <w:rsid w:val="00AB2334"/>
    <w:rsid w:val="00AB2553"/>
    <w:rsid w:val="00AC2E78"/>
    <w:rsid w:val="00AE692D"/>
    <w:rsid w:val="00AE7C0E"/>
    <w:rsid w:val="00AF2B9F"/>
    <w:rsid w:val="00AF4C91"/>
    <w:rsid w:val="00B150A7"/>
    <w:rsid w:val="00B178B4"/>
    <w:rsid w:val="00B32A89"/>
    <w:rsid w:val="00B34F8A"/>
    <w:rsid w:val="00B4354E"/>
    <w:rsid w:val="00B6480D"/>
    <w:rsid w:val="00B82026"/>
    <w:rsid w:val="00B856A7"/>
    <w:rsid w:val="00B91D5D"/>
    <w:rsid w:val="00B93217"/>
    <w:rsid w:val="00B94713"/>
    <w:rsid w:val="00BA03BB"/>
    <w:rsid w:val="00BA0F1B"/>
    <w:rsid w:val="00BA6F78"/>
    <w:rsid w:val="00BB0A05"/>
    <w:rsid w:val="00BB5140"/>
    <w:rsid w:val="00BC382F"/>
    <w:rsid w:val="00BC4F6B"/>
    <w:rsid w:val="00BE68C2"/>
    <w:rsid w:val="00BF11C0"/>
    <w:rsid w:val="00BF23FE"/>
    <w:rsid w:val="00C0176E"/>
    <w:rsid w:val="00C03A74"/>
    <w:rsid w:val="00C166E3"/>
    <w:rsid w:val="00C25406"/>
    <w:rsid w:val="00C35BD9"/>
    <w:rsid w:val="00C46A46"/>
    <w:rsid w:val="00C46D94"/>
    <w:rsid w:val="00C70B53"/>
    <w:rsid w:val="00C83B0A"/>
    <w:rsid w:val="00C90881"/>
    <w:rsid w:val="00C97BBB"/>
    <w:rsid w:val="00CA09B2"/>
    <w:rsid w:val="00CA6258"/>
    <w:rsid w:val="00CB1D18"/>
    <w:rsid w:val="00CB4C7F"/>
    <w:rsid w:val="00CC09F1"/>
    <w:rsid w:val="00CD6BF8"/>
    <w:rsid w:val="00CD6EDC"/>
    <w:rsid w:val="00CE46A7"/>
    <w:rsid w:val="00D15A1C"/>
    <w:rsid w:val="00D315A3"/>
    <w:rsid w:val="00D376C9"/>
    <w:rsid w:val="00D42990"/>
    <w:rsid w:val="00D55629"/>
    <w:rsid w:val="00D61942"/>
    <w:rsid w:val="00D667DE"/>
    <w:rsid w:val="00D767C0"/>
    <w:rsid w:val="00D90301"/>
    <w:rsid w:val="00DA15F2"/>
    <w:rsid w:val="00DA1BE8"/>
    <w:rsid w:val="00DC12FE"/>
    <w:rsid w:val="00DC2CD0"/>
    <w:rsid w:val="00DC3A92"/>
    <w:rsid w:val="00DC3E47"/>
    <w:rsid w:val="00DC5597"/>
    <w:rsid w:val="00DC5A7B"/>
    <w:rsid w:val="00DD0F41"/>
    <w:rsid w:val="00DD1797"/>
    <w:rsid w:val="00DD2B18"/>
    <w:rsid w:val="00DD6FFE"/>
    <w:rsid w:val="00DF0F82"/>
    <w:rsid w:val="00E00A90"/>
    <w:rsid w:val="00E14476"/>
    <w:rsid w:val="00E21AC0"/>
    <w:rsid w:val="00E21E91"/>
    <w:rsid w:val="00E24B57"/>
    <w:rsid w:val="00E26732"/>
    <w:rsid w:val="00E4009B"/>
    <w:rsid w:val="00E4508E"/>
    <w:rsid w:val="00E62B94"/>
    <w:rsid w:val="00E64E73"/>
    <w:rsid w:val="00E66236"/>
    <w:rsid w:val="00E66A33"/>
    <w:rsid w:val="00E70FFF"/>
    <w:rsid w:val="00E73BDF"/>
    <w:rsid w:val="00E75E0E"/>
    <w:rsid w:val="00E84499"/>
    <w:rsid w:val="00E97EDD"/>
    <w:rsid w:val="00EA2D6E"/>
    <w:rsid w:val="00EA6C02"/>
    <w:rsid w:val="00ED488F"/>
    <w:rsid w:val="00EE0A29"/>
    <w:rsid w:val="00EE5A3B"/>
    <w:rsid w:val="00EE78E5"/>
    <w:rsid w:val="00EF0968"/>
    <w:rsid w:val="00EF24BF"/>
    <w:rsid w:val="00EF4D0F"/>
    <w:rsid w:val="00EF5FE9"/>
    <w:rsid w:val="00EF6BEC"/>
    <w:rsid w:val="00F14CC2"/>
    <w:rsid w:val="00F15F78"/>
    <w:rsid w:val="00F22DCF"/>
    <w:rsid w:val="00F25A02"/>
    <w:rsid w:val="00F304F2"/>
    <w:rsid w:val="00F345BB"/>
    <w:rsid w:val="00F37A02"/>
    <w:rsid w:val="00F401D6"/>
    <w:rsid w:val="00F407C9"/>
    <w:rsid w:val="00F43F01"/>
    <w:rsid w:val="00F45B0C"/>
    <w:rsid w:val="00F57FD0"/>
    <w:rsid w:val="00F617E4"/>
    <w:rsid w:val="00F64EF1"/>
    <w:rsid w:val="00F71674"/>
    <w:rsid w:val="00F72169"/>
    <w:rsid w:val="00F7362E"/>
    <w:rsid w:val="00F800DE"/>
    <w:rsid w:val="00F815AD"/>
    <w:rsid w:val="00F849AF"/>
    <w:rsid w:val="00F966E1"/>
    <w:rsid w:val="00FA57FA"/>
    <w:rsid w:val="00FA6365"/>
    <w:rsid w:val="00FC0DF3"/>
    <w:rsid w:val="00FC3D80"/>
    <w:rsid w:val="00FC4C5D"/>
    <w:rsid w:val="00FD62CA"/>
    <w:rsid w:val="00FD7717"/>
    <w:rsid w:val="00FE6273"/>
    <w:rsid w:val="00FF41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F82"/>
    <w:rPr>
      <w:sz w:val="22"/>
      <w:lang w:val="en-GB"/>
    </w:rPr>
  </w:style>
  <w:style w:type="paragraph" w:styleId="1">
    <w:name w:val="heading 1"/>
    <w:basedOn w:val="a"/>
    <w:next w:val="a"/>
    <w:qFormat/>
    <w:rsid w:val="00DF0F82"/>
    <w:pPr>
      <w:keepNext/>
      <w:keepLines/>
      <w:spacing w:before="320"/>
      <w:outlineLvl w:val="0"/>
    </w:pPr>
    <w:rPr>
      <w:rFonts w:ascii="Arial" w:hAnsi="Arial"/>
      <w:b/>
      <w:sz w:val="32"/>
      <w:u w:val="single"/>
    </w:rPr>
  </w:style>
  <w:style w:type="paragraph" w:styleId="2">
    <w:name w:val="heading 2"/>
    <w:basedOn w:val="a"/>
    <w:next w:val="a"/>
    <w:qFormat/>
    <w:rsid w:val="00DF0F82"/>
    <w:pPr>
      <w:keepNext/>
      <w:keepLines/>
      <w:spacing w:before="280"/>
      <w:outlineLvl w:val="1"/>
    </w:pPr>
    <w:rPr>
      <w:rFonts w:ascii="Arial" w:hAnsi="Arial"/>
      <w:b/>
      <w:sz w:val="28"/>
      <w:u w:val="single"/>
    </w:rPr>
  </w:style>
  <w:style w:type="paragraph" w:styleId="3">
    <w:name w:val="heading 3"/>
    <w:basedOn w:val="a"/>
    <w:next w:val="a"/>
    <w:qFormat/>
    <w:rsid w:val="00DF0F82"/>
    <w:pPr>
      <w:keepNext/>
      <w:keepLines/>
      <w:spacing w:before="240" w:after="60"/>
      <w:outlineLvl w:val="2"/>
    </w:pPr>
    <w:rPr>
      <w:rFonts w:ascii="Arial" w:hAnsi="Arial"/>
      <w:b/>
      <w:sz w:val="24"/>
    </w:rPr>
  </w:style>
  <w:style w:type="paragraph" w:styleId="5">
    <w:name w:val="heading 5"/>
    <w:basedOn w:val="a"/>
    <w:next w:val="a"/>
    <w:link w:val="5Char"/>
    <w:qFormat/>
    <w:rsid w:val="005F5253"/>
    <w:pPr>
      <w:spacing w:before="240" w:after="60"/>
      <w:outlineLvl w:val="4"/>
    </w:pPr>
    <w:rPr>
      <w:rFonts w:eastAsia="宋体"/>
      <w:szCs w:val="22"/>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F0F82"/>
    <w:pPr>
      <w:pBdr>
        <w:top w:val="single" w:sz="6" w:space="1" w:color="auto"/>
      </w:pBdr>
      <w:tabs>
        <w:tab w:val="center" w:pos="6480"/>
        <w:tab w:val="right" w:pos="12960"/>
      </w:tabs>
    </w:pPr>
    <w:rPr>
      <w:sz w:val="24"/>
    </w:rPr>
  </w:style>
  <w:style w:type="paragraph" w:styleId="a4">
    <w:name w:val="header"/>
    <w:basedOn w:val="a"/>
    <w:rsid w:val="00DF0F82"/>
    <w:pPr>
      <w:pBdr>
        <w:bottom w:val="single" w:sz="6" w:space="2" w:color="auto"/>
      </w:pBdr>
      <w:tabs>
        <w:tab w:val="center" w:pos="6480"/>
        <w:tab w:val="right" w:pos="12960"/>
      </w:tabs>
    </w:pPr>
    <w:rPr>
      <w:b/>
      <w:sz w:val="28"/>
    </w:rPr>
  </w:style>
  <w:style w:type="paragraph" w:customStyle="1" w:styleId="T1">
    <w:name w:val="T1"/>
    <w:basedOn w:val="a"/>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a5">
    <w:name w:val="Body Text Indent"/>
    <w:basedOn w:val="a"/>
    <w:rsid w:val="00DF0F82"/>
    <w:pPr>
      <w:ind w:left="720" w:hanging="720"/>
    </w:pPr>
  </w:style>
  <w:style w:type="character" w:styleId="a6">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a7">
    <w:name w:val="caption"/>
    <w:basedOn w:val="a"/>
    <w:next w:val="a"/>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a"/>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a8">
    <w:name w:val="Bibliography"/>
    <w:basedOn w:val="a"/>
    <w:next w:val="a"/>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a9">
    <w:name w:val="Balloon Text"/>
    <w:basedOn w:val="a"/>
    <w:link w:val="Char"/>
    <w:rsid w:val="00421378"/>
    <w:rPr>
      <w:rFonts w:ascii="Tahoma" w:hAnsi="Tahoma" w:cs="Tahoma"/>
      <w:sz w:val="16"/>
      <w:szCs w:val="16"/>
    </w:rPr>
  </w:style>
  <w:style w:type="character" w:customStyle="1" w:styleId="Char">
    <w:name w:val="批注框文本 Char"/>
    <w:basedOn w:val="a0"/>
    <w:link w:val="a9"/>
    <w:rsid w:val="00421378"/>
    <w:rPr>
      <w:rFonts w:ascii="Tahoma" w:hAnsi="Tahoma" w:cs="Tahoma"/>
      <w:sz w:val="16"/>
      <w:szCs w:val="16"/>
      <w:lang w:val="en-GB"/>
    </w:rPr>
  </w:style>
  <w:style w:type="paragraph" w:styleId="aa">
    <w:name w:val="List Paragraph"/>
    <w:basedOn w:val="a"/>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ab">
    <w:name w:val="Normal (Web)"/>
    <w:basedOn w:val="a"/>
    <w:uiPriority w:val="99"/>
    <w:unhideWhenUsed/>
    <w:rsid w:val="00C97BBB"/>
    <w:pPr>
      <w:spacing w:before="100" w:beforeAutospacing="1" w:after="100" w:afterAutospacing="1"/>
    </w:pPr>
    <w:rPr>
      <w:sz w:val="24"/>
      <w:szCs w:val="24"/>
      <w:lang w:val="en-US"/>
    </w:rPr>
  </w:style>
  <w:style w:type="character" w:styleId="ac">
    <w:name w:val="annotation reference"/>
    <w:basedOn w:val="a0"/>
    <w:rsid w:val="005C4D96"/>
    <w:rPr>
      <w:sz w:val="16"/>
      <w:szCs w:val="16"/>
    </w:rPr>
  </w:style>
  <w:style w:type="paragraph" w:styleId="ad">
    <w:name w:val="annotation text"/>
    <w:basedOn w:val="a"/>
    <w:link w:val="Char0"/>
    <w:rsid w:val="005C4D96"/>
    <w:rPr>
      <w:sz w:val="20"/>
    </w:rPr>
  </w:style>
  <w:style w:type="character" w:customStyle="1" w:styleId="Char0">
    <w:name w:val="批注文字 Char"/>
    <w:basedOn w:val="a0"/>
    <w:link w:val="ad"/>
    <w:rsid w:val="005C4D96"/>
    <w:rPr>
      <w:lang w:val="en-GB"/>
    </w:rPr>
  </w:style>
  <w:style w:type="paragraph" w:styleId="ae">
    <w:name w:val="annotation subject"/>
    <w:basedOn w:val="ad"/>
    <w:next w:val="ad"/>
    <w:link w:val="Char1"/>
    <w:rsid w:val="005C4D96"/>
    <w:rPr>
      <w:b/>
      <w:bCs/>
    </w:rPr>
  </w:style>
  <w:style w:type="character" w:customStyle="1" w:styleId="Char1">
    <w:name w:val="批注主题 Char"/>
    <w:basedOn w:val="Char0"/>
    <w:link w:val="ae"/>
    <w:rsid w:val="005C4D96"/>
    <w:rPr>
      <w:b/>
      <w:bCs/>
      <w:lang w:val="en-GB"/>
    </w:rPr>
  </w:style>
  <w:style w:type="table" w:styleId="af">
    <w:name w:val="Table Grid"/>
    <w:basedOn w:val="a1"/>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094214">
    <w:name w:val="SP.10.94214"/>
    <w:basedOn w:val="a"/>
    <w:next w:val="a"/>
    <w:uiPriority w:val="99"/>
    <w:rsid w:val="00BA6F78"/>
    <w:pPr>
      <w:autoSpaceDE w:val="0"/>
      <w:autoSpaceDN w:val="0"/>
      <w:adjustRightInd w:val="0"/>
    </w:pPr>
    <w:rPr>
      <w:rFonts w:ascii="Arial" w:hAnsi="Arial" w:cs="Arial"/>
      <w:sz w:val="24"/>
      <w:szCs w:val="24"/>
      <w:lang w:val="en-US"/>
    </w:rPr>
  </w:style>
  <w:style w:type="paragraph" w:customStyle="1" w:styleId="SP1094282">
    <w:name w:val="SP.10.94282"/>
    <w:basedOn w:val="a"/>
    <w:next w:val="a"/>
    <w:uiPriority w:val="99"/>
    <w:rsid w:val="00BA6F78"/>
    <w:pPr>
      <w:autoSpaceDE w:val="0"/>
      <w:autoSpaceDN w:val="0"/>
      <w:adjustRightInd w:val="0"/>
    </w:pPr>
    <w:rPr>
      <w:rFonts w:ascii="Arial" w:hAnsi="Arial" w:cs="Arial"/>
      <w:sz w:val="24"/>
      <w:szCs w:val="24"/>
      <w:lang w:val="en-US"/>
    </w:rPr>
  </w:style>
  <w:style w:type="paragraph" w:customStyle="1" w:styleId="SP1094245">
    <w:name w:val="SP.10.94245"/>
    <w:basedOn w:val="a"/>
    <w:next w:val="a"/>
    <w:uiPriority w:val="99"/>
    <w:rsid w:val="00BA6F78"/>
    <w:pPr>
      <w:autoSpaceDE w:val="0"/>
      <w:autoSpaceDN w:val="0"/>
      <w:adjustRightInd w:val="0"/>
    </w:pPr>
    <w:rPr>
      <w:rFonts w:ascii="Arial" w:hAnsi="Arial" w:cs="Arial"/>
      <w:sz w:val="24"/>
      <w:szCs w:val="24"/>
      <w:lang w:val="en-US"/>
    </w:rPr>
  </w:style>
  <w:style w:type="character" w:customStyle="1" w:styleId="SC10188422">
    <w:name w:val="SC.10.188422"/>
    <w:uiPriority w:val="99"/>
    <w:rsid w:val="00BA6F78"/>
    <w:rPr>
      <w:b/>
      <w:bCs/>
      <w:color w:val="000000"/>
      <w:sz w:val="20"/>
      <w:szCs w:val="20"/>
    </w:rPr>
  </w:style>
  <w:style w:type="character" w:customStyle="1" w:styleId="5Char">
    <w:name w:val="标题 5 Char"/>
    <w:basedOn w:val="a0"/>
    <w:link w:val="5"/>
    <w:rsid w:val="005F5253"/>
    <w:rPr>
      <w:rFonts w:eastAsia="宋体"/>
      <w:sz w:val="22"/>
      <w:szCs w:val="22"/>
      <w:u w:val="single"/>
    </w:rPr>
  </w:style>
  <w:style w:type="paragraph" w:customStyle="1" w:styleId="IEEEStdsLevel1Header">
    <w:name w:val="IEEEStds Level 1 Header"/>
    <w:basedOn w:val="a"/>
    <w:next w:val="a"/>
    <w:rsid w:val="005F5253"/>
    <w:pPr>
      <w:keepLines/>
      <w:numPr>
        <w:numId w:val="105"/>
      </w:numPr>
      <w:suppressAutoHyphens/>
      <w:spacing w:before="360" w:beforeAutospacing="1" w:after="240" w:afterAutospacing="1"/>
      <w:outlineLvl w:val="0"/>
    </w:pPr>
    <w:rPr>
      <w:rFonts w:ascii="Arial" w:eastAsia="宋体" w:hAnsi="Arial" w:cs="Arial"/>
      <w:b/>
      <w:bCs/>
      <w:sz w:val="32"/>
      <w:szCs w:val="24"/>
      <w:lang w:val="en-US" w:eastAsia="ja-JP" w:bidi="yi-Hebr"/>
    </w:rPr>
  </w:style>
  <w:style w:type="paragraph" w:customStyle="1" w:styleId="IEEEStdsLevel4Header">
    <w:name w:val="IEEEStds Level 4 Header"/>
    <w:basedOn w:val="IEEEStdsLevel3Header"/>
    <w:next w:val="a"/>
    <w:rsid w:val="005F5253"/>
    <w:pPr>
      <w:numPr>
        <w:ilvl w:val="3"/>
      </w:numPr>
      <w:outlineLvl w:val="3"/>
    </w:pPr>
    <w:rPr>
      <w:sz w:val="22"/>
    </w:rPr>
  </w:style>
  <w:style w:type="paragraph" w:customStyle="1" w:styleId="IEEEStdsLevel3Header">
    <w:name w:val="IEEEStds Level 3 Header"/>
    <w:basedOn w:val="IEEEStdsLevel2Header"/>
    <w:next w:val="a"/>
    <w:rsid w:val="005F5253"/>
    <w:pPr>
      <w:numPr>
        <w:ilvl w:val="2"/>
      </w:numPr>
      <w:outlineLvl w:val="2"/>
    </w:pPr>
    <w:rPr>
      <w:sz w:val="24"/>
      <w:szCs w:val="20"/>
    </w:rPr>
  </w:style>
  <w:style w:type="paragraph" w:customStyle="1" w:styleId="IEEEStdsLevel2Header">
    <w:name w:val="IEEEStds Level 2 Header"/>
    <w:basedOn w:val="IEEEStdsLevel1Header"/>
    <w:next w:val="a"/>
    <w:rsid w:val="005F5253"/>
    <w:pPr>
      <w:numPr>
        <w:ilvl w:val="1"/>
      </w:numPr>
      <w:spacing w:before="240" w:beforeAutospacing="0" w:after="120" w:afterAutospacing="0"/>
      <w:outlineLvl w:val="1"/>
    </w:pPr>
    <w:rPr>
      <w:rFonts w:eastAsia="Batang"/>
      <w:sz w:val="28"/>
      <w:szCs w:val="22"/>
      <w:lang w:val="fr-FR" w:eastAsia="ko-KR"/>
    </w:rPr>
  </w:style>
  <w:style w:type="paragraph" w:customStyle="1" w:styleId="IEEEStdsLevel5Header">
    <w:name w:val="IEEEStds Level 5 Header"/>
    <w:basedOn w:val="IEEEStdsLevel4Header"/>
    <w:next w:val="a"/>
    <w:rsid w:val="005F5253"/>
    <w:pPr>
      <w:numPr>
        <w:ilvl w:val="4"/>
      </w:numPr>
      <w:outlineLvl w:val="4"/>
    </w:pPr>
  </w:style>
  <w:style w:type="paragraph" w:customStyle="1" w:styleId="30">
    <w:name w:val="标题3"/>
    <w:basedOn w:val="a"/>
    <w:rsid w:val="005F5253"/>
    <w:pPr>
      <w:widowControl w:val="0"/>
      <w:autoSpaceDE w:val="0"/>
      <w:autoSpaceDN w:val="0"/>
      <w:adjustRightInd w:val="0"/>
      <w:spacing w:line="360" w:lineRule="auto"/>
      <w:ind w:left="1134"/>
      <w:jc w:val="both"/>
    </w:pPr>
    <w:rPr>
      <w:rFonts w:eastAsia="宋体"/>
      <w:i/>
      <w:color w:val="0000FF"/>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87117596">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04768271">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95852011">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6683494">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092315245">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02570952">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79733714">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6BDA-A97F-4EF1-A272-5EB2481E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97</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LDJ</cp:lastModifiedBy>
  <cp:revision>7</cp:revision>
  <cp:lastPrinted>2011-10-27T21:16:00Z</cp:lastPrinted>
  <dcterms:created xsi:type="dcterms:W3CDTF">2014-05-20T07:31:00Z</dcterms:created>
  <dcterms:modified xsi:type="dcterms:W3CDTF">2014-05-20T14:59:00Z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sflag">
    <vt:lpwstr>1400553196</vt:lpwstr>
  </property>
</Properties>
</file>