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8"/>
        <w:gridCol w:w="1582"/>
        <w:gridCol w:w="2662"/>
        <w:gridCol w:w="1606"/>
        <w:gridCol w:w="1908"/>
      </w:tblGrid>
      <w:tr w:rsidR="00CA09B2">
        <w:trPr>
          <w:trHeight w:val="485"/>
          <w:jc w:val="center"/>
        </w:trPr>
        <w:tc>
          <w:tcPr>
            <w:tcW w:w="9576" w:type="dxa"/>
            <w:gridSpan w:val="5"/>
            <w:vAlign w:val="center"/>
          </w:tcPr>
          <w:p w:rsidR="00CA09B2" w:rsidRDefault="009F694A" w:rsidP="009F694A">
            <w:pPr>
              <w:pStyle w:val="T2"/>
            </w:pPr>
            <w:r>
              <w:t>Miscellaneous LB189 PHY Comments</w:t>
            </w:r>
            <w:r w:rsidR="00F24CF4" w:rsidRPr="00F24CF4">
              <w:t xml:space="preserve"> </w:t>
            </w:r>
          </w:p>
        </w:tc>
      </w:tr>
      <w:tr w:rsidR="00CA09B2">
        <w:trPr>
          <w:trHeight w:val="359"/>
          <w:jc w:val="center"/>
        </w:trPr>
        <w:tc>
          <w:tcPr>
            <w:tcW w:w="9576" w:type="dxa"/>
            <w:gridSpan w:val="5"/>
            <w:vAlign w:val="center"/>
          </w:tcPr>
          <w:p w:rsidR="00CA09B2" w:rsidRDefault="00CA09B2" w:rsidP="00A37F57">
            <w:pPr>
              <w:pStyle w:val="T2"/>
              <w:ind w:left="0"/>
              <w:rPr>
                <w:sz w:val="20"/>
                <w:lang w:eastAsia="ja-JP"/>
              </w:rPr>
            </w:pPr>
            <w:r>
              <w:rPr>
                <w:sz w:val="20"/>
              </w:rPr>
              <w:t>Date:</w:t>
            </w:r>
            <w:r w:rsidR="009635A1">
              <w:rPr>
                <w:b w:val="0"/>
                <w:sz w:val="20"/>
              </w:rPr>
              <w:t xml:space="preserve">  201</w:t>
            </w:r>
            <w:r w:rsidR="00505117">
              <w:rPr>
                <w:b w:val="0"/>
                <w:sz w:val="20"/>
              </w:rPr>
              <w:t>2-11</w:t>
            </w:r>
            <w:r w:rsidR="00B33FD1">
              <w:rPr>
                <w:b w:val="0"/>
                <w:sz w:val="20"/>
              </w:rPr>
              <w:t>-</w:t>
            </w:r>
            <w:r w:rsidR="00505117">
              <w:rPr>
                <w:b w:val="0"/>
                <w:sz w:val="20"/>
              </w:rPr>
              <w:t>05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241014">
        <w:trPr>
          <w:jc w:val="center"/>
        </w:trPr>
        <w:tc>
          <w:tcPr>
            <w:tcW w:w="1818" w:type="dxa"/>
            <w:vAlign w:val="center"/>
          </w:tcPr>
          <w:p w:rsidR="00CA09B2" w:rsidRDefault="00CA09B2">
            <w:pPr>
              <w:pStyle w:val="T2"/>
              <w:spacing w:after="0"/>
              <w:ind w:left="0" w:right="0"/>
              <w:jc w:val="left"/>
              <w:rPr>
                <w:sz w:val="20"/>
              </w:rPr>
            </w:pPr>
            <w:r>
              <w:rPr>
                <w:sz w:val="20"/>
              </w:rPr>
              <w:t>Name</w:t>
            </w:r>
          </w:p>
        </w:tc>
        <w:tc>
          <w:tcPr>
            <w:tcW w:w="1582" w:type="dxa"/>
            <w:vAlign w:val="center"/>
          </w:tcPr>
          <w:p w:rsidR="00CA09B2" w:rsidRDefault="0062440B">
            <w:pPr>
              <w:pStyle w:val="T2"/>
              <w:spacing w:after="0"/>
              <w:ind w:left="0" w:right="0"/>
              <w:jc w:val="left"/>
              <w:rPr>
                <w:sz w:val="20"/>
              </w:rPr>
            </w:pPr>
            <w:r>
              <w:rPr>
                <w:sz w:val="20"/>
              </w:rPr>
              <w:t>Affiliation</w:t>
            </w:r>
          </w:p>
        </w:tc>
        <w:tc>
          <w:tcPr>
            <w:tcW w:w="2662" w:type="dxa"/>
            <w:vAlign w:val="center"/>
          </w:tcPr>
          <w:p w:rsidR="00CA09B2" w:rsidRDefault="00CA09B2">
            <w:pPr>
              <w:pStyle w:val="T2"/>
              <w:spacing w:after="0"/>
              <w:ind w:left="0" w:right="0"/>
              <w:jc w:val="left"/>
              <w:rPr>
                <w:sz w:val="20"/>
              </w:rPr>
            </w:pPr>
            <w:r>
              <w:rPr>
                <w:sz w:val="20"/>
              </w:rPr>
              <w:t>Address</w:t>
            </w:r>
          </w:p>
        </w:tc>
        <w:tc>
          <w:tcPr>
            <w:tcW w:w="1606" w:type="dxa"/>
            <w:vAlign w:val="center"/>
          </w:tcPr>
          <w:p w:rsidR="00CA09B2" w:rsidRDefault="00CA09B2">
            <w:pPr>
              <w:pStyle w:val="T2"/>
              <w:spacing w:after="0"/>
              <w:ind w:left="0" w:right="0"/>
              <w:jc w:val="left"/>
              <w:rPr>
                <w:sz w:val="20"/>
              </w:rPr>
            </w:pPr>
            <w:r>
              <w:rPr>
                <w:sz w:val="20"/>
              </w:rPr>
              <w:t>Phone</w:t>
            </w:r>
          </w:p>
        </w:tc>
        <w:tc>
          <w:tcPr>
            <w:tcW w:w="1908" w:type="dxa"/>
            <w:vAlign w:val="center"/>
          </w:tcPr>
          <w:p w:rsidR="00CA09B2" w:rsidRDefault="00CA09B2">
            <w:pPr>
              <w:pStyle w:val="T2"/>
              <w:spacing w:after="0"/>
              <w:ind w:left="0" w:right="0"/>
              <w:jc w:val="left"/>
              <w:rPr>
                <w:sz w:val="20"/>
              </w:rPr>
            </w:pPr>
            <w:r>
              <w:rPr>
                <w:sz w:val="20"/>
              </w:rPr>
              <w:t>email</w:t>
            </w:r>
          </w:p>
        </w:tc>
      </w:tr>
      <w:tr w:rsidR="00CA09B2" w:rsidTr="00241014">
        <w:trPr>
          <w:jc w:val="center"/>
        </w:trPr>
        <w:tc>
          <w:tcPr>
            <w:tcW w:w="1818" w:type="dxa"/>
            <w:vAlign w:val="center"/>
          </w:tcPr>
          <w:p w:rsidR="00CA09B2" w:rsidRDefault="00F06A08">
            <w:pPr>
              <w:pStyle w:val="T2"/>
              <w:spacing w:after="0"/>
              <w:ind w:left="0" w:right="0"/>
              <w:rPr>
                <w:b w:val="0"/>
                <w:sz w:val="20"/>
              </w:rPr>
            </w:pPr>
            <w:r>
              <w:rPr>
                <w:b w:val="0"/>
                <w:sz w:val="20"/>
              </w:rPr>
              <w:t>Vish Ponnampalam</w:t>
            </w:r>
          </w:p>
        </w:tc>
        <w:tc>
          <w:tcPr>
            <w:tcW w:w="1582" w:type="dxa"/>
            <w:vAlign w:val="center"/>
          </w:tcPr>
          <w:p w:rsidR="00CA09B2" w:rsidRDefault="00F06A08">
            <w:pPr>
              <w:pStyle w:val="T2"/>
              <w:spacing w:after="0"/>
              <w:ind w:left="0" w:right="0"/>
              <w:rPr>
                <w:b w:val="0"/>
                <w:sz w:val="20"/>
              </w:rPr>
            </w:pPr>
            <w:proofErr w:type="spellStart"/>
            <w:r>
              <w:rPr>
                <w:b w:val="0"/>
                <w:sz w:val="20"/>
              </w:rPr>
              <w:t>Mediatek</w:t>
            </w:r>
            <w:proofErr w:type="spellEnd"/>
          </w:p>
        </w:tc>
        <w:tc>
          <w:tcPr>
            <w:tcW w:w="2662" w:type="dxa"/>
            <w:vAlign w:val="center"/>
          </w:tcPr>
          <w:p w:rsidR="00CA09B2" w:rsidRDefault="00F06A08">
            <w:pPr>
              <w:pStyle w:val="T2"/>
              <w:spacing w:after="0"/>
              <w:ind w:left="0" w:right="0"/>
              <w:rPr>
                <w:b w:val="0"/>
                <w:sz w:val="20"/>
              </w:rPr>
            </w:pPr>
            <w:r>
              <w:rPr>
                <w:b w:val="0"/>
                <w:sz w:val="20"/>
              </w:rPr>
              <w:t>2860 Junction Ave, san Jose CA 95134</w:t>
            </w:r>
          </w:p>
        </w:tc>
        <w:tc>
          <w:tcPr>
            <w:tcW w:w="1606" w:type="dxa"/>
            <w:vAlign w:val="center"/>
          </w:tcPr>
          <w:p w:rsidR="00CA09B2" w:rsidRDefault="00C470CB">
            <w:pPr>
              <w:pStyle w:val="T2"/>
              <w:spacing w:after="0"/>
              <w:ind w:left="0" w:right="0"/>
              <w:rPr>
                <w:b w:val="0"/>
                <w:sz w:val="20"/>
              </w:rPr>
            </w:pPr>
            <w:r>
              <w:rPr>
                <w:b w:val="0"/>
                <w:sz w:val="20"/>
              </w:rPr>
              <w:t>+</w:t>
            </w:r>
            <w:r w:rsidR="00F06A08">
              <w:rPr>
                <w:b w:val="0"/>
                <w:sz w:val="20"/>
              </w:rPr>
              <w:t>1 408 526 1899</w:t>
            </w:r>
          </w:p>
        </w:tc>
        <w:tc>
          <w:tcPr>
            <w:tcW w:w="1908" w:type="dxa"/>
            <w:vAlign w:val="center"/>
          </w:tcPr>
          <w:p w:rsidR="00CA09B2" w:rsidRDefault="00F06A08">
            <w:pPr>
              <w:pStyle w:val="T2"/>
              <w:spacing w:after="0"/>
              <w:ind w:left="0" w:right="0"/>
              <w:rPr>
                <w:b w:val="0"/>
                <w:sz w:val="16"/>
              </w:rPr>
            </w:pPr>
            <w:r>
              <w:rPr>
                <w:b w:val="0"/>
                <w:sz w:val="16"/>
              </w:rPr>
              <w:t>vish.ponnampalam@mediatek.com</w:t>
            </w:r>
          </w:p>
        </w:tc>
      </w:tr>
      <w:tr w:rsidR="00C83392" w:rsidTr="00241014">
        <w:trPr>
          <w:jc w:val="center"/>
        </w:trPr>
        <w:tc>
          <w:tcPr>
            <w:tcW w:w="1818" w:type="dxa"/>
            <w:vAlign w:val="center"/>
          </w:tcPr>
          <w:p w:rsidR="00C83392" w:rsidRDefault="00C83392">
            <w:pPr>
              <w:pStyle w:val="T2"/>
              <w:spacing w:after="0"/>
              <w:ind w:left="0" w:right="0"/>
              <w:rPr>
                <w:b w:val="0"/>
                <w:sz w:val="20"/>
              </w:rPr>
            </w:pPr>
          </w:p>
        </w:tc>
        <w:tc>
          <w:tcPr>
            <w:tcW w:w="1582" w:type="dxa"/>
            <w:vAlign w:val="center"/>
          </w:tcPr>
          <w:p w:rsidR="00C83392" w:rsidRDefault="00C83392" w:rsidP="0090557F">
            <w:pPr>
              <w:pStyle w:val="T2"/>
              <w:spacing w:after="0"/>
              <w:ind w:left="0" w:right="0"/>
              <w:rPr>
                <w:b w:val="0"/>
                <w:sz w:val="20"/>
              </w:rPr>
            </w:pPr>
          </w:p>
        </w:tc>
        <w:tc>
          <w:tcPr>
            <w:tcW w:w="2662" w:type="dxa"/>
            <w:vAlign w:val="center"/>
          </w:tcPr>
          <w:p w:rsidR="00C83392" w:rsidRDefault="00C83392" w:rsidP="0090557F">
            <w:pPr>
              <w:pStyle w:val="T2"/>
              <w:spacing w:after="0"/>
              <w:ind w:left="0" w:right="0"/>
              <w:rPr>
                <w:b w:val="0"/>
                <w:sz w:val="20"/>
              </w:rPr>
            </w:pPr>
          </w:p>
        </w:tc>
        <w:tc>
          <w:tcPr>
            <w:tcW w:w="1606" w:type="dxa"/>
            <w:vAlign w:val="center"/>
          </w:tcPr>
          <w:p w:rsidR="00C83392" w:rsidRDefault="00C83392" w:rsidP="0090557F">
            <w:pPr>
              <w:pStyle w:val="T2"/>
              <w:spacing w:after="0"/>
              <w:ind w:left="0" w:right="0"/>
              <w:rPr>
                <w:b w:val="0"/>
                <w:sz w:val="20"/>
              </w:rPr>
            </w:pPr>
          </w:p>
        </w:tc>
        <w:tc>
          <w:tcPr>
            <w:tcW w:w="1908" w:type="dxa"/>
            <w:vAlign w:val="center"/>
          </w:tcPr>
          <w:p w:rsidR="00C83392" w:rsidRDefault="00C83392" w:rsidP="0090557F">
            <w:pPr>
              <w:pStyle w:val="T2"/>
              <w:spacing w:after="0"/>
              <w:ind w:left="0" w:right="0"/>
              <w:rPr>
                <w:b w:val="0"/>
                <w:sz w:val="16"/>
              </w:rPr>
            </w:pPr>
          </w:p>
        </w:tc>
      </w:tr>
    </w:tbl>
    <w:p w:rsidR="00CA09B2" w:rsidRDefault="00AA5C5E">
      <w:pPr>
        <w:pStyle w:val="T1"/>
        <w:spacing w:after="120"/>
        <w:rPr>
          <w:sz w:val="22"/>
        </w:rPr>
      </w:pPr>
      <w:r w:rsidRPr="00AA5C5E">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E16C90" w:rsidRDefault="00E16C90">
                  <w:pPr>
                    <w:pStyle w:val="T1"/>
                    <w:spacing w:after="120"/>
                  </w:pPr>
                  <w:r>
                    <w:t>Abstract</w:t>
                  </w:r>
                </w:p>
                <w:p w:rsidR="00E16C90" w:rsidRDefault="00E16C90" w:rsidP="005E3B65">
                  <w:pPr>
                    <w:jc w:val="both"/>
                  </w:pPr>
                  <w:r>
                    <w:t>This document proposes resolutions to miscellaneous LB189 CIDs assigned to the author.</w:t>
                  </w:r>
                </w:p>
                <w:p w:rsidR="00E16C90" w:rsidRDefault="00E16C90">
                  <w:pPr>
                    <w:jc w:val="both"/>
                  </w:pPr>
                </w:p>
              </w:txbxContent>
            </v:textbox>
          </v:shape>
        </w:pict>
      </w:r>
    </w:p>
    <w:p w:rsidR="003C1C98" w:rsidRDefault="00CA09B2" w:rsidP="00F06A08">
      <w:pPr>
        <w:pStyle w:val="Heading2"/>
      </w:pPr>
      <w:r>
        <w:br w:type="page"/>
      </w:r>
    </w:p>
    <w:p w:rsidR="00CE75A4" w:rsidRDefault="00CE75A4" w:rsidP="003043A6">
      <w:pPr>
        <w:rPr>
          <w:lang w:val="en-US"/>
        </w:rPr>
      </w:pPr>
    </w:p>
    <w:tbl>
      <w:tblPr>
        <w:tblW w:w="89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1217"/>
        <w:gridCol w:w="1050"/>
        <w:gridCol w:w="907"/>
        <w:gridCol w:w="2622"/>
        <w:gridCol w:w="2580"/>
      </w:tblGrid>
      <w:tr w:rsidR="00DE59D6" w:rsidRPr="00DE59D6" w:rsidTr="00E16C90">
        <w:trPr>
          <w:trHeight w:val="2040"/>
        </w:trPr>
        <w:tc>
          <w:tcPr>
            <w:tcW w:w="593" w:type="dxa"/>
            <w:shd w:val="clear" w:color="auto" w:fill="auto"/>
            <w:hideMark/>
          </w:tcPr>
          <w:p w:rsidR="00DE59D6" w:rsidRPr="00DE59D6" w:rsidRDefault="00DE59D6" w:rsidP="00E16C90">
            <w:pPr>
              <w:jc w:val="right"/>
              <w:rPr>
                <w:rFonts w:ascii="Arial" w:eastAsia="Times New Roman" w:hAnsi="Arial" w:cs="Arial"/>
                <w:sz w:val="20"/>
                <w:lang w:val="en-US"/>
              </w:rPr>
            </w:pPr>
            <w:r w:rsidRPr="00DE59D6">
              <w:rPr>
                <w:rFonts w:ascii="Arial" w:eastAsia="Times New Roman" w:hAnsi="Arial" w:cs="Arial"/>
                <w:sz w:val="20"/>
                <w:lang w:val="en-US"/>
              </w:rPr>
              <w:t>389</w:t>
            </w:r>
          </w:p>
        </w:tc>
        <w:tc>
          <w:tcPr>
            <w:tcW w:w="1217"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23.3.8.1.1</w:t>
            </w:r>
          </w:p>
        </w:tc>
        <w:tc>
          <w:tcPr>
            <w:tcW w:w="1050"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T</w:t>
            </w:r>
          </w:p>
        </w:tc>
        <w:tc>
          <w:tcPr>
            <w:tcW w:w="907" w:type="dxa"/>
            <w:shd w:val="clear" w:color="auto" w:fill="auto"/>
            <w:hideMark/>
          </w:tcPr>
          <w:p w:rsidR="00DE59D6" w:rsidRPr="00DE59D6" w:rsidRDefault="00DE59D6" w:rsidP="00E16C90">
            <w:pPr>
              <w:jc w:val="right"/>
              <w:rPr>
                <w:rFonts w:ascii="Arial" w:eastAsia="Times New Roman" w:hAnsi="Arial" w:cs="Arial"/>
                <w:sz w:val="20"/>
                <w:lang w:val="en-US"/>
              </w:rPr>
            </w:pPr>
            <w:r w:rsidRPr="00DE59D6">
              <w:rPr>
                <w:rFonts w:ascii="Arial" w:eastAsia="Times New Roman" w:hAnsi="Arial" w:cs="Arial"/>
                <w:sz w:val="20"/>
                <w:lang w:val="en-US"/>
              </w:rPr>
              <w:t>241.62</w:t>
            </w:r>
          </w:p>
        </w:tc>
        <w:tc>
          <w:tcPr>
            <w:tcW w:w="2622"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 xml:space="preserve">"The correction factor for transmissions over 6 MHz and </w:t>
            </w:r>
            <w:proofErr w:type="gramStart"/>
            <w:r w:rsidRPr="00DE59D6">
              <w:rPr>
                <w:rFonts w:ascii="Arial" w:eastAsia="Times New Roman" w:hAnsi="Arial" w:cs="Arial"/>
                <w:sz w:val="20"/>
                <w:lang w:val="en-US"/>
              </w:rPr>
              <w:t>7 MHz channels is</w:t>
            </w:r>
            <w:proofErr w:type="gramEnd"/>
            <w:r w:rsidRPr="00DE59D6">
              <w:rPr>
                <w:rFonts w:ascii="Arial" w:eastAsia="Times New Roman" w:hAnsi="Arial" w:cs="Arial"/>
                <w:sz w:val="20"/>
                <w:lang w:val="en-US"/>
              </w:rPr>
              <w:t xml:space="preserve"> 7.5.</w:t>
            </w:r>
            <w:r w:rsidRPr="00DE59D6">
              <w:rPr>
                <w:rFonts w:ascii="Arial" w:eastAsia="Times New Roman" w:hAnsi="Arial" w:cs="Arial"/>
                <w:sz w:val="20"/>
                <w:lang w:val="en-US"/>
              </w:rPr>
              <w:br/>
            </w:r>
            <w:r w:rsidRPr="00DE59D6">
              <w:rPr>
                <w:rFonts w:ascii="Arial" w:eastAsia="Times New Roman" w:hAnsi="Arial" w:cs="Arial"/>
                <w:sz w:val="20"/>
                <w:lang w:val="en-US"/>
              </w:rPr>
              <w:br/>
              <w:t xml:space="preserve">The correction factor for transmissions over 8 MHz channels is 5.625." should be "The multiplicative correction </w:t>
            </w:r>
            <w:proofErr w:type="gramStart"/>
            <w:r w:rsidRPr="00DE59D6">
              <w:rPr>
                <w:rFonts w:ascii="Arial" w:eastAsia="Times New Roman" w:hAnsi="Arial" w:cs="Arial"/>
                <w:sz w:val="20"/>
                <w:lang w:val="en-US"/>
              </w:rPr>
              <w:t>factor ..</w:t>
            </w:r>
            <w:proofErr w:type="gramEnd"/>
            <w:r w:rsidRPr="00DE59D6">
              <w:rPr>
                <w:rFonts w:ascii="Arial" w:eastAsia="Times New Roman" w:hAnsi="Arial" w:cs="Arial"/>
                <w:sz w:val="20"/>
                <w:lang w:val="en-US"/>
              </w:rPr>
              <w:t>"</w:t>
            </w:r>
          </w:p>
        </w:tc>
        <w:tc>
          <w:tcPr>
            <w:tcW w:w="2580"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As in Comment.</w:t>
            </w:r>
          </w:p>
        </w:tc>
      </w:tr>
      <w:tr w:rsidR="001425E9" w:rsidRPr="00DE59D6" w:rsidTr="00E16C90">
        <w:trPr>
          <w:trHeight w:val="2040"/>
        </w:trPr>
        <w:tc>
          <w:tcPr>
            <w:tcW w:w="593" w:type="dxa"/>
            <w:shd w:val="clear" w:color="auto" w:fill="auto"/>
          </w:tcPr>
          <w:p w:rsidR="001425E9" w:rsidRPr="00DE59D6" w:rsidRDefault="001425E9" w:rsidP="00E16C90">
            <w:pPr>
              <w:jc w:val="right"/>
              <w:rPr>
                <w:rFonts w:ascii="Arial" w:eastAsia="Times New Roman" w:hAnsi="Arial" w:cs="Arial"/>
                <w:sz w:val="20"/>
                <w:lang w:val="en-US"/>
              </w:rPr>
            </w:pPr>
            <w:r w:rsidRPr="00DE59D6">
              <w:rPr>
                <w:rFonts w:ascii="Arial" w:eastAsia="Times New Roman" w:hAnsi="Arial" w:cs="Arial"/>
                <w:sz w:val="20"/>
                <w:lang w:val="en-US"/>
              </w:rPr>
              <w:t>535</w:t>
            </w:r>
          </w:p>
        </w:tc>
        <w:tc>
          <w:tcPr>
            <w:tcW w:w="1217" w:type="dxa"/>
            <w:shd w:val="clear" w:color="auto" w:fill="auto"/>
          </w:tcPr>
          <w:p w:rsidR="001425E9" w:rsidRPr="00DE59D6" w:rsidRDefault="001425E9" w:rsidP="00E16C90">
            <w:pPr>
              <w:rPr>
                <w:rFonts w:ascii="Arial" w:eastAsia="Times New Roman" w:hAnsi="Arial" w:cs="Arial"/>
                <w:sz w:val="20"/>
                <w:lang w:val="en-US"/>
              </w:rPr>
            </w:pPr>
            <w:r w:rsidRPr="00DE59D6">
              <w:rPr>
                <w:rFonts w:ascii="Arial" w:eastAsia="Times New Roman" w:hAnsi="Arial" w:cs="Arial"/>
                <w:sz w:val="20"/>
                <w:lang w:val="en-US"/>
              </w:rPr>
              <w:t>23.3.8.1.1</w:t>
            </w:r>
          </w:p>
        </w:tc>
        <w:tc>
          <w:tcPr>
            <w:tcW w:w="1050" w:type="dxa"/>
            <w:shd w:val="clear" w:color="auto" w:fill="auto"/>
          </w:tcPr>
          <w:p w:rsidR="001425E9" w:rsidRPr="00DE59D6" w:rsidRDefault="001425E9" w:rsidP="00E16C90">
            <w:pPr>
              <w:rPr>
                <w:rFonts w:ascii="Arial" w:eastAsia="Times New Roman" w:hAnsi="Arial" w:cs="Arial"/>
                <w:sz w:val="20"/>
                <w:lang w:val="en-US"/>
              </w:rPr>
            </w:pPr>
            <w:r w:rsidRPr="00DE59D6">
              <w:rPr>
                <w:rFonts w:ascii="Arial" w:eastAsia="Times New Roman" w:hAnsi="Arial" w:cs="Arial"/>
                <w:sz w:val="20"/>
                <w:lang w:val="en-US"/>
              </w:rPr>
              <w:t>T</w:t>
            </w:r>
          </w:p>
        </w:tc>
        <w:tc>
          <w:tcPr>
            <w:tcW w:w="907" w:type="dxa"/>
            <w:shd w:val="clear" w:color="auto" w:fill="auto"/>
          </w:tcPr>
          <w:p w:rsidR="001425E9" w:rsidRPr="00DE59D6" w:rsidRDefault="001425E9" w:rsidP="00E16C90">
            <w:pPr>
              <w:jc w:val="right"/>
              <w:rPr>
                <w:rFonts w:ascii="Arial" w:eastAsia="Times New Roman" w:hAnsi="Arial" w:cs="Arial"/>
                <w:sz w:val="20"/>
                <w:lang w:val="en-US"/>
              </w:rPr>
            </w:pPr>
            <w:r w:rsidRPr="00DE59D6">
              <w:rPr>
                <w:rFonts w:ascii="Arial" w:eastAsia="Times New Roman" w:hAnsi="Arial" w:cs="Arial"/>
                <w:sz w:val="20"/>
                <w:lang w:val="en-US"/>
              </w:rPr>
              <w:t>241.62</w:t>
            </w:r>
          </w:p>
        </w:tc>
        <w:tc>
          <w:tcPr>
            <w:tcW w:w="2622" w:type="dxa"/>
            <w:shd w:val="clear" w:color="auto" w:fill="auto"/>
          </w:tcPr>
          <w:p w:rsidR="001425E9" w:rsidRPr="00DE59D6" w:rsidRDefault="001425E9" w:rsidP="00E16C90">
            <w:pPr>
              <w:rPr>
                <w:rFonts w:ascii="Arial" w:eastAsia="Times New Roman" w:hAnsi="Arial" w:cs="Arial"/>
                <w:sz w:val="20"/>
                <w:lang w:val="en-US"/>
              </w:rPr>
            </w:pPr>
            <w:r w:rsidRPr="00DE59D6">
              <w:rPr>
                <w:rFonts w:ascii="Arial" w:eastAsia="Times New Roman" w:hAnsi="Arial" w:cs="Arial"/>
                <w:sz w:val="20"/>
                <w:lang w:val="en-US"/>
              </w:rPr>
              <w:t xml:space="preserve">"The correction factor for transmissions over 6 MHz and </w:t>
            </w:r>
            <w:proofErr w:type="gramStart"/>
            <w:r w:rsidRPr="00DE59D6">
              <w:rPr>
                <w:rFonts w:ascii="Arial" w:eastAsia="Times New Roman" w:hAnsi="Arial" w:cs="Arial"/>
                <w:sz w:val="20"/>
                <w:lang w:val="en-US"/>
              </w:rPr>
              <w:t>7 MHz channels is</w:t>
            </w:r>
            <w:proofErr w:type="gramEnd"/>
            <w:r w:rsidRPr="00DE59D6">
              <w:rPr>
                <w:rFonts w:ascii="Arial" w:eastAsia="Times New Roman" w:hAnsi="Arial" w:cs="Arial"/>
                <w:sz w:val="20"/>
                <w:lang w:val="en-US"/>
              </w:rPr>
              <w:t xml:space="preserve"> 7.5.</w:t>
            </w:r>
            <w:r w:rsidRPr="00DE59D6">
              <w:rPr>
                <w:rFonts w:ascii="Arial" w:eastAsia="Times New Roman" w:hAnsi="Arial" w:cs="Arial"/>
                <w:sz w:val="20"/>
                <w:lang w:val="en-US"/>
              </w:rPr>
              <w:br/>
            </w:r>
            <w:r w:rsidRPr="00DE59D6">
              <w:rPr>
                <w:rFonts w:ascii="Arial" w:eastAsia="Times New Roman" w:hAnsi="Arial" w:cs="Arial"/>
                <w:sz w:val="20"/>
                <w:lang w:val="en-US"/>
              </w:rPr>
              <w:br/>
              <w:t xml:space="preserve">The correction factor for transmissions over 8 MHz channels is 5.625." should be "The multiplicative correction </w:t>
            </w:r>
            <w:proofErr w:type="gramStart"/>
            <w:r w:rsidRPr="00DE59D6">
              <w:rPr>
                <w:rFonts w:ascii="Arial" w:eastAsia="Times New Roman" w:hAnsi="Arial" w:cs="Arial"/>
                <w:sz w:val="20"/>
                <w:lang w:val="en-US"/>
              </w:rPr>
              <w:t>factor ..</w:t>
            </w:r>
            <w:proofErr w:type="gramEnd"/>
            <w:r w:rsidRPr="00DE59D6">
              <w:rPr>
                <w:rFonts w:ascii="Arial" w:eastAsia="Times New Roman" w:hAnsi="Arial" w:cs="Arial"/>
                <w:sz w:val="20"/>
                <w:lang w:val="en-US"/>
              </w:rPr>
              <w:t>"</w:t>
            </w:r>
          </w:p>
        </w:tc>
        <w:tc>
          <w:tcPr>
            <w:tcW w:w="2580" w:type="dxa"/>
            <w:shd w:val="clear" w:color="auto" w:fill="auto"/>
          </w:tcPr>
          <w:p w:rsidR="001425E9" w:rsidRPr="00DE59D6" w:rsidRDefault="001425E9" w:rsidP="00E16C90">
            <w:pPr>
              <w:rPr>
                <w:rFonts w:ascii="Arial" w:eastAsia="Times New Roman" w:hAnsi="Arial" w:cs="Arial"/>
                <w:sz w:val="20"/>
                <w:lang w:val="en-US"/>
              </w:rPr>
            </w:pPr>
            <w:r w:rsidRPr="00DE59D6">
              <w:rPr>
                <w:rFonts w:ascii="Arial" w:eastAsia="Times New Roman" w:hAnsi="Arial" w:cs="Arial"/>
                <w:sz w:val="20"/>
                <w:lang w:val="en-US"/>
              </w:rPr>
              <w:t>As in Comment.</w:t>
            </w:r>
          </w:p>
        </w:tc>
      </w:tr>
    </w:tbl>
    <w:p w:rsidR="00DE59D6" w:rsidRDefault="003D32C2" w:rsidP="003D32C2">
      <w:pPr>
        <w:rPr>
          <w:lang w:val="en-US"/>
        </w:rPr>
      </w:pPr>
      <w:r w:rsidRPr="007D4937">
        <w:rPr>
          <w:b/>
          <w:lang w:val="en-US"/>
        </w:rPr>
        <w:t>Resolution</w:t>
      </w:r>
      <w:r w:rsidR="007D4937" w:rsidRPr="007D4937">
        <w:rPr>
          <w:lang w:val="en-US"/>
        </w:rPr>
        <w:t xml:space="preserve">: </w:t>
      </w:r>
      <w:r w:rsidR="00CB656F">
        <w:rPr>
          <w:lang w:val="en-US"/>
        </w:rPr>
        <w:t>Revise</w:t>
      </w:r>
    </w:p>
    <w:p w:rsidR="003D32C2" w:rsidRDefault="003D32C2" w:rsidP="003D32C2">
      <w:pPr>
        <w:rPr>
          <w:lang w:val="en-US"/>
        </w:rPr>
      </w:pPr>
      <w:r w:rsidRPr="007D4937">
        <w:rPr>
          <w:b/>
          <w:lang w:val="en-US"/>
        </w:rPr>
        <w:t>Discussion</w:t>
      </w:r>
      <w:r w:rsidRPr="007D4937">
        <w:rPr>
          <w:lang w:val="en-US"/>
        </w:rPr>
        <w:t xml:space="preserve">: </w:t>
      </w:r>
      <w:r w:rsidR="00DE59D6">
        <w:rPr>
          <w:lang w:val="en-US"/>
        </w:rPr>
        <w:t xml:space="preserve"> </w:t>
      </w:r>
      <w:r w:rsidR="00CB656F">
        <w:rPr>
          <w:lang w:val="en-US"/>
        </w:rPr>
        <w:t xml:space="preserve">Agree with the </w:t>
      </w:r>
      <w:proofErr w:type="spellStart"/>
      <w:r w:rsidR="00CB656F">
        <w:rPr>
          <w:lang w:val="en-US"/>
        </w:rPr>
        <w:t>commentor</w:t>
      </w:r>
      <w:proofErr w:type="spellEnd"/>
      <w:r w:rsidR="00CB656F">
        <w:rPr>
          <w:lang w:val="en-US"/>
        </w:rPr>
        <w:t xml:space="preserve"> that “correc</w:t>
      </w:r>
      <w:r w:rsidR="009E2464">
        <w:rPr>
          <w:lang w:val="en-US"/>
        </w:rPr>
        <w:t xml:space="preserve">tion </w:t>
      </w:r>
      <w:proofErr w:type="spellStart"/>
      <w:r w:rsidR="009E2464">
        <w:rPr>
          <w:lang w:val="en-US"/>
        </w:rPr>
        <w:t>factor”is</w:t>
      </w:r>
      <w:proofErr w:type="spellEnd"/>
      <w:r w:rsidR="009E2464">
        <w:rPr>
          <w:lang w:val="en-US"/>
        </w:rPr>
        <w:t xml:space="preserve"> not</w:t>
      </w:r>
      <w:r w:rsidR="00CB656F">
        <w:rPr>
          <w:lang w:val="en-US"/>
        </w:rPr>
        <w:t xml:space="preserve"> the right terminology. On the </w:t>
      </w:r>
      <w:proofErr w:type="spellStart"/>
      <w:r w:rsidR="00CB656F">
        <w:rPr>
          <w:lang w:val="en-US"/>
        </w:rPr>
        <w:t>othe</w:t>
      </w:r>
      <w:proofErr w:type="spellEnd"/>
      <w:r w:rsidR="00CB656F">
        <w:rPr>
          <w:lang w:val="en-US"/>
        </w:rPr>
        <w:t xml:space="preserve"> other hand, “multiplicative factor” also seems inappropriate as this factor is sometimes used in some instances to multiply (e.g. timing parameters) and in other instances to divide (e.g. frequency parameters). Therefore we propose to use an </w:t>
      </w:r>
      <w:proofErr w:type="spellStart"/>
      <w:r w:rsidR="00CB656F">
        <w:rPr>
          <w:lang w:val="en-US"/>
        </w:rPr>
        <w:t>anternative</w:t>
      </w:r>
      <w:proofErr w:type="spellEnd"/>
      <w:r w:rsidR="00CB656F">
        <w:rPr>
          <w:lang w:val="en-US"/>
        </w:rPr>
        <w:t xml:space="preserve"> terminology, “normalization factor”.</w:t>
      </w:r>
    </w:p>
    <w:p w:rsidR="001425E9" w:rsidRDefault="00F24CF4" w:rsidP="003D32C2">
      <w:pPr>
        <w:rPr>
          <w:lang w:val="en-US"/>
        </w:rPr>
      </w:pPr>
      <w:r w:rsidRPr="00F24CF4">
        <w:rPr>
          <w:b/>
          <w:lang w:val="en-US"/>
        </w:rPr>
        <w:t>Change</w:t>
      </w:r>
      <w:r>
        <w:rPr>
          <w:lang w:val="en-US"/>
        </w:rPr>
        <w:t xml:space="preserve">: </w:t>
      </w:r>
      <w:r w:rsidR="00CB656F" w:rsidRPr="00CB656F">
        <w:rPr>
          <w:b/>
          <w:i/>
          <w:highlight w:val="yellow"/>
          <w:lang w:val="en-US"/>
        </w:rPr>
        <w:t>Note to editor</w:t>
      </w:r>
      <w:r w:rsidR="00CB656F">
        <w:rPr>
          <w:lang w:val="en-US"/>
        </w:rPr>
        <w:t>: Change all occurrence of “correction factor” to “normalization factor”. There are two instances in clause 23.3.8.1.1</w:t>
      </w:r>
      <w:r w:rsidR="009E2464">
        <w:rPr>
          <w:lang w:val="en-US"/>
        </w:rPr>
        <w:t xml:space="preserve"> and</w:t>
      </w:r>
      <w:r w:rsidR="00CB656F">
        <w:rPr>
          <w:lang w:val="en-US"/>
        </w:rPr>
        <w:t xml:space="preserve"> one instance in 23.3.8.2.2.</w:t>
      </w:r>
    </w:p>
    <w:p w:rsidR="00CB656F" w:rsidRDefault="00CB656F" w:rsidP="003D32C2">
      <w:pPr>
        <w:rPr>
          <w:lang w:val="en-US"/>
        </w:rPr>
      </w:pPr>
    </w:p>
    <w:tbl>
      <w:tblPr>
        <w:tblW w:w="89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1217"/>
        <w:gridCol w:w="1050"/>
        <w:gridCol w:w="907"/>
        <w:gridCol w:w="2622"/>
        <w:gridCol w:w="2580"/>
      </w:tblGrid>
      <w:tr w:rsidR="00DE59D6" w:rsidRPr="00DE59D6" w:rsidTr="00E16C90">
        <w:trPr>
          <w:trHeight w:val="1530"/>
        </w:trPr>
        <w:tc>
          <w:tcPr>
            <w:tcW w:w="593" w:type="dxa"/>
            <w:shd w:val="clear" w:color="auto" w:fill="auto"/>
            <w:hideMark/>
          </w:tcPr>
          <w:p w:rsidR="00DE59D6" w:rsidRPr="00DE59D6" w:rsidRDefault="00DE59D6" w:rsidP="00E16C90">
            <w:pPr>
              <w:jc w:val="right"/>
              <w:rPr>
                <w:rFonts w:ascii="Arial" w:eastAsia="Times New Roman" w:hAnsi="Arial" w:cs="Arial"/>
                <w:sz w:val="20"/>
                <w:lang w:val="en-US"/>
              </w:rPr>
            </w:pPr>
            <w:r w:rsidRPr="00DE59D6">
              <w:rPr>
                <w:rFonts w:ascii="Arial" w:eastAsia="Times New Roman" w:hAnsi="Arial" w:cs="Arial"/>
                <w:sz w:val="20"/>
                <w:lang w:val="en-US"/>
              </w:rPr>
              <w:t>392</w:t>
            </w:r>
          </w:p>
        </w:tc>
        <w:tc>
          <w:tcPr>
            <w:tcW w:w="1217"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23.3.9.2</w:t>
            </w:r>
          </w:p>
        </w:tc>
        <w:tc>
          <w:tcPr>
            <w:tcW w:w="1050"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T</w:t>
            </w:r>
          </w:p>
        </w:tc>
        <w:tc>
          <w:tcPr>
            <w:tcW w:w="907" w:type="dxa"/>
            <w:shd w:val="clear" w:color="auto" w:fill="auto"/>
            <w:hideMark/>
          </w:tcPr>
          <w:p w:rsidR="00DE59D6" w:rsidRPr="00DE59D6" w:rsidRDefault="00DE59D6" w:rsidP="00E16C90">
            <w:pPr>
              <w:jc w:val="right"/>
              <w:rPr>
                <w:rFonts w:ascii="Arial" w:eastAsia="Times New Roman" w:hAnsi="Arial" w:cs="Arial"/>
                <w:sz w:val="20"/>
                <w:lang w:val="en-US"/>
              </w:rPr>
            </w:pPr>
            <w:r w:rsidRPr="00DE59D6">
              <w:rPr>
                <w:rFonts w:ascii="Arial" w:eastAsia="Times New Roman" w:hAnsi="Arial" w:cs="Arial"/>
                <w:sz w:val="20"/>
                <w:lang w:val="en-US"/>
              </w:rPr>
              <w:t>243.57</w:t>
            </w:r>
          </w:p>
        </w:tc>
        <w:tc>
          <w:tcPr>
            <w:tcW w:w="2622"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"Transmission of HT PPDU with any number of antennas is not supported in Clause 23." Maybe this should be a stronger normative statement.</w:t>
            </w:r>
          </w:p>
        </w:tc>
        <w:tc>
          <w:tcPr>
            <w:tcW w:w="2580"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As in Comment.</w:t>
            </w:r>
          </w:p>
        </w:tc>
      </w:tr>
      <w:tr w:rsidR="001425E9" w:rsidRPr="00DE59D6" w:rsidTr="00E16C90">
        <w:trPr>
          <w:trHeight w:val="1530"/>
        </w:trPr>
        <w:tc>
          <w:tcPr>
            <w:tcW w:w="593" w:type="dxa"/>
            <w:shd w:val="clear" w:color="auto" w:fill="auto"/>
          </w:tcPr>
          <w:p w:rsidR="001425E9" w:rsidRPr="00DE59D6" w:rsidRDefault="001425E9" w:rsidP="00E16C90">
            <w:pPr>
              <w:jc w:val="right"/>
              <w:rPr>
                <w:rFonts w:ascii="Arial" w:eastAsia="Times New Roman" w:hAnsi="Arial" w:cs="Arial"/>
                <w:sz w:val="20"/>
                <w:lang w:val="en-US"/>
              </w:rPr>
            </w:pPr>
            <w:r w:rsidRPr="00DE59D6">
              <w:rPr>
                <w:rFonts w:ascii="Arial" w:eastAsia="Times New Roman" w:hAnsi="Arial" w:cs="Arial"/>
                <w:sz w:val="20"/>
                <w:lang w:val="en-US"/>
              </w:rPr>
              <w:t>538</w:t>
            </w:r>
          </w:p>
        </w:tc>
        <w:tc>
          <w:tcPr>
            <w:tcW w:w="1217" w:type="dxa"/>
            <w:shd w:val="clear" w:color="auto" w:fill="auto"/>
          </w:tcPr>
          <w:p w:rsidR="001425E9" w:rsidRPr="00DE59D6" w:rsidRDefault="001425E9" w:rsidP="00E16C90">
            <w:pPr>
              <w:rPr>
                <w:rFonts w:ascii="Arial" w:eastAsia="Times New Roman" w:hAnsi="Arial" w:cs="Arial"/>
                <w:sz w:val="20"/>
                <w:lang w:val="en-US"/>
              </w:rPr>
            </w:pPr>
            <w:r w:rsidRPr="00DE59D6">
              <w:rPr>
                <w:rFonts w:ascii="Arial" w:eastAsia="Times New Roman" w:hAnsi="Arial" w:cs="Arial"/>
                <w:sz w:val="20"/>
                <w:lang w:val="en-US"/>
              </w:rPr>
              <w:t>23.3.9.2</w:t>
            </w:r>
          </w:p>
        </w:tc>
        <w:tc>
          <w:tcPr>
            <w:tcW w:w="1050" w:type="dxa"/>
            <w:shd w:val="clear" w:color="auto" w:fill="auto"/>
          </w:tcPr>
          <w:p w:rsidR="001425E9" w:rsidRPr="00DE59D6" w:rsidRDefault="001425E9" w:rsidP="00E16C90">
            <w:pPr>
              <w:rPr>
                <w:rFonts w:ascii="Arial" w:eastAsia="Times New Roman" w:hAnsi="Arial" w:cs="Arial"/>
                <w:sz w:val="20"/>
                <w:lang w:val="en-US"/>
              </w:rPr>
            </w:pPr>
            <w:r w:rsidRPr="00DE59D6">
              <w:rPr>
                <w:rFonts w:ascii="Arial" w:eastAsia="Times New Roman" w:hAnsi="Arial" w:cs="Arial"/>
                <w:sz w:val="20"/>
                <w:lang w:val="en-US"/>
              </w:rPr>
              <w:t>T</w:t>
            </w:r>
          </w:p>
        </w:tc>
        <w:tc>
          <w:tcPr>
            <w:tcW w:w="907" w:type="dxa"/>
            <w:shd w:val="clear" w:color="auto" w:fill="auto"/>
          </w:tcPr>
          <w:p w:rsidR="001425E9" w:rsidRPr="00DE59D6" w:rsidRDefault="001425E9" w:rsidP="00E16C90">
            <w:pPr>
              <w:jc w:val="right"/>
              <w:rPr>
                <w:rFonts w:ascii="Arial" w:eastAsia="Times New Roman" w:hAnsi="Arial" w:cs="Arial"/>
                <w:sz w:val="20"/>
                <w:lang w:val="en-US"/>
              </w:rPr>
            </w:pPr>
            <w:r w:rsidRPr="00DE59D6">
              <w:rPr>
                <w:rFonts w:ascii="Arial" w:eastAsia="Times New Roman" w:hAnsi="Arial" w:cs="Arial"/>
                <w:sz w:val="20"/>
                <w:lang w:val="en-US"/>
              </w:rPr>
              <w:t>243.57</w:t>
            </w:r>
          </w:p>
        </w:tc>
        <w:tc>
          <w:tcPr>
            <w:tcW w:w="2622" w:type="dxa"/>
            <w:shd w:val="clear" w:color="auto" w:fill="auto"/>
          </w:tcPr>
          <w:p w:rsidR="001425E9" w:rsidRPr="00DE59D6" w:rsidRDefault="001425E9" w:rsidP="00E16C90">
            <w:pPr>
              <w:rPr>
                <w:rFonts w:ascii="Arial" w:eastAsia="Times New Roman" w:hAnsi="Arial" w:cs="Arial"/>
                <w:sz w:val="20"/>
                <w:lang w:val="en-US"/>
              </w:rPr>
            </w:pPr>
            <w:r w:rsidRPr="00DE59D6">
              <w:rPr>
                <w:rFonts w:ascii="Arial" w:eastAsia="Times New Roman" w:hAnsi="Arial" w:cs="Arial"/>
                <w:sz w:val="20"/>
                <w:lang w:val="en-US"/>
              </w:rPr>
              <w:t>"Transmission of HT PPDU with any number of antennas is not supported in Clause 23." Maybe this should be a stronger normative statement.</w:t>
            </w:r>
          </w:p>
        </w:tc>
        <w:tc>
          <w:tcPr>
            <w:tcW w:w="2580" w:type="dxa"/>
            <w:shd w:val="clear" w:color="auto" w:fill="auto"/>
          </w:tcPr>
          <w:p w:rsidR="001425E9" w:rsidRPr="00DE59D6" w:rsidRDefault="001425E9" w:rsidP="00E16C90">
            <w:pPr>
              <w:rPr>
                <w:rFonts w:ascii="Arial" w:eastAsia="Times New Roman" w:hAnsi="Arial" w:cs="Arial"/>
                <w:sz w:val="20"/>
                <w:lang w:val="en-US"/>
              </w:rPr>
            </w:pPr>
            <w:r w:rsidRPr="00DE59D6">
              <w:rPr>
                <w:rFonts w:ascii="Arial" w:eastAsia="Times New Roman" w:hAnsi="Arial" w:cs="Arial"/>
                <w:sz w:val="20"/>
                <w:lang w:val="en-US"/>
              </w:rPr>
              <w:t>As in Comment.</w:t>
            </w:r>
          </w:p>
        </w:tc>
      </w:tr>
    </w:tbl>
    <w:p w:rsidR="00DE59D6" w:rsidRPr="00A7753A" w:rsidRDefault="00DE59D6" w:rsidP="00DE59D6">
      <w:pPr>
        <w:rPr>
          <w:lang w:val="en-US"/>
        </w:rPr>
      </w:pPr>
      <w:r w:rsidRPr="00A7753A">
        <w:rPr>
          <w:b/>
          <w:lang w:val="en-US"/>
        </w:rPr>
        <w:t>Resolution</w:t>
      </w:r>
      <w:r w:rsidRPr="00A7753A">
        <w:rPr>
          <w:lang w:val="en-US"/>
        </w:rPr>
        <w:t xml:space="preserve">: </w:t>
      </w:r>
      <w:r w:rsidR="00A7753A">
        <w:rPr>
          <w:lang w:val="en-US"/>
        </w:rPr>
        <w:t>Reject</w:t>
      </w:r>
    </w:p>
    <w:p w:rsidR="00DE59D6" w:rsidRPr="00A7753A" w:rsidRDefault="00DE59D6" w:rsidP="00DE59D6">
      <w:pPr>
        <w:rPr>
          <w:lang w:val="en-US"/>
        </w:rPr>
      </w:pPr>
      <w:r w:rsidRPr="00A7753A">
        <w:rPr>
          <w:b/>
          <w:lang w:val="en-US"/>
        </w:rPr>
        <w:t>Discussion</w:t>
      </w:r>
      <w:r w:rsidR="00A7753A">
        <w:rPr>
          <w:lang w:val="en-US"/>
        </w:rPr>
        <w:t>: It will be obv</w:t>
      </w:r>
      <w:r w:rsidR="005B210C">
        <w:rPr>
          <w:lang w:val="en-US"/>
        </w:rPr>
        <w:t>i</w:t>
      </w:r>
      <w:r w:rsidR="00A7753A">
        <w:rPr>
          <w:lang w:val="en-US"/>
        </w:rPr>
        <w:t xml:space="preserve">ous to the reader that HT waveforms are not supported in TVWS. </w:t>
      </w:r>
    </w:p>
    <w:p w:rsidR="00DE59D6" w:rsidRDefault="00DE59D6" w:rsidP="00DE59D6">
      <w:pPr>
        <w:rPr>
          <w:lang w:val="en-US"/>
        </w:rPr>
      </w:pPr>
      <w:r w:rsidRPr="00A7753A">
        <w:rPr>
          <w:b/>
          <w:lang w:val="en-US"/>
        </w:rPr>
        <w:t>Change</w:t>
      </w:r>
      <w:r w:rsidRPr="00A7753A">
        <w:rPr>
          <w:lang w:val="en-US"/>
        </w:rPr>
        <w:t>:</w:t>
      </w:r>
      <w:r>
        <w:rPr>
          <w:lang w:val="en-US"/>
        </w:rPr>
        <w:t xml:space="preserve"> </w:t>
      </w:r>
      <w:r w:rsidR="00A7753A">
        <w:rPr>
          <w:lang w:val="en-US"/>
        </w:rPr>
        <w:t>none</w:t>
      </w:r>
    </w:p>
    <w:p w:rsidR="00DE59D6" w:rsidRDefault="00DE59D6" w:rsidP="003D32C2">
      <w:pPr>
        <w:rPr>
          <w:lang w:val="en-US"/>
        </w:rPr>
      </w:pPr>
    </w:p>
    <w:tbl>
      <w:tblPr>
        <w:tblW w:w="89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1217"/>
        <w:gridCol w:w="1050"/>
        <w:gridCol w:w="907"/>
        <w:gridCol w:w="2622"/>
        <w:gridCol w:w="2580"/>
      </w:tblGrid>
      <w:tr w:rsidR="00DE59D6" w:rsidRPr="00DE59D6" w:rsidTr="00E16C90">
        <w:trPr>
          <w:trHeight w:val="4590"/>
        </w:trPr>
        <w:tc>
          <w:tcPr>
            <w:tcW w:w="593" w:type="dxa"/>
            <w:shd w:val="clear" w:color="auto" w:fill="auto"/>
            <w:hideMark/>
          </w:tcPr>
          <w:p w:rsidR="00DE59D6" w:rsidRPr="00DE59D6" w:rsidRDefault="00DE59D6" w:rsidP="00E16C90">
            <w:pPr>
              <w:jc w:val="right"/>
              <w:rPr>
                <w:rFonts w:ascii="Arial" w:eastAsia="Times New Roman" w:hAnsi="Arial" w:cs="Arial"/>
                <w:sz w:val="20"/>
                <w:lang w:val="en-US"/>
              </w:rPr>
            </w:pPr>
            <w:r w:rsidRPr="00DE59D6">
              <w:rPr>
                <w:rFonts w:ascii="Arial" w:eastAsia="Times New Roman" w:hAnsi="Arial" w:cs="Arial"/>
                <w:sz w:val="20"/>
                <w:lang w:val="en-US"/>
              </w:rPr>
              <w:lastRenderedPageBreak/>
              <w:t>401</w:t>
            </w:r>
          </w:p>
        </w:tc>
        <w:tc>
          <w:tcPr>
            <w:tcW w:w="1217"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23.3.19.5.4</w:t>
            </w:r>
          </w:p>
        </w:tc>
        <w:tc>
          <w:tcPr>
            <w:tcW w:w="1050"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T</w:t>
            </w:r>
          </w:p>
        </w:tc>
        <w:tc>
          <w:tcPr>
            <w:tcW w:w="907" w:type="dxa"/>
            <w:shd w:val="clear" w:color="auto" w:fill="auto"/>
            <w:hideMark/>
          </w:tcPr>
          <w:p w:rsidR="00DE59D6" w:rsidRPr="00DE59D6" w:rsidRDefault="00DE59D6" w:rsidP="00E16C90">
            <w:pPr>
              <w:jc w:val="right"/>
              <w:rPr>
                <w:rFonts w:ascii="Arial" w:eastAsia="Times New Roman" w:hAnsi="Arial" w:cs="Arial"/>
                <w:sz w:val="20"/>
                <w:lang w:val="en-US"/>
              </w:rPr>
            </w:pPr>
            <w:r w:rsidRPr="00DE59D6">
              <w:rPr>
                <w:rFonts w:ascii="Arial" w:eastAsia="Times New Roman" w:hAnsi="Arial" w:cs="Arial"/>
                <w:sz w:val="20"/>
                <w:lang w:val="en-US"/>
              </w:rPr>
              <w:t>255.46</w:t>
            </w:r>
          </w:p>
        </w:tc>
        <w:tc>
          <w:tcPr>
            <w:tcW w:w="2622"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 xml:space="preserve">"A TVHT_W non-HT duplicate or TVHT PPDU detected in the secondary TVHT_W channel at or above a threshold (-80.75 </w:t>
            </w:r>
            <w:proofErr w:type="spellStart"/>
            <w:r w:rsidRPr="00DE59D6">
              <w:rPr>
                <w:rFonts w:ascii="Arial" w:eastAsia="Times New Roman" w:hAnsi="Arial" w:cs="Arial"/>
                <w:sz w:val="20"/>
                <w:lang w:val="en-US"/>
              </w:rPr>
              <w:t>dBm</w:t>
            </w:r>
            <w:proofErr w:type="spellEnd"/>
            <w:r w:rsidRPr="00DE59D6">
              <w:rPr>
                <w:rFonts w:ascii="Arial" w:eastAsia="Times New Roman" w:hAnsi="Arial" w:cs="Arial"/>
                <w:sz w:val="20"/>
                <w:lang w:val="en-US"/>
              </w:rPr>
              <w:t xml:space="preserve"> for 6 MHz, -80.75 </w:t>
            </w:r>
            <w:proofErr w:type="spellStart"/>
            <w:r w:rsidRPr="00DE59D6">
              <w:rPr>
                <w:rFonts w:ascii="Arial" w:eastAsia="Times New Roman" w:hAnsi="Arial" w:cs="Arial"/>
                <w:sz w:val="20"/>
                <w:lang w:val="en-US"/>
              </w:rPr>
              <w:t>dBm</w:t>
            </w:r>
            <w:proofErr w:type="spellEnd"/>
            <w:r w:rsidRPr="00DE59D6">
              <w:rPr>
                <w:rFonts w:ascii="Arial" w:eastAsia="Times New Roman" w:hAnsi="Arial" w:cs="Arial"/>
                <w:sz w:val="20"/>
                <w:lang w:val="en-US"/>
              </w:rPr>
              <w:t xml:space="preserve"> for 7 MHz and -79.5 </w:t>
            </w:r>
            <w:proofErr w:type="spellStart"/>
            <w:r w:rsidRPr="00DE59D6">
              <w:rPr>
                <w:rFonts w:ascii="Arial" w:eastAsia="Times New Roman" w:hAnsi="Arial" w:cs="Arial"/>
                <w:sz w:val="20"/>
                <w:lang w:val="en-US"/>
              </w:rPr>
              <w:t>dBm</w:t>
            </w:r>
            <w:proofErr w:type="spellEnd"/>
            <w:r w:rsidRPr="00DE59D6">
              <w:rPr>
                <w:rFonts w:ascii="Arial" w:eastAsia="Times New Roman" w:hAnsi="Arial" w:cs="Arial"/>
                <w:sz w:val="20"/>
                <w:lang w:val="en-US"/>
              </w:rPr>
              <w:t xml:space="preserve"> for 8 MHz) with &gt;90% probability within a period </w:t>
            </w:r>
            <w:proofErr w:type="spellStart"/>
            <w:r w:rsidRPr="00DE59D6">
              <w:rPr>
                <w:rFonts w:ascii="Arial" w:eastAsia="Times New Roman" w:hAnsi="Arial" w:cs="Arial"/>
                <w:sz w:val="20"/>
                <w:lang w:val="en-US"/>
              </w:rPr>
              <w:t>aCCAMidTime</w:t>
            </w:r>
            <w:proofErr w:type="spellEnd"/>
            <w:r w:rsidRPr="00DE59D6">
              <w:rPr>
                <w:rFonts w:ascii="Arial" w:eastAsia="Times New Roman" w:hAnsi="Arial" w:cs="Arial"/>
                <w:sz w:val="20"/>
                <w:lang w:val="en-US"/>
              </w:rPr>
              <w:t xml:space="preserve"> (see 23.4.4 (PHY characteristics))." Numbers should be -77.75dBm and -76.6dBm for 6/7MHz and 8 MHz, respectively. Also revise numbers in the 4 paragraphs that </w:t>
            </w:r>
            <w:proofErr w:type="gramStart"/>
            <w:r w:rsidRPr="00DE59D6">
              <w:rPr>
                <w:rFonts w:ascii="Arial" w:eastAsia="Times New Roman" w:hAnsi="Arial" w:cs="Arial"/>
                <w:sz w:val="20"/>
                <w:lang w:val="en-US"/>
              </w:rPr>
              <w:t>follow,</w:t>
            </w:r>
            <w:proofErr w:type="gramEnd"/>
            <w:r w:rsidRPr="00DE59D6">
              <w:rPr>
                <w:rFonts w:ascii="Arial" w:eastAsia="Times New Roman" w:hAnsi="Arial" w:cs="Arial"/>
                <w:sz w:val="20"/>
                <w:lang w:val="en-US"/>
              </w:rPr>
              <w:t xml:space="preserve"> they seem not to be all consistent.</w:t>
            </w:r>
          </w:p>
        </w:tc>
        <w:tc>
          <w:tcPr>
            <w:tcW w:w="2580"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As in Comment.</w:t>
            </w:r>
          </w:p>
        </w:tc>
      </w:tr>
      <w:tr w:rsidR="001555B1" w:rsidRPr="00DE59D6" w:rsidTr="00E16C90">
        <w:trPr>
          <w:trHeight w:val="4590"/>
        </w:trPr>
        <w:tc>
          <w:tcPr>
            <w:tcW w:w="593" w:type="dxa"/>
            <w:shd w:val="clear" w:color="auto" w:fill="auto"/>
          </w:tcPr>
          <w:p w:rsidR="001555B1" w:rsidRPr="00DE59D6" w:rsidRDefault="001555B1" w:rsidP="00E16C90">
            <w:pPr>
              <w:jc w:val="right"/>
              <w:rPr>
                <w:rFonts w:ascii="Arial" w:eastAsia="Times New Roman" w:hAnsi="Arial" w:cs="Arial"/>
                <w:sz w:val="20"/>
                <w:lang w:val="en-US"/>
              </w:rPr>
            </w:pPr>
            <w:r w:rsidRPr="00DE59D6">
              <w:rPr>
                <w:rFonts w:ascii="Arial" w:eastAsia="Times New Roman" w:hAnsi="Arial" w:cs="Arial"/>
                <w:sz w:val="20"/>
                <w:lang w:val="en-US"/>
              </w:rPr>
              <w:t>547</w:t>
            </w:r>
          </w:p>
        </w:tc>
        <w:tc>
          <w:tcPr>
            <w:tcW w:w="1217" w:type="dxa"/>
            <w:shd w:val="clear" w:color="auto" w:fill="auto"/>
          </w:tcPr>
          <w:p w:rsidR="001555B1" w:rsidRPr="00DE59D6" w:rsidRDefault="001555B1" w:rsidP="00E16C90">
            <w:pPr>
              <w:rPr>
                <w:rFonts w:ascii="Arial" w:eastAsia="Times New Roman" w:hAnsi="Arial" w:cs="Arial"/>
                <w:sz w:val="20"/>
                <w:lang w:val="en-US"/>
              </w:rPr>
            </w:pPr>
            <w:r w:rsidRPr="00DE59D6">
              <w:rPr>
                <w:rFonts w:ascii="Arial" w:eastAsia="Times New Roman" w:hAnsi="Arial" w:cs="Arial"/>
                <w:sz w:val="20"/>
                <w:lang w:val="en-US"/>
              </w:rPr>
              <w:t>23.3.19.5.4</w:t>
            </w:r>
          </w:p>
        </w:tc>
        <w:tc>
          <w:tcPr>
            <w:tcW w:w="1050" w:type="dxa"/>
            <w:shd w:val="clear" w:color="auto" w:fill="auto"/>
          </w:tcPr>
          <w:p w:rsidR="001555B1" w:rsidRPr="00DE59D6" w:rsidRDefault="001555B1" w:rsidP="00E16C90">
            <w:pPr>
              <w:rPr>
                <w:rFonts w:ascii="Arial" w:eastAsia="Times New Roman" w:hAnsi="Arial" w:cs="Arial"/>
                <w:sz w:val="20"/>
                <w:lang w:val="en-US"/>
              </w:rPr>
            </w:pPr>
            <w:r w:rsidRPr="00DE59D6">
              <w:rPr>
                <w:rFonts w:ascii="Arial" w:eastAsia="Times New Roman" w:hAnsi="Arial" w:cs="Arial"/>
                <w:sz w:val="20"/>
                <w:lang w:val="en-US"/>
              </w:rPr>
              <w:t>T</w:t>
            </w:r>
          </w:p>
        </w:tc>
        <w:tc>
          <w:tcPr>
            <w:tcW w:w="907" w:type="dxa"/>
            <w:shd w:val="clear" w:color="auto" w:fill="auto"/>
          </w:tcPr>
          <w:p w:rsidR="001555B1" w:rsidRPr="00DE59D6" w:rsidRDefault="001555B1" w:rsidP="00E16C90">
            <w:pPr>
              <w:jc w:val="right"/>
              <w:rPr>
                <w:rFonts w:ascii="Arial" w:eastAsia="Times New Roman" w:hAnsi="Arial" w:cs="Arial"/>
                <w:sz w:val="20"/>
                <w:lang w:val="en-US"/>
              </w:rPr>
            </w:pPr>
            <w:r w:rsidRPr="00DE59D6">
              <w:rPr>
                <w:rFonts w:ascii="Arial" w:eastAsia="Times New Roman" w:hAnsi="Arial" w:cs="Arial"/>
                <w:sz w:val="20"/>
                <w:lang w:val="en-US"/>
              </w:rPr>
              <w:t>255.46</w:t>
            </w:r>
          </w:p>
        </w:tc>
        <w:tc>
          <w:tcPr>
            <w:tcW w:w="2622" w:type="dxa"/>
            <w:shd w:val="clear" w:color="auto" w:fill="auto"/>
          </w:tcPr>
          <w:p w:rsidR="001555B1" w:rsidRPr="00DE59D6" w:rsidRDefault="001555B1" w:rsidP="00E16C90">
            <w:pPr>
              <w:rPr>
                <w:rFonts w:ascii="Arial" w:eastAsia="Times New Roman" w:hAnsi="Arial" w:cs="Arial"/>
                <w:sz w:val="20"/>
                <w:lang w:val="en-US"/>
              </w:rPr>
            </w:pPr>
            <w:r w:rsidRPr="00DE59D6">
              <w:rPr>
                <w:rFonts w:ascii="Arial" w:eastAsia="Times New Roman" w:hAnsi="Arial" w:cs="Arial"/>
                <w:sz w:val="20"/>
                <w:lang w:val="en-US"/>
              </w:rPr>
              <w:t xml:space="preserve">"A TVHT_W non-HT duplicate or TVHT PPDU detected in the secondary TVHT_W channel at or above a threshold (-80.75 </w:t>
            </w:r>
            <w:proofErr w:type="spellStart"/>
            <w:r w:rsidRPr="00DE59D6">
              <w:rPr>
                <w:rFonts w:ascii="Arial" w:eastAsia="Times New Roman" w:hAnsi="Arial" w:cs="Arial"/>
                <w:sz w:val="20"/>
                <w:lang w:val="en-US"/>
              </w:rPr>
              <w:t>dBm</w:t>
            </w:r>
            <w:proofErr w:type="spellEnd"/>
            <w:r w:rsidRPr="00DE59D6">
              <w:rPr>
                <w:rFonts w:ascii="Arial" w:eastAsia="Times New Roman" w:hAnsi="Arial" w:cs="Arial"/>
                <w:sz w:val="20"/>
                <w:lang w:val="en-US"/>
              </w:rPr>
              <w:t xml:space="preserve"> for 6 MHz, -80.75 </w:t>
            </w:r>
            <w:proofErr w:type="spellStart"/>
            <w:r w:rsidRPr="00DE59D6">
              <w:rPr>
                <w:rFonts w:ascii="Arial" w:eastAsia="Times New Roman" w:hAnsi="Arial" w:cs="Arial"/>
                <w:sz w:val="20"/>
                <w:lang w:val="en-US"/>
              </w:rPr>
              <w:t>dBm</w:t>
            </w:r>
            <w:proofErr w:type="spellEnd"/>
            <w:r w:rsidRPr="00DE59D6">
              <w:rPr>
                <w:rFonts w:ascii="Arial" w:eastAsia="Times New Roman" w:hAnsi="Arial" w:cs="Arial"/>
                <w:sz w:val="20"/>
                <w:lang w:val="en-US"/>
              </w:rPr>
              <w:t xml:space="preserve"> for 7 MHz and -79.5 </w:t>
            </w:r>
            <w:proofErr w:type="spellStart"/>
            <w:r w:rsidRPr="00DE59D6">
              <w:rPr>
                <w:rFonts w:ascii="Arial" w:eastAsia="Times New Roman" w:hAnsi="Arial" w:cs="Arial"/>
                <w:sz w:val="20"/>
                <w:lang w:val="en-US"/>
              </w:rPr>
              <w:t>dBm</w:t>
            </w:r>
            <w:proofErr w:type="spellEnd"/>
            <w:r w:rsidRPr="00DE59D6">
              <w:rPr>
                <w:rFonts w:ascii="Arial" w:eastAsia="Times New Roman" w:hAnsi="Arial" w:cs="Arial"/>
                <w:sz w:val="20"/>
                <w:lang w:val="en-US"/>
              </w:rPr>
              <w:t xml:space="preserve"> for 8 MHz) with &gt;90% probability within a period </w:t>
            </w:r>
            <w:proofErr w:type="spellStart"/>
            <w:r w:rsidRPr="00DE59D6">
              <w:rPr>
                <w:rFonts w:ascii="Arial" w:eastAsia="Times New Roman" w:hAnsi="Arial" w:cs="Arial"/>
                <w:sz w:val="20"/>
                <w:lang w:val="en-US"/>
              </w:rPr>
              <w:t>aCCAMidTime</w:t>
            </w:r>
            <w:proofErr w:type="spellEnd"/>
            <w:r w:rsidRPr="00DE59D6">
              <w:rPr>
                <w:rFonts w:ascii="Arial" w:eastAsia="Times New Roman" w:hAnsi="Arial" w:cs="Arial"/>
                <w:sz w:val="20"/>
                <w:lang w:val="en-US"/>
              </w:rPr>
              <w:t xml:space="preserve"> (see 23.4.4 (PHY characteristics))." Numbers should be -77.75dBm and -76.6dBm for 6/7MHz and 8 MHz, respectively. Also revise numbers in the 4 paragraphs that </w:t>
            </w:r>
            <w:proofErr w:type="gramStart"/>
            <w:r w:rsidRPr="00DE59D6">
              <w:rPr>
                <w:rFonts w:ascii="Arial" w:eastAsia="Times New Roman" w:hAnsi="Arial" w:cs="Arial"/>
                <w:sz w:val="20"/>
                <w:lang w:val="en-US"/>
              </w:rPr>
              <w:t>follow,</w:t>
            </w:r>
            <w:proofErr w:type="gramEnd"/>
            <w:r w:rsidRPr="00DE59D6">
              <w:rPr>
                <w:rFonts w:ascii="Arial" w:eastAsia="Times New Roman" w:hAnsi="Arial" w:cs="Arial"/>
                <w:sz w:val="20"/>
                <w:lang w:val="en-US"/>
              </w:rPr>
              <w:t xml:space="preserve"> they seem not to be all consistent.</w:t>
            </w:r>
          </w:p>
        </w:tc>
        <w:tc>
          <w:tcPr>
            <w:tcW w:w="2580" w:type="dxa"/>
            <w:shd w:val="clear" w:color="auto" w:fill="auto"/>
          </w:tcPr>
          <w:p w:rsidR="001555B1" w:rsidRPr="00DE59D6" w:rsidRDefault="001555B1" w:rsidP="00E16C90">
            <w:pPr>
              <w:rPr>
                <w:rFonts w:ascii="Arial" w:eastAsia="Times New Roman" w:hAnsi="Arial" w:cs="Arial"/>
                <w:sz w:val="20"/>
                <w:lang w:val="en-US"/>
              </w:rPr>
            </w:pPr>
            <w:r w:rsidRPr="00DE59D6">
              <w:rPr>
                <w:rFonts w:ascii="Arial" w:eastAsia="Times New Roman" w:hAnsi="Arial" w:cs="Arial"/>
                <w:sz w:val="20"/>
                <w:lang w:val="en-US"/>
              </w:rPr>
              <w:t>As in Comment.</w:t>
            </w:r>
          </w:p>
        </w:tc>
      </w:tr>
    </w:tbl>
    <w:p w:rsidR="00DE59D6" w:rsidRPr="00815002" w:rsidRDefault="00DE59D6" w:rsidP="00DE59D6">
      <w:pPr>
        <w:rPr>
          <w:lang w:val="en-US"/>
        </w:rPr>
      </w:pPr>
      <w:r w:rsidRPr="00815002">
        <w:rPr>
          <w:b/>
          <w:lang w:val="en-US"/>
        </w:rPr>
        <w:t>Resolution</w:t>
      </w:r>
      <w:r w:rsidRPr="00815002">
        <w:rPr>
          <w:lang w:val="en-US"/>
        </w:rPr>
        <w:t xml:space="preserve">: </w:t>
      </w:r>
      <w:r w:rsidR="00815002">
        <w:rPr>
          <w:lang w:val="en-US"/>
        </w:rPr>
        <w:t>Reject</w:t>
      </w:r>
    </w:p>
    <w:p w:rsidR="00DE59D6" w:rsidRPr="00815002" w:rsidRDefault="00DE59D6" w:rsidP="00DE59D6">
      <w:pPr>
        <w:rPr>
          <w:lang w:val="en-US"/>
        </w:rPr>
      </w:pPr>
      <w:r w:rsidRPr="00815002">
        <w:rPr>
          <w:b/>
          <w:lang w:val="en-US"/>
        </w:rPr>
        <w:t>Discussion</w:t>
      </w:r>
      <w:r w:rsidRPr="00815002">
        <w:rPr>
          <w:lang w:val="en-US"/>
        </w:rPr>
        <w:t xml:space="preserve">:  </w:t>
      </w:r>
      <w:r w:rsidR="00815002">
        <w:rPr>
          <w:lang w:val="en-US"/>
        </w:rPr>
        <w:t>CCA rules are consistent with 11ac requirements.</w:t>
      </w:r>
    </w:p>
    <w:p w:rsidR="00DE59D6" w:rsidRDefault="00DE59D6" w:rsidP="00DE59D6">
      <w:pPr>
        <w:rPr>
          <w:lang w:val="en-US"/>
        </w:rPr>
      </w:pPr>
      <w:r w:rsidRPr="00815002">
        <w:rPr>
          <w:b/>
          <w:lang w:val="en-US"/>
        </w:rPr>
        <w:t>Change</w:t>
      </w:r>
      <w:r w:rsidRPr="00815002">
        <w:rPr>
          <w:lang w:val="en-US"/>
        </w:rPr>
        <w:t>:</w:t>
      </w:r>
      <w:r>
        <w:rPr>
          <w:lang w:val="en-US"/>
        </w:rPr>
        <w:t xml:space="preserve"> </w:t>
      </w:r>
      <w:r w:rsidR="00815002">
        <w:rPr>
          <w:lang w:val="en-US"/>
        </w:rPr>
        <w:t>none</w:t>
      </w:r>
    </w:p>
    <w:p w:rsidR="00DE59D6" w:rsidRDefault="00DE59D6" w:rsidP="003D32C2">
      <w:pPr>
        <w:rPr>
          <w:lang w:val="en-US"/>
        </w:rPr>
      </w:pPr>
    </w:p>
    <w:tbl>
      <w:tblPr>
        <w:tblW w:w="89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1217"/>
        <w:gridCol w:w="1050"/>
        <w:gridCol w:w="907"/>
        <w:gridCol w:w="2622"/>
        <w:gridCol w:w="2580"/>
      </w:tblGrid>
      <w:tr w:rsidR="00DE59D6" w:rsidRPr="00DE59D6" w:rsidTr="00E16C90">
        <w:trPr>
          <w:trHeight w:val="1785"/>
        </w:trPr>
        <w:tc>
          <w:tcPr>
            <w:tcW w:w="593" w:type="dxa"/>
            <w:shd w:val="clear" w:color="auto" w:fill="auto"/>
            <w:hideMark/>
          </w:tcPr>
          <w:p w:rsidR="00DE59D6" w:rsidRPr="00DE59D6" w:rsidRDefault="00DE59D6" w:rsidP="00E16C90">
            <w:pPr>
              <w:jc w:val="right"/>
              <w:rPr>
                <w:rFonts w:ascii="Arial" w:eastAsia="Times New Roman" w:hAnsi="Arial" w:cs="Arial"/>
                <w:sz w:val="20"/>
                <w:lang w:val="en-US"/>
              </w:rPr>
            </w:pPr>
            <w:r w:rsidRPr="00DE59D6">
              <w:rPr>
                <w:rFonts w:ascii="Arial" w:eastAsia="Times New Roman" w:hAnsi="Arial" w:cs="Arial"/>
                <w:sz w:val="20"/>
                <w:lang w:val="en-US"/>
              </w:rPr>
              <w:t>405</w:t>
            </w:r>
          </w:p>
        </w:tc>
        <w:tc>
          <w:tcPr>
            <w:tcW w:w="1217"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23.3.6</w:t>
            </w:r>
          </w:p>
        </w:tc>
        <w:tc>
          <w:tcPr>
            <w:tcW w:w="1050"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T</w:t>
            </w:r>
          </w:p>
        </w:tc>
        <w:tc>
          <w:tcPr>
            <w:tcW w:w="907" w:type="dxa"/>
            <w:shd w:val="clear" w:color="auto" w:fill="auto"/>
            <w:hideMark/>
          </w:tcPr>
          <w:p w:rsidR="00DE59D6" w:rsidRPr="00DE59D6" w:rsidRDefault="00DE59D6" w:rsidP="00E16C90">
            <w:pPr>
              <w:jc w:val="right"/>
              <w:rPr>
                <w:rFonts w:ascii="Arial" w:eastAsia="Times New Roman" w:hAnsi="Arial" w:cs="Arial"/>
                <w:sz w:val="20"/>
                <w:lang w:val="en-US"/>
              </w:rPr>
            </w:pPr>
            <w:r w:rsidRPr="00DE59D6">
              <w:rPr>
                <w:rFonts w:ascii="Arial" w:eastAsia="Times New Roman" w:hAnsi="Arial" w:cs="Arial"/>
                <w:sz w:val="20"/>
                <w:lang w:val="en-US"/>
              </w:rPr>
              <w:t>237.01</w:t>
            </w:r>
          </w:p>
        </w:tc>
        <w:tc>
          <w:tcPr>
            <w:tcW w:w="2622"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7MHz regulatory domains re-use the 6MHz PHY is a 15% bandwidth waste. Since 8MHz channel is just a sampling clock change of 6MHz, 7MHz can be implemented the similar way</w:t>
            </w:r>
          </w:p>
        </w:tc>
        <w:tc>
          <w:tcPr>
            <w:tcW w:w="2580"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 xml:space="preserve">Add 7MHz </w:t>
            </w:r>
            <w:proofErr w:type="spellStart"/>
            <w:r w:rsidRPr="00DE59D6">
              <w:rPr>
                <w:rFonts w:ascii="Arial" w:eastAsia="Times New Roman" w:hAnsi="Arial" w:cs="Arial"/>
                <w:sz w:val="20"/>
                <w:lang w:val="en-US"/>
              </w:rPr>
              <w:t>smpling</w:t>
            </w:r>
            <w:proofErr w:type="spellEnd"/>
            <w:r w:rsidRPr="00DE59D6">
              <w:rPr>
                <w:rFonts w:ascii="Arial" w:eastAsia="Times New Roman" w:hAnsi="Arial" w:cs="Arial"/>
                <w:sz w:val="20"/>
                <w:lang w:val="en-US"/>
              </w:rPr>
              <w:t xml:space="preserve"> clock change.</w:t>
            </w:r>
          </w:p>
        </w:tc>
      </w:tr>
    </w:tbl>
    <w:p w:rsidR="00DE59D6" w:rsidRDefault="00DE59D6" w:rsidP="00DE59D6">
      <w:pPr>
        <w:rPr>
          <w:lang w:val="en-US"/>
        </w:rPr>
      </w:pPr>
      <w:r w:rsidRPr="007D4937">
        <w:rPr>
          <w:b/>
          <w:lang w:val="en-US"/>
        </w:rPr>
        <w:t>Resolution</w:t>
      </w:r>
      <w:r w:rsidRPr="007D4937">
        <w:rPr>
          <w:lang w:val="en-US"/>
        </w:rPr>
        <w:t xml:space="preserve">: </w:t>
      </w:r>
      <w:r w:rsidR="0093164F">
        <w:rPr>
          <w:lang w:val="en-US"/>
        </w:rPr>
        <w:t>Reject</w:t>
      </w:r>
    </w:p>
    <w:p w:rsidR="00E02CA2" w:rsidRDefault="00DE59D6" w:rsidP="00DE59D6">
      <w:pPr>
        <w:rPr>
          <w:lang w:val="en-US"/>
        </w:rPr>
      </w:pPr>
      <w:r w:rsidRPr="007D4937">
        <w:rPr>
          <w:b/>
          <w:lang w:val="en-US"/>
        </w:rPr>
        <w:t>Discussion</w:t>
      </w:r>
      <w:r w:rsidRPr="007D4937">
        <w:rPr>
          <w:lang w:val="en-US"/>
        </w:rPr>
        <w:t xml:space="preserve">: </w:t>
      </w:r>
      <w:r w:rsidR="00E02CA2">
        <w:rPr>
          <w:lang w:val="en-US"/>
        </w:rPr>
        <w:t xml:space="preserve">This issue has been discussed in detail in 11af previously. </w:t>
      </w:r>
      <w:r w:rsidR="0093164F">
        <w:rPr>
          <w:lang w:val="en-US"/>
        </w:rPr>
        <w:t>The complexity and associated cost of an additional (7MHz) PHY waveform outweighs its benefits</w:t>
      </w:r>
      <w:r w:rsidR="00E02CA2">
        <w:rPr>
          <w:lang w:val="en-US"/>
        </w:rPr>
        <w:t xml:space="preserve">, especially given that 7MHz is applicable only to a few regulatory regions. </w:t>
      </w:r>
    </w:p>
    <w:p w:rsidR="00DE59D6" w:rsidRDefault="00DE59D6" w:rsidP="00DE59D6">
      <w:pPr>
        <w:rPr>
          <w:lang w:val="en-US"/>
        </w:rPr>
      </w:pPr>
      <w:r w:rsidRPr="00F24CF4">
        <w:rPr>
          <w:b/>
          <w:lang w:val="en-US"/>
        </w:rPr>
        <w:t>Change</w:t>
      </w:r>
      <w:r>
        <w:rPr>
          <w:lang w:val="en-US"/>
        </w:rPr>
        <w:t xml:space="preserve">: </w:t>
      </w:r>
      <w:r w:rsidR="0093164F">
        <w:rPr>
          <w:lang w:val="en-US"/>
        </w:rPr>
        <w:t>none</w:t>
      </w:r>
    </w:p>
    <w:p w:rsidR="00DE59D6" w:rsidRDefault="00DE59D6" w:rsidP="003D32C2">
      <w:pPr>
        <w:rPr>
          <w:lang w:val="en-US"/>
        </w:rPr>
      </w:pPr>
    </w:p>
    <w:p w:rsidR="00DE59D6" w:rsidRDefault="00DE59D6" w:rsidP="003D32C2">
      <w:pPr>
        <w:rPr>
          <w:lang w:val="en-US"/>
        </w:rPr>
      </w:pPr>
    </w:p>
    <w:tbl>
      <w:tblPr>
        <w:tblW w:w="89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1217"/>
        <w:gridCol w:w="1050"/>
        <w:gridCol w:w="907"/>
        <w:gridCol w:w="2622"/>
        <w:gridCol w:w="2580"/>
      </w:tblGrid>
      <w:tr w:rsidR="00DE59D6" w:rsidRPr="00DE59D6" w:rsidTr="00E16C90">
        <w:trPr>
          <w:trHeight w:val="2040"/>
        </w:trPr>
        <w:tc>
          <w:tcPr>
            <w:tcW w:w="593" w:type="dxa"/>
            <w:shd w:val="clear" w:color="auto" w:fill="auto"/>
            <w:hideMark/>
          </w:tcPr>
          <w:p w:rsidR="00DE59D6" w:rsidRPr="00DE59D6" w:rsidRDefault="00DE59D6" w:rsidP="00E16C90">
            <w:pPr>
              <w:jc w:val="right"/>
              <w:rPr>
                <w:rFonts w:ascii="Arial" w:eastAsia="Times New Roman" w:hAnsi="Arial" w:cs="Arial"/>
                <w:sz w:val="20"/>
                <w:lang w:val="en-US"/>
              </w:rPr>
            </w:pPr>
            <w:r w:rsidRPr="00DE59D6">
              <w:rPr>
                <w:rFonts w:ascii="Arial" w:eastAsia="Times New Roman" w:hAnsi="Arial" w:cs="Arial"/>
                <w:sz w:val="20"/>
                <w:lang w:val="en-US"/>
              </w:rPr>
              <w:t>598</w:t>
            </w:r>
          </w:p>
        </w:tc>
        <w:tc>
          <w:tcPr>
            <w:tcW w:w="1217"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23.3.7</w:t>
            </w:r>
          </w:p>
        </w:tc>
        <w:tc>
          <w:tcPr>
            <w:tcW w:w="1050"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G</w:t>
            </w:r>
          </w:p>
        </w:tc>
        <w:tc>
          <w:tcPr>
            <w:tcW w:w="907" w:type="dxa"/>
            <w:shd w:val="clear" w:color="auto" w:fill="auto"/>
            <w:hideMark/>
          </w:tcPr>
          <w:p w:rsidR="00DE59D6" w:rsidRPr="00DE59D6" w:rsidRDefault="00DE59D6" w:rsidP="00E16C90">
            <w:pPr>
              <w:jc w:val="right"/>
              <w:rPr>
                <w:rFonts w:ascii="Arial" w:eastAsia="Times New Roman" w:hAnsi="Arial" w:cs="Arial"/>
                <w:sz w:val="20"/>
                <w:lang w:val="en-US"/>
              </w:rPr>
            </w:pPr>
            <w:r w:rsidRPr="00DE59D6">
              <w:rPr>
                <w:rFonts w:ascii="Arial" w:eastAsia="Times New Roman" w:hAnsi="Arial" w:cs="Arial"/>
                <w:sz w:val="20"/>
                <w:lang w:val="en-US"/>
              </w:rPr>
              <w:t>238.33</w:t>
            </w:r>
          </w:p>
        </w:tc>
        <w:tc>
          <w:tcPr>
            <w:tcW w:w="2622"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In TVWS operation, the channel role could be changed at any time. What happen if the primary channel is changed?</w:t>
            </w:r>
          </w:p>
        </w:tc>
        <w:tc>
          <w:tcPr>
            <w:tcW w:w="2580"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As the channel role could be changed at any time due to the dynamic nature of TVWS, the role change mechanism is desirable. Expression of f</w:t>
            </w:r>
            <w:proofErr w:type="gramStart"/>
            <w:r w:rsidRPr="00DE59D6">
              <w:rPr>
                <w:rFonts w:ascii="Arial" w:eastAsia="Times New Roman" w:hAnsi="Arial" w:cs="Arial"/>
                <w:sz w:val="20"/>
                <w:lang w:val="en-US"/>
              </w:rPr>
              <w:t>_{</w:t>
            </w:r>
            <w:proofErr w:type="spellStart"/>
            <w:proofErr w:type="gramEnd"/>
            <w:r w:rsidRPr="00DE59D6">
              <w:rPr>
                <w:rFonts w:ascii="Arial" w:eastAsia="Times New Roman" w:hAnsi="Arial" w:cs="Arial"/>
                <w:sz w:val="20"/>
                <w:lang w:val="en-US"/>
              </w:rPr>
              <w:t>PW,idx</w:t>
            </w:r>
            <w:proofErr w:type="spellEnd"/>
            <w:r w:rsidRPr="00DE59D6">
              <w:rPr>
                <w:rFonts w:ascii="Arial" w:eastAsia="Times New Roman" w:hAnsi="Arial" w:cs="Arial"/>
                <w:sz w:val="20"/>
                <w:lang w:val="en-US"/>
              </w:rPr>
              <w:t>} (eqn.(23-1)) needed to be re-considered.</w:t>
            </w:r>
          </w:p>
        </w:tc>
      </w:tr>
      <w:tr w:rsidR="001555B1" w:rsidRPr="00DE59D6" w:rsidTr="00E16C90">
        <w:trPr>
          <w:trHeight w:val="2040"/>
        </w:trPr>
        <w:tc>
          <w:tcPr>
            <w:tcW w:w="593" w:type="dxa"/>
            <w:shd w:val="clear" w:color="auto" w:fill="auto"/>
          </w:tcPr>
          <w:p w:rsidR="001555B1" w:rsidRPr="00DE59D6" w:rsidRDefault="001555B1" w:rsidP="00E16C90">
            <w:pPr>
              <w:jc w:val="right"/>
              <w:rPr>
                <w:rFonts w:ascii="Arial" w:eastAsia="Times New Roman" w:hAnsi="Arial" w:cs="Arial"/>
                <w:sz w:val="20"/>
                <w:lang w:val="en-US"/>
              </w:rPr>
            </w:pPr>
            <w:r w:rsidRPr="00DE59D6">
              <w:rPr>
                <w:rFonts w:ascii="Arial" w:eastAsia="Times New Roman" w:hAnsi="Arial" w:cs="Arial"/>
                <w:sz w:val="20"/>
                <w:lang w:val="en-US"/>
              </w:rPr>
              <w:t>599</w:t>
            </w:r>
          </w:p>
        </w:tc>
        <w:tc>
          <w:tcPr>
            <w:tcW w:w="1217" w:type="dxa"/>
            <w:shd w:val="clear" w:color="auto" w:fill="auto"/>
          </w:tcPr>
          <w:p w:rsidR="001555B1" w:rsidRPr="00DE59D6" w:rsidRDefault="001555B1" w:rsidP="00E16C90">
            <w:pPr>
              <w:rPr>
                <w:rFonts w:ascii="Arial" w:eastAsia="Times New Roman" w:hAnsi="Arial" w:cs="Arial"/>
                <w:sz w:val="20"/>
                <w:lang w:val="en-US"/>
              </w:rPr>
            </w:pPr>
            <w:r w:rsidRPr="00DE59D6">
              <w:rPr>
                <w:rFonts w:ascii="Arial" w:eastAsia="Times New Roman" w:hAnsi="Arial" w:cs="Arial"/>
                <w:sz w:val="20"/>
                <w:lang w:val="en-US"/>
              </w:rPr>
              <w:t>23.3.7</w:t>
            </w:r>
          </w:p>
        </w:tc>
        <w:tc>
          <w:tcPr>
            <w:tcW w:w="1050" w:type="dxa"/>
            <w:shd w:val="clear" w:color="auto" w:fill="auto"/>
          </w:tcPr>
          <w:p w:rsidR="001555B1" w:rsidRPr="00DE59D6" w:rsidRDefault="001555B1" w:rsidP="00E16C90">
            <w:pPr>
              <w:rPr>
                <w:rFonts w:ascii="Arial" w:eastAsia="Times New Roman" w:hAnsi="Arial" w:cs="Arial"/>
                <w:sz w:val="20"/>
                <w:lang w:val="en-US"/>
              </w:rPr>
            </w:pPr>
            <w:r w:rsidRPr="00DE59D6">
              <w:rPr>
                <w:rFonts w:ascii="Arial" w:eastAsia="Times New Roman" w:hAnsi="Arial" w:cs="Arial"/>
                <w:sz w:val="20"/>
                <w:lang w:val="en-US"/>
              </w:rPr>
              <w:t>T</w:t>
            </w:r>
          </w:p>
        </w:tc>
        <w:tc>
          <w:tcPr>
            <w:tcW w:w="907" w:type="dxa"/>
            <w:shd w:val="clear" w:color="auto" w:fill="auto"/>
          </w:tcPr>
          <w:p w:rsidR="001555B1" w:rsidRPr="00DE59D6" w:rsidRDefault="001555B1" w:rsidP="00E16C90">
            <w:pPr>
              <w:jc w:val="right"/>
              <w:rPr>
                <w:rFonts w:ascii="Arial" w:eastAsia="Times New Roman" w:hAnsi="Arial" w:cs="Arial"/>
                <w:sz w:val="20"/>
                <w:lang w:val="en-US"/>
              </w:rPr>
            </w:pPr>
            <w:r w:rsidRPr="00DE59D6">
              <w:rPr>
                <w:rFonts w:ascii="Arial" w:eastAsia="Times New Roman" w:hAnsi="Arial" w:cs="Arial"/>
                <w:sz w:val="20"/>
                <w:lang w:val="en-US"/>
              </w:rPr>
              <w:t>238.33</w:t>
            </w:r>
          </w:p>
        </w:tc>
        <w:tc>
          <w:tcPr>
            <w:tcW w:w="2622" w:type="dxa"/>
            <w:shd w:val="clear" w:color="auto" w:fill="auto"/>
          </w:tcPr>
          <w:p w:rsidR="001555B1" w:rsidRPr="00DE59D6" w:rsidRDefault="001555B1" w:rsidP="00E16C90">
            <w:pPr>
              <w:rPr>
                <w:rFonts w:ascii="Arial" w:eastAsia="Times New Roman" w:hAnsi="Arial" w:cs="Arial"/>
                <w:sz w:val="20"/>
                <w:lang w:val="en-US"/>
              </w:rPr>
            </w:pPr>
            <w:r w:rsidRPr="00DE59D6">
              <w:rPr>
                <w:rFonts w:ascii="Arial" w:eastAsia="Times New Roman" w:hAnsi="Arial" w:cs="Arial"/>
                <w:sz w:val="20"/>
                <w:lang w:val="en-US"/>
              </w:rPr>
              <w:t xml:space="preserve">The channel conditions on multi-TVWS-channel could be widely varied. The selection of primary channel could be determined by the multiple factors in TVWS operation, </w:t>
            </w:r>
            <w:proofErr w:type="spellStart"/>
            <w:r w:rsidRPr="00DE59D6">
              <w:rPr>
                <w:rFonts w:ascii="Arial" w:eastAsia="Times New Roman" w:hAnsi="Arial" w:cs="Arial"/>
                <w:sz w:val="20"/>
                <w:lang w:val="en-US"/>
              </w:rPr>
              <w:t>e.g</w:t>
            </w:r>
            <w:proofErr w:type="spellEnd"/>
            <w:r w:rsidRPr="00DE59D6">
              <w:rPr>
                <w:rFonts w:ascii="Arial" w:eastAsia="Times New Roman" w:hAnsi="Arial" w:cs="Arial"/>
                <w:sz w:val="20"/>
                <w:lang w:val="en-US"/>
              </w:rPr>
              <w:t xml:space="preserve">, </w:t>
            </w:r>
            <w:proofErr w:type="gramStart"/>
            <w:r w:rsidRPr="00DE59D6">
              <w:rPr>
                <w:rFonts w:ascii="Arial" w:eastAsia="Times New Roman" w:hAnsi="Arial" w:cs="Arial"/>
                <w:sz w:val="20"/>
                <w:lang w:val="en-US"/>
              </w:rPr>
              <w:t>SNR</w:t>
            </w:r>
            <w:proofErr w:type="gramEnd"/>
            <w:r w:rsidRPr="00DE59D6">
              <w:rPr>
                <w:rFonts w:ascii="Arial" w:eastAsia="Times New Roman" w:hAnsi="Arial" w:cs="Arial"/>
                <w:sz w:val="20"/>
                <w:lang w:val="en-US"/>
              </w:rPr>
              <w:t xml:space="preserve"> values of multiple aggregated channels. Fixed relation between the center frequency and the primary channel does not give the flexibility of choosing the most suitable primary channel in TVWS operations.</w:t>
            </w:r>
          </w:p>
        </w:tc>
        <w:tc>
          <w:tcPr>
            <w:tcW w:w="2580" w:type="dxa"/>
            <w:shd w:val="clear" w:color="auto" w:fill="auto"/>
          </w:tcPr>
          <w:p w:rsidR="001555B1" w:rsidRPr="00DE59D6" w:rsidRDefault="001555B1" w:rsidP="00E16C90">
            <w:pPr>
              <w:rPr>
                <w:rFonts w:ascii="Arial" w:eastAsia="Times New Roman" w:hAnsi="Arial" w:cs="Arial"/>
                <w:sz w:val="20"/>
                <w:lang w:val="en-US"/>
              </w:rPr>
            </w:pPr>
            <w:r w:rsidRPr="00DE59D6">
              <w:rPr>
                <w:rFonts w:ascii="Arial" w:eastAsia="Times New Roman" w:hAnsi="Arial" w:cs="Arial"/>
                <w:sz w:val="20"/>
                <w:lang w:val="en-US"/>
              </w:rPr>
              <w:t>Due to the unpredicted feature of interference levels, the channel role could be changed at any time. Then the relation between the center frequency and the primary channel is not fixed in TVWS operation. Expression of f</w:t>
            </w:r>
            <w:proofErr w:type="gramStart"/>
            <w:r w:rsidRPr="00DE59D6">
              <w:rPr>
                <w:rFonts w:ascii="Arial" w:eastAsia="Times New Roman" w:hAnsi="Arial" w:cs="Arial"/>
                <w:sz w:val="20"/>
                <w:lang w:val="en-US"/>
              </w:rPr>
              <w:t>_{</w:t>
            </w:r>
            <w:proofErr w:type="spellStart"/>
            <w:proofErr w:type="gramEnd"/>
            <w:r w:rsidRPr="00DE59D6">
              <w:rPr>
                <w:rFonts w:ascii="Arial" w:eastAsia="Times New Roman" w:hAnsi="Arial" w:cs="Arial"/>
                <w:sz w:val="20"/>
                <w:lang w:val="en-US"/>
              </w:rPr>
              <w:t>PW,idx</w:t>
            </w:r>
            <w:proofErr w:type="spellEnd"/>
            <w:r w:rsidRPr="00DE59D6">
              <w:rPr>
                <w:rFonts w:ascii="Arial" w:eastAsia="Times New Roman" w:hAnsi="Arial" w:cs="Arial"/>
                <w:sz w:val="20"/>
                <w:lang w:val="en-US"/>
              </w:rPr>
              <w:t>} (eqn.(23-1)) needed to be re-considered.</w:t>
            </w:r>
          </w:p>
        </w:tc>
      </w:tr>
    </w:tbl>
    <w:p w:rsidR="00DE59D6" w:rsidRPr="00A7753A" w:rsidRDefault="00DE59D6" w:rsidP="00DE59D6">
      <w:pPr>
        <w:rPr>
          <w:lang w:val="en-US"/>
        </w:rPr>
      </w:pPr>
      <w:r w:rsidRPr="00A7753A">
        <w:rPr>
          <w:b/>
          <w:lang w:val="en-US"/>
        </w:rPr>
        <w:t>Resolution</w:t>
      </w:r>
      <w:r w:rsidRPr="00A7753A">
        <w:rPr>
          <w:lang w:val="en-US"/>
        </w:rPr>
        <w:t xml:space="preserve">: </w:t>
      </w:r>
      <w:r w:rsidR="00A7753A">
        <w:rPr>
          <w:lang w:val="en-US"/>
        </w:rPr>
        <w:t>Reject</w:t>
      </w:r>
    </w:p>
    <w:p w:rsidR="00DE59D6" w:rsidRPr="00A7753A" w:rsidRDefault="00DE59D6" w:rsidP="00DE59D6">
      <w:pPr>
        <w:rPr>
          <w:lang w:val="en-US"/>
        </w:rPr>
      </w:pPr>
      <w:r w:rsidRPr="00A7753A">
        <w:rPr>
          <w:b/>
          <w:lang w:val="en-US"/>
        </w:rPr>
        <w:t>Discussion</w:t>
      </w:r>
      <w:r w:rsidR="00A7753A">
        <w:rPr>
          <w:lang w:val="en-US"/>
        </w:rPr>
        <w:t>: Equation 2</w:t>
      </w:r>
      <w:r w:rsidR="008B5A82">
        <w:rPr>
          <w:lang w:val="en-US"/>
        </w:rPr>
        <w:t xml:space="preserve">3-3 does not imply </w:t>
      </w:r>
      <w:r w:rsidR="005B210C">
        <w:rPr>
          <w:lang w:val="en-US"/>
        </w:rPr>
        <w:t xml:space="preserve">that </w:t>
      </w:r>
      <w:r w:rsidR="008B5A82">
        <w:rPr>
          <w:lang w:val="en-US"/>
        </w:rPr>
        <w:t>the relation</w:t>
      </w:r>
      <w:r w:rsidR="00A7753A">
        <w:rPr>
          <w:lang w:val="en-US"/>
        </w:rPr>
        <w:t xml:space="preserve">ship between </w:t>
      </w:r>
      <w:r w:rsidR="008B5A82">
        <w:rPr>
          <w:lang w:val="en-US"/>
        </w:rPr>
        <w:t xml:space="preserve">primary segment center frequency and the primary channel </w:t>
      </w:r>
      <w:r w:rsidR="005B210C">
        <w:rPr>
          <w:lang w:val="en-US"/>
        </w:rPr>
        <w:t xml:space="preserve">center frequency </w:t>
      </w:r>
      <w:r w:rsidR="008B5A82">
        <w:rPr>
          <w:lang w:val="en-US"/>
        </w:rPr>
        <w:t>is fixed.</w:t>
      </w:r>
    </w:p>
    <w:p w:rsidR="00DE59D6" w:rsidRDefault="00DE59D6" w:rsidP="00DE59D6">
      <w:pPr>
        <w:rPr>
          <w:lang w:val="en-US"/>
        </w:rPr>
      </w:pPr>
      <w:r w:rsidRPr="00A7753A">
        <w:rPr>
          <w:b/>
          <w:lang w:val="en-US"/>
        </w:rPr>
        <w:t>Change</w:t>
      </w:r>
      <w:r>
        <w:rPr>
          <w:lang w:val="en-US"/>
        </w:rPr>
        <w:t xml:space="preserve">: </w:t>
      </w:r>
      <w:r w:rsidR="00A7753A">
        <w:rPr>
          <w:lang w:val="en-US"/>
        </w:rPr>
        <w:t>none.</w:t>
      </w:r>
    </w:p>
    <w:p w:rsidR="00DE59D6" w:rsidRDefault="00DE59D6" w:rsidP="003D32C2">
      <w:pPr>
        <w:rPr>
          <w:lang w:val="en-US"/>
        </w:rPr>
      </w:pPr>
    </w:p>
    <w:tbl>
      <w:tblPr>
        <w:tblW w:w="89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1217"/>
        <w:gridCol w:w="1050"/>
        <w:gridCol w:w="907"/>
        <w:gridCol w:w="2622"/>
        <w:gridCol w:w="2580"/>
      </w:tblGrid>
      <w:tr w:rsidR="00DE59D6" w:rsidRPr="00DE59D6" w:rsidTr="00E16C90">
        <w:trPr>
          <w:trHeight w:val="765"/>
        </w:trPr>
        <w:tc>
          <w:tcPr>
            <w:tcW w:w="593" w:type="dxa"/>
            <w:shd w:val="clear" w:color="auto" w:fill="auto"/>
            <w:hideMark/>
          </w:tcPr>
          <w:p w:rsidR="00DE59D6" w:rsidRPr="00DE59D6" w:rsidRDefault="00DE59D6" w:rsidP="00E16C90">
            <w:pPr>
              <w:jc w:val="right"/>
              <w:rPr>
                <w:rFonts w:ascii="Arial" w:eastAsia="Times New Roman" w:hAnsi="Arial" w:cs="Arial"/>
                <w:sz w:val="20"/>
                <w:lang w:val="en-US"/>
              </w:rPr>
            </w:pPr>
            <w:r w:rsidRPr="00DE59D6">
              <w:rPr>
                <w:rFonts w:ascii="Arial" w:eastAsia="Times New Roman" w:hAnsi="Arial" w:cs="Arial"/>
                <w:sz w:val="20"/>
                <w:lang w:val="en-US"/>
              </w:rPr>
              <w:t>745</w:t>
            </w:r>
          </w:p>
        </w:tc>
        <w:tc>
          <w:tcPr>
            <w:tcW w:w="1217"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23.3.7</w:t>
            </w:r>
          </w:p>
        </w:tc>
        <w:tc>
          <w:tcPr>
            <w:tcW w:w="1050"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T</w:t>
            </w:r>
          </w:p>
        </w:tc>
        <w:tc>
          <w:tcPr>
            <w:tcW w:w="907" w:type="dxa"/>
            <w:shd w:val="clear" w:color="auto" w:fill="auto"/>
            <w:hideMark/>
          </w:tcPr>
          <w:p w:rsidR="00DE59D6" w:rsidRPr="00DE59D6" w:rsidRDefault="00DE59D6" w:rsidP="00E16C90">
            <w:pPr>
              <w:jc w:val="right"/>
              <w:rPr>
                <w:rFonts w:ascii="Arial" w:eastAsia="Times New Roman" w:hAnsi="Arial" w:cs="Arial"/>
                <w:sz w:val="20"/>
                <w:lang w:val="en-US"/>
              </w:rPr>
            </w:pPr>
            <w:r w:rsidRPr="00DE59D6">
              <w:rPr>
                <w:rFonts w:ascii="Arial" w:eastAsia="Times New Roman" w:hAnsi="Arial" w:cs="Arial"/>
                <w:sz w:val="20"/>
                <w:lang w:val="en-US"/>
              </w:rPr>
              <w:t>239.06</w:t>
            </w:r>
          </w:p>
        </w:tc>
        <w:tc>
          <w:tcPr>
            <w:tcW w:w="2622"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If equation (23-3) has N_P2W as 1, do we not have two values for f_P2W.idx?</w:t>
            </w:r>
          </w:p>
        </w:tc>
        <w:tc>
          <w:tcPr>
            <w:tcW w:w="2580"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Clarify</w:t>
            </w:r>
          </w:p>
        </w:tc>
      </w:tr>
    </w:tbl>
    <w:p w:rsidR="00DE59D6" w:rsidRPr="00A90829" w:rsidRDefault="00DE59D6" w:rsidP="00DE59D6">
      <w:pPr>
        <w:rPr>
          <w:lang w:val="en-US"/>
        </w:rPr>
      </w:pPr>
      <w:r w:rsidRPr="00A90829">
        <w:rPr>
          <w:b/>
          <w:lang w:val="en-US"/>
        </w:rPr>
        <w:t>Resolution</w:t>
      </w:r>
      <w:r w:rsidRPr="00A90829">
        <w:rPr>
          <w:lang w:val="en-US"/>
        </w:rPr>
        <w:t xml:space="preserve">: </w:t>
      </w:r>
      <w:r w:rsidR="00A90829" w:rsidRPr="00A90829">
        <w:rPr>
          <w:lang w:val="en-US"/>
        </w:rPr>
        <w:t>Reject</w:t>
      </w:r>
    </w:p>
    <w:p w:rsidR="00A90829" w:rsidRPr="00A7753A" w:rsidRDefault="00DE59D6" w:rsidP="00DE59D6">
      <w:pPr>
        <w:rPr>
          <w:rFonts w:eastAsia="Times New Roman"/>
          <w:szCs w:val="22"/>
          <w:lang w:val="en-US"/>
        </w:rPr>
      </w:pPr>
      <w:r w:rsidRPr="00A90829">
        <w:rPr>
          <w:b/>
          <w:lang w:val="en-US"/>
        </w:rPr>
        <w:t>Discussion</w:t>
      </w:r>
      <w:r w:rsidR="00A90829">
        <w:rPr>
          <w:lang w:val="en-US"/>
        </w:rPr>
        <w:t>: TVHT_MODE_4N uses t</w:t>
      </w:r>
      <w:r w:rsidR="00A90829" w:rsidRPr="00A90829">
        <w:rPr>
          <w:lang w:val="en-US"/>
        </w:rPr>
        <w:t>wo non-contiguous frequency sections whereby each frequency section is comprised of two contiguous frequency segments</w:t>
      </w:r>
      <w:r w:rsidR="00A90829">
        <w:rPr>
          <w:lang w:val="en-US"/>
        </w:rPr>
        <w:t xml:space="preserve"> (TVHT_2W). Due to this restriction, </w:t>
      </w:r>
      <w:r w:rsidR="00A7753A" w:rsidRPr="00A7753A">
        <w:rPr>
          <w:rFonts w:eastAsia="Times New Roman"/>
          <w:i/>
          <w:szCs w:val="22"/>
          <w:lang w:val="en-US"/>
        </w:rPr>
        <w:t>f</w:t>
      </w:r>
      <w:r w:rsidR="00A90829" w:rsidRPr="00A7753A">
        <w:rPr>
          <w:rFonts w:eastAsia="Times New Roman"/>
          <w:i/>
          <w:szCs w:val="22"/>
          <w:vertAlign w:val="subscript"/>
          <w:lang w:val="en-US"/>
        </w:rPr>
        <w:t>P2W</w:t>
      </w:r>
      <w:proofErr w:type="gramStart"/>
      <w:r w:rsidR="00A90829" w:rsidRPr="00A7753A">
        <w:rPr>
          <w:rFonts w:eastAsia="Times New Roman"/>
          <w:i/>
          <w:szCs w:val="22"/>
          <w:lang w:val="en-US"/>
        </w:rPr>
        <w:t>,</w:t>
      </w:r>
      <w:r w:rsidR="00A90829" w:rsidRPr="00A7753A">
        <w:rPr>
          <w:rFonts w:eastAsia="Times New Roman"/>
          <w:i/>
          <w:szCs w:val="22"/>
          <w:vertAlign w:val="subscript"/>
          <w:lang w:val="en-US"/>
        </w:rPr>
        <w:t>idx</w:t>
      </w:r>
      <w:proofErr w:type="gramEnd"/>
      <w:r w:rsidR="00A90829">
        <w:rPr>
          <w:rFonts w:eastAsia="Times New Roman"/>
          <w:szCs w:val="22"/>
          <w:lang w:val="en-US"/>
        </w:rPr>
        <w:t xml:space="preserve"> has a unique value, for a given value of </w:t>
      </w:r>
      <w:r w:rsidR="00A7753A" w:rsidRPr="00A7753A">
        <w:rPr>
          <w:rFonts w:eastAsia="Times New Roman"/>
          <w:i/>
          <w:szCs w:val="22"/>
          <w:lang w:val="en-US"/>
        </w:rPr>
        <w:t>f</w:t>
      </w:r>
      <w:r w:rsidR="00A7753A" w:rsidRPr="00A7753A">
        <w:rPr>
          <w:rFonts w:eastAsia="Times New Roman"/>
          <w:i/>
          <w:szCs w:val="22"/>
          <w:vertAlign w:val="subscript"/>
          <w:lang w:val="en-US"/>
        </w:rPr>
        <w:t>c,idx0</w:t>
      </w:r>
      <w:r w:rsidR="00A7753A">
        <w:rPr>
          <w:rFonts w:eastAsia="Times New Roman"/>
          <w:szCs w:val="22"/>
          <w:lang w:val="en-US"/>
        </w:rPr>
        <w:t>.</w:t>
      </w:r>
    </w:p>
    <w:p w:rsidR="00DE59D6" w:rsidRDefault="00DE59D6" w:rsidP="00DE59D6">
      <w:pPr>
        <w:rPr>
          <w:lang w:val="en-US"/>
        </w:rPr>
      </w:pPr>
      <w:r w:rsidRPr="00A90829">
        <w:rPr>
          <w:b/>
          <w:lang w:val="en-US"/>
        </w:rPr>
        <w:t>Change</w:t>
      </w:r>
      <w:r w:rsidRPr="00A90829">
        <w:rPr>
          <w:lang w:val="en-US"/>
        </w:rPr>
        <w:t>:</w:t>
      </w:r>
      <w:r w:rsidRPr="000318B8">
        <w:rPr>
          <w:lang w:val="en-US"/>
        </w:rPr>
        <w:t xml:space="preserve"> </w:t>
      </w:r>
      <w:r w:rsidR="00A90829">
        <w:rPr>
          <w:lang w:val="en-US"/>
        </w:rPr>
        <w:t>No change</w:t>
      </w:r>
    </w:p>
    <w:p w:rsidR="00DE59D6" w:rsidRDefault="00DE59D6" w:rsidP="003D32C2">
      <w:pPr>
        <w:rPr>
          <w:lang w:val="en-US"/>
        </w:rPr>
      </w:pPr>
    </w:p>
    <w:tbl>
      <w:tblPr>
        <w:tblW w:w="89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1217"/>
        <w:gridCol w:w="1050"/>
        <w:gridCol w:w="907"/>
        <w:gridCol w:w="2622"/>
        <w:gridCol w:w="2580"/>
      </w:tblGrid>
      <w:tr w:rsidR="00DE59D6" w:rsidRPr="00DE59D6" w:rsidTr="00E16C90">
        <w:trPr>
          <w:trHeight w:val="2040"/>
        </w:trPr>
        <w:tc>
          <w:tcPr>
            <w:tcW w:w="593" w:type="dxa"/>
            <w:shd w:val="clear" w:color="auto" w:fill="auto"/>
            <w:hideMark/>
          </w:tcPr>
          <w:p w:rsidR="00DE59D6" w:rsidRPr="00DE59D6" w:rsidRDefault="00DE59D6" w:rsidP="00E16C90">
            <w:pPr>
              <w:jc w:val="right"/>
              <w:rPr>
                <w:rFonts w:ascii="Arial" w:eastAsia="Times New Roman" w:hAnsi="Arial" w:cs="Arial"/>
                <w:sz w:val="20"/>
                <w:lang w:val="en-US"/>
              </w:rPr>
            </w:pPr>
            <w:r w:rsidRPr="00DE59D6">
              <w:rPr>
                <w:rFonts w:ascii="Arial" w:eastAsia="Times New Roman" w:hAnsi="Arial" w:cs="Arial"/>
                <w:sz w:val="20"/>
                <w:lang w:val="en-US"/>
              </w:rPr>
              <w:t>764</w:t>
            </w:r>
          </w:p>
        </w:tc>
        <w:tc>
          <w:tcPr>
            <w:tcW w:w="1217"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23.3.8.2.2</w:t>
            </w:r>
          </w:p>
        </w:tc>
        <w:tc>
          <w:tcPr>
            <w:tcW w:w="1050"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T</w:t>
            </w:r>
          </w:p>
        </w:tc>
        <w:tc>
          <w:tcPr>
            <w:tcW w:w="907" w:type="dxa"/>
            <w:shd w:val="clear" w:color="auto" w:fill="auto"/>
            <w:hideMark/>
          </w:tcPr>
          <w:p w:rsidR="00DE59D6" w:rsidRPr="00DE59D6" w:rsidRDefault="00DE59D6" w:rsidP="00E16C90">
            <w:pPr>
              <w:jc w:val="right"/>
              <w:rPr>
                <w:rFonts w:ascii="Arial" w:eastAsia="Times New Roman" w:hAnsi="Arial" w:cs="Arial"/>
                <w:sz w:val="20"/>
                <w:lang w:val="en-US"/>
              </w:rPr>
            </w:pPr>
            <w:r w:rsidRPr="00DE59D6">
              <w:rPr>
                <w:rFonts w:ascii="Arial" w:eastAsia="Times New Roman" w:hAnsi="Arial" w:cs="Arial"/>
                <w:sz w:val="20"/>
                <w:lang w:val="en-US"/>
              </w:rPr>
              <w:t>242.54</w:t>
            </w:r>
          </w:p>
        </w:tc>
        <w:tc>
          <w:tcPr>
            <w:tcW w:w="2622"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 xml:space="preserve">Simply </w:t>
            </w:r>
            <w:proofErr w:type="spellStart"/>
            <w:r w:rsidRPr="00DE59D6">
              <w:rPr>
                <w:rFonts w:ascii="Arial" w:eastAsia="Times New Roman" w:hAnsi="Arial" w:cs="Arial"/>
                <w:sz w:val="20"/>
                <w:lang w:val="en-US"/>
              </w:rPr>
              <w:t>downclocking</w:t>
            </w:r>
            <w:proofErr w:type="spellEnd"/>
            <w:r w:rsidRPr="00DE59D6">
              <w:rPr>
                <w:rFonts w:ascii="Arial" w:eastAsia="Times New Roman" w:hAnsi="Arial" w:cs="Arial"/>
                <w:sz w:val="20"/>
                <w:lang w:val="en-US"/>
              </w:rPr>
              <w:t xml:space="preserve"> the CSD value from current 11ac spec may not be optimum for sub-1GHz transmissions. If </w:t>
            </w:r>
            <w:proofErr w:type="spellStart"/>
            <w:r w:rsidRPr="00DE59D6">
              <w:rPr>
                <w:rFonts w:ascii="Arial" w:eastAsia="Times New Roman" w:hAnsi="Arial" w:cs="Arial"/>
                <w:sz w:val="20"/>
                <w:lang w:val="en-US"/>
              </w:rPr>
              <w:t>downclocking</w:t>
            </w:r>
            <w:proofErr w:type="spellEnd"/>
            <w:r w:rsidRPr="00DE59D6">
              <w:rPr>
                <w:rFonts w:ascii="Arial" w:eastAsia="Times New Roman" w:hAnsi="Arial" w:cs="Arial"/>
                <w:sz w:val="20"/>
                <w:lang w:val="en-US"/>
              </w:rPr>
              <w:t xml:space="preserve"> is optimal, provide CSD simulation results to show solid reasoning for this decision.</w:t>
            </w:r>
          </w:p>
        </w:tc>
        <w:tc>
          <w:tcPr>
            <w:tcW w:w="2580"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 xml:space="preserve">Either use schemes similar to those used in 802.11ah or provide CSD simulation results to show that the </w:t>
            </w:r>
            <w:proofErr w:type="spellStart"/>
            <w:r w:rsidRPr="00DE59D6">
              <w:rPr>
                <w:rFonts w:ascii="Arial" w:eastAsia="Times New Roman" w:hAnsi="Arial" w:cs="Arial"/>
                <w:sz w:val="20"/>
                <w:lang w:val="en-US"/>
              </w:rPr>
              <w:t>downclocked</w:t>
            </w:r>
            <w:proofErr w:type="spellEnd"/>
            <w:r w:rsidRPr="00DE59D6">
              <w:rPr>
                <w:rFonts w:ascii="Arial" w:eastAsia="Times New Roman" w:hAnsi="Arial" w:cs="Arial"/>
                <w:sz w:val="20"/>
                <w:lang w:val="en-US"/>
              </w:rPr>
              <w:t xml:space="preserve"> CSD value is the optimal choice for 802.11af.</w:t>
            </w:r>
          </w:p>
        </w:tc>
      </w:tr>
    </w:tbl>
    <w:p w:rsidR="00DE59D6" w:rsidRDefault="00DE59D6" w:rsidP="00DE59D6">
      <w:pPr>
        <w:rPr>
          <w:lang w:val="en-US"/>
        </w:rPr>
      </w:pPr>
      <w:r w:rsidRPr="007D4937">
        <w:rPr>
          <w:b/>
          <w:lang w:val="en-US"/>
        </w:rPr>
        <w:t>Resolution</w:t>
      </w:r>
      <w:r w:rsidRPr="007D4937">
        <w:rPr>
          <w:lang w:val="en-US"/>
        </w:rPr>
        <w:t xml:space="preserve">: </w:t>
      </w:r>
      <w:r w:rsidR="009116AC">
        <w:rPr>
          <w:lang w:val="en-US"/>
        </w:rPr>
        <w:t>Reject</w:t>
      </w:r>
    </w:p>
    <w:p w:rsidR="00DE59D6" w:rsidRDefault="00DE59D6" w:rsidP="00DE59D6">
      <w:pPr>
        <w:rPr>
          <w:lang w:val="en-US"/>
        </w:rPr>
      </w:pPr>
      <w:r w:rsidRPr="007D4937">
        <w:rPr>
          <w:b/>
          <w:lang w:val="en-US"/>
        </w:rPr>
        <w:t>Discussion</w:t>
      </w:r>
      <w:r w:rsidRPr="007D4937">
        <w:rPr>
          <w:lang w:val="en-US"/>
        </w:rPr>
        <w:t>:</w:t>
      </w:r>
      <w:r w:rsidR="009116AC">
        <w:rPr>
          <w:lang w:val="en-US"/>
        </w:rPr>
        <w:t xml:space="preserve"> Disagree with </w:t>
      </w:r>
      <w:proofErr w:type="spellStart"/>
      <w:r w:rsidR="009116AC">
        <w:rPr>
          <w:lang w:val="en-US"/>
        </w:rPr>
        <w:t>commentor’s</w:t>
      </w:r>
      <w:proofErr w:type="spellEnd"/>
      <w:r w:rsidR="009116AC">
        <w:rPr>
          <w:lang w:val="en-US"/>
        </w:rPr>
        <w:t xml:space="preserve"> assertion that 11ac CSD values cannot be used </w:t>
      </w:r>
      <w:proofErr w:type="spellStart"/>
      <w:r w:rsidR="009116AC">
        <w:rPr>
          <w:lang w:val="en-US"/>
        </w:rPr>
        <w:t>directily</w:t>
      </w:r>
      <w:proofErr w:type="spellEnd"/>
      <w:r w:rsidR="009116AC">
        <w:rPr>
          <w:lang w:val="en-US"/>
        </w:rPr>
        <w:t xml:space="preserve">. CSD values, normalized as specified in the 11af </w:t>
      </w:r>
      <w:proofErr w:type="spellStart"/>
      <w:r w:rsidR="009116AC">
        <w:rPr>
          <w:lang w:val="en-US"/>
        </w:rPr>
        <w:t>Darft</w:t>
      </w:r>
      <w:proofErr w:type="spellEnd"/>
      <w:r w:rsidR="009116AC">
        <w:rPr>
          <w:lang w:val="en-US"/>
        </w:rPr>
        <w:t xml:space="preserve"> 2.0, will have the same impact as in 11ac. Thus we believe no additional justification is required for the </w:t>
      </w:r>
      <w:r w:rsidR="00A650DA">
        <w:rPr>
          <w:lang w:val="en-US"/>
        </w:rPr>
        <w:t xml:space="preserve">using normalized 11ac CSD values. </w:t>
      </w:r>
    </w:p>
    <w:p w:rsidR="00DE59D6" w:rsidRDefault="00DE59D6" w:rsidP="00DE59D6">
      <w:pPr>
        <w:rPr>
          <w:lang w:val="en-US"/>
        </w:rPr>
      </w:pPr>
      <w:r w:rsidRPr="00F24CF4">
        <w:rPr>
          <w:b/>
          <w:lang w:val="en-US"/>
        </w:rPr>
        <w:t>Change</w:t>
      </w:r>
      <w:r>
        <w:rPr>
          <w:lang w:val="en-US"/>
        </w:rPr>
        <w:t xml:space="preserve">: </w:t>
      </w:r>
      <w:r w:rsidR="009116AC">
        <w:rPr>
          <w:lang w:val="en-US"/>
        </w:rPr>
        <w:t>None.</w:t>
      </w:r>
    </w:p>
    <w:p w:rsidR="00DE59D6" w:rsidRDefault="00DE59D6" w:rsidP="003D32C2">
      <w:pPr>
        <w:rPr>
          <w:lang w:val="en-US"/>
        </w:rPr>
      </w:pPr>
    </w:p>
    <w:tbl>
      <w:tblPr>
        <w:tblW w:w="89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1217"/>
        <w:gridCol w:w="1050"/>
        <w:gridCol w:w="907"/>
        <w:gridCol w:w="2622"/>
        <w:gridCol w:w="2580"/>
      </w:tblGrid>
      <w:tr w:rsidR="00DE59D6" w:rsidRPr="00CB656F" w:rsidTr="00E16C90">
        <w:trPr>
          <w:trHeight w:val="4590"/>
        </w:trPr>
        <w:tc>
          <w:tcPr>
            <w:tcW w:w="593" w:type="dxa"/>
            <w:shd w:val="clear" w:color="auto" w:fill="auto"/>
            <w:hideMark/>
          </w:tcPr>
          <w:p w:rsidR="00DE59D6" w:rsidRPr="00CB656F" w:rsidRDefault="00DE59D6" w:rsidP="00E16C90">
            <w:pPr>
              <w:jc w:val="right"/>
              <w:rPr>
                <w:rFonts w:ascii="Arial" w:eastAsia="Times New Roman" w:hAnsi="Arial" w:cs="Arial"/>
                <w:strike/>
                <w:sz w:val="20"/>
                <w:lang w:val="en-US"/>
              </w:rPr>
            </w:pPr>
            <w:r w:rsidRPr="00CB656F">
              <w:rPr>
                <w:rFonts w:ascii="Arial" w:eastAsia="Times New Roman" w:hAnsi="Arial" w:cs="Arial"/>
                <w:strike/>
                <w:sz w:val="20"/>
                <w:lang w:val="en-US"/>
              </w:rPr>
              <w:lastRenderedPageBreak/>
              <w:t>791</w:t>
            </w:r>
          </w:p>
        </w:tc>
        <w:tc>
          <w:tcPr>
            <w:tcW w:w="1217" w:type="dxa"/>
            <w:shd w:val="clear" w:color="auto" w:fill="auto"/>
            <w:hideMark/>
          </w:tcPr>
          <w:p w:rsidR="00DE59D6" w:rsidRPr="00CB656F" w:rsidRDefault="00DE59D6" w:rsidP="00E16C90">
            <w:pPr>
              <w:rPr>
                <w:rFonts w:ascii="Arial" w:eastAsia="Times New Roman" w:hAnsi="Arial" w:cs="Arial"/>
                <w:strike/>
                <w:sz w:val="20"/>
                <w:lang w:val="en-US"/>
              </w:rPr>
            </w:pPr>
            <w:r w:rsidRPr="00CB656F">
              <w:rPr>
                <w:rFonts w:ascii="Arial" w:eastAsia="Times New Roman" w:hAnsi="Arial" w:cs="Arial"/>
                <w:strike/>
                <w:sz w:val="20"/>
                <w:lang w:val="en-US"/>
              </w:rPr>
              <w:t>23.3.6</w:t>
            </w:r>
          </w:p>
        </w:tc>
        <w:tc>
          <w:tcPr>
            <w:tcW w:w="1050" w:type="dxa"/>
            <w:shd w:val="clear" w:color="auto" w:fill="auto"/>
            <w:hideMark/>
          </w:tcPr>
          <w:p w:rsidR="00DE59D6" w:rsidRPr="00CB656F" w:rsidRDefault="00DE59D6" w:rsidP="00E16C90">
            <w:pPr>
              <w:rPr>
                <w:rFonts w:ascii="Arial" w:eastAsia="Times New Roman" w:hAnsi="Arial" w:cs="Arial"/>
                <w:strike/>
                <w:sz w:val="20"/>
                <w:lang w:val="en-US"/>
              </w:rPr>
            </w:pPr>
            <w:r w:rsidRPr="00CB656F">
              <w:rPr>
                <w:rFonts w:ascii="Arial" w:eastAsia="Times New Roman" w:hAnsi="Arial" w:cs="Arial"/>
                <w:strike/>
                <w:sz w:val="20"/>
                <w:lang w:val="en-US"/>
              </w:rPr>
              <w:t>T</w:t>
            </w:r>
          </w:p>
        </w:tc>
        <w:tc>
          <w:tcPr>
            <w:tcW w:w="907" w:type="dxa"/>
            <w:shd w:val="clear" w:color="auto" w:fill="auto"/>
            <w:hideMark/>
          </w:tcPr>
          <w:p w:rsidR="00DE59D6" w:rsidRPr="00CB656F" w:rsidRDefault="00DE59D6" w:rsidP="00E16C90">
            <w:pPr>
              <w:jc w:val="right"/>
              <w:rPr>
                <w:rFonts w:ascii="Arial" w:eastAsia="Times New Roman" w:hAnsi="Arial" w:cs="Arial"/>
                <w:strike/>
                <w:sz w:val="20"/>
                <w:lang w:val="en-US"/>
              </w:rPr>
            </w:pPr>
            <w:r w:rsidRPr="00CB656F">
              <w:rPr>
                <w:rFonts w:ascii="Arial" w:eastAsia="Times New Roman" w:hAnsi="Arial" w:cs="Arial"/>
                <w:strike/>
                <w:sz w:val="20"/>
                <w:lang w:val="en-US"/>
              </w:rPr>
              <w:t>237.47</w:t>
            </w:r>
          </w:p>
        </w:tc>
        <w:tc>
          <w:tcPr>
            <w:tcW w:w="2622" w:type="dxa"/>
            <w:shd w:val="clear" w:color="auto" w:fill="auto"/>
            <w:hideMark/>
          </w:tcPr>
          <w:p w:rsidR="00DE59D6" w:rsidRPr="00CB656F" w:rsidRDefault="00DE59D6" w:rsidP="00E16C90">
            <w:pPr>
              <w:rPr>
                <w:rFonts w:ascii="Arial" w:eastAsia="Times New Roman" w:hAnsi="Arial" w:cs="Arial"/>
                <w:strike/>
                <w:sz w:val="20"/>
                <w:lang w:val="en-US"/>
              </w:rPr>
            </w:pPr>
            <w:r w:rsidRPr="00CB656F">
              <w:rPr>
                <w:rFonts w:ascii="Arial" w:eastAsia="Times New Roman" w:hAnsi="Arial" w:cs="Arial"/>
                <w:strike/>
                <w:sz w:val="20"/>
                <w:lang w:val="en-US"/>
              </w:rPr>
              <w:t xml:space="preserve">In current draft, TVWT_MODE_2C should be implemented by larger than 256FFT or two </w:t>
            </w:r>
            <w:proofErr w:type="gramStart"/>
            <w:r w:rsidRPr="00CB656F">
              <w:rPr>
                <w:rFonts w:ascii="Arial" w:eastAsia="Times New Roman" w:hAnsi="Arial" w:cs="Arial"/>
                <w:strike/>
                <w:sz w:val="20"/>
                <w:lang w:val="en-US"/>
              </w:rPr>
              <w:t>basebands,</w:t>
            </w:r>
            <w:proofErr w:type="gramEnd"/>
            <w:r w:rsidRPr="00CB656F">
              <w:rPr>
                <w:rFonts w:ascii="Arial" w:eastAsia="Times New Roman" w:hAnsi="Arial" w:cs="Arial"/>
                <w:strike/>
                <w:sz w:val="20"/>
                <w:lang w:val="en-US"/>
              </w:rPr>
              <w:t xml:space="preserve"> however VHT 80MHz can be implemented by 256FFT. This may bring significant difference in supporting TVWT_MODE_2C in mobile device. Since one single channel for TVWS is much smaller than 20MHz, throughput provided by one single TV channel will be lower than single channel. It will be better to </w:t>
            </w:r>
            <w:proofErr w:type="spellStart"/>
            <w:r w:rsidRPr="00CB656F">
              <w:rPr>
                <w:rFonts w:ascii="Arial" w:eastAsia="Times New Roman" w:hAnsi="Arial" w:cs="Arial"/>
                <w:strike/>
                <w:sz w:val="20"/>
                <w:lang w:val="en-US"/>
              </w:rPr>
              <w:t>proivde</w:t>
            </w:r>
            <w:proofErr w:type="spellEnd"/>
            <w:r w:rsidRPr="00CB656F">
              <w:rPr>
                <w:rFonts w:ascii="Arial" w:eastAsia="Times New Roman" w:hAnsi="Arial" w:cs="Arial"/>
                <w:strike/>
                <w:sz w:val="20"/>
                <w:lang w:val="en-US"/>
              </w:rPr>
              <w:t xml:space="preserve"> an easy way to support at least two contiguous </w:t>
            </w:r>
            <w:proofErr w:type="gramStart"/>
            <w:r w:rsidRPr="00CB656F">
              <w:rPr>
                <w:rFonts w:ascii="Arial" w:eastAsia="Times New Roman" w:hAnsi="Arial" w:cs="Arial"/>
                <w:strike/>
                <w:sz w:val="20"/>
                <w:lang w:val="en-US"/>
              </w:rPr>
              <w:t>channel</w:t>
            </w:r>
            <w:proofErr w:type="gramEnd"/>
            <w:r w:rsidRPr="00CB656F">
              <w:rPr>
                <w:rFonts w:ascii="Arial" w:eastAsia="Times New Roman" w:hAnsi="Arial" w:cs="Arial"/>
                <w:strike/>
                <w:sz w:val="20"/>
                <w:lang w:val="en-US"/>
              </w:rPr>
              <w:t>.</w:t>
            </w:r>
          </w:p>
        </w:tc>
        <w:tc>
          <w:tcPr>
            <w:tcW w:w="2580" w:type="dxa"/>
            <w:shd w:val="clear" w:color="auto" w:fill="auto"/>
            <w:hideMark/>
          </w:tcPr>
          <w:p w:rsidR="00DE59D6" w:rsidRPr="00CB656F" w:rsidRDefault="00DE59D6" w:rsidP="00E16C90">
            <w:pPr>
              <w:rPr>
                <w:rFonts w:ascii="Arial" w:eastAsia="Times New Roman" w:hAnsi="Arial" w:cs="Arial"/>
                <w:strike/>
                <w:sz w:val="20"/>
                <w:lang w:val="en-US"/>
              </w:rPr>
            </w:pPr>
            <w:r w:rsidRPr="00CB656F">
              <w:rPr>
                <w:rFonts w:ascii="Arial" w:eastAsia="Times New Roman" w:hAnsi="Arial" w:cs="Arial"/>
                <w:strike/>
                <w:sz w:val="20"/>
                <w:lang w:val="en-US"/>
              </w:rPr>
              <w:t>See comment.</w:t>
            </w:r>
          </w:p>
        </w:tc>
      </w:tr>
    </w:tbl>
    <w:p w:rsidR="00DE59D6" w:rsidRPr="00CB656F" w:rsidRDefault="00DE59D6" w:rsidP="00DE59D6">
      <w:pPr>
        <w:rPr>
          <w:strike/>
          <w:lang w:val="en-US"/>
        </w:rPr>
      </w:pPr>
      <w:r w:rsidRPr="00CB656F">
        <w:rPr>
          <w:b/>
          <w:strike/>
          <w:lang w:val="en-US"/>
        </w:rPr>
        <w:t>Resolution</w:t>
      </w:r>
      <w:r w:rsidRPr="00CB656F">
        <w:rPr>
          <w:strike/>
          <w:lang w:val="en-US"/>
        </w:rPr>
        <w:t xml:space="preserve">: </w:t>
      </w:r>
    </w:p>
    <w:p w:rsidR="00DE59D6" w:rsidRPr="00CB656F" w:rsidRDefault="00DE59D6" w:rsidP="00DE59D6">
      <w:pPr>
        <w:rPr>
          <w:strike/>
          <w:lang w:val="en-US"/>
        </w:rPr>
      </w:pPr>
      <w:r w:rsidRPr="00CB656F">
        <w:rPr>
          <w:b/>
          <w:strike/>
          <w:lang w:val="en-US"/>
        </w:rPr>
        <w:t>Discussion</w:t>
      </w:r>
      <w:r w:rsidRPr="00CB656F">
        <w:rPr>
          <w:strike/>
          <w:lang w:val="en-US"/>
        </w:rPr>
        <w:t xml:space="preserve">:  </w:t>
      </w:r>
    </w:p>
    <w:p w:rsidR="00DE59D6" w:rsidRPr="00CB656F" w:rsidRDefault="00DE59D6" w:rsidP="00DE59D6">
      <w:pPr>
        <w:rPr>
          <w:strike/>
          <w:lang w:val="en-US"/>
        </w:rPr>
      </w:pPr>
      <w:r w:rsidRPr="00CB656F">
        <w:rPr>
          <w:b/>
          <w:strike/>
          <w:lang w:val="en-US"/>
        </w:rPr>
        <w:t>Change</w:t>
      </w:r>
      <w:r w:rsidRPr="00CB656F">
        <w:rPr>
          <w:strike/>
          <w:lang w:val="en-US"/>
        </w:rPr>
        <w:t xml:space="preserve">: </w:t>
      </w:r>
    </w:p>
    <w:p w:rsidR="00DE59D6" w:rsidRDefault="00DE59D6" w:rsidP="003D32C2">
      <w:pPr>
        <w:rPr>
          <w:lang w:val="en-US"/>
        </w:rPr>
      </w:pPr>
    </w:p>
    <w:p w:rsidR="00DE59D6" w:rsidRDefault="00DE59D6" w:rsidP="003D32C2">
      <w:pPr>
        <w:rPr>
          <w:lang w:val="en-US"/>
        </w:rPr>
      </w:pPr>
    </w:p>
    <w:tbl>
      <w:tblPr>
        <w:tblW w:w="89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1217"/>
        <w:gridCol w:w="1050"/>
        <w:gridCol w:w="907"/>
        <w:gridCol w:w="2622"/>
        <w:gridCol w:w="2580"/>
      </w:tblGrid>
      <w:tr w:rsidR="00DE59D6" w:rsidRPr="00CB656F" w:rsidTr="00E16C90">
        <w:trPr>
          <w:trHeight w:val="2040"/>
        </w:trPr>
        <w:tc>
          <w:tcPr>
            <w:tcW w:w="593" w:type="dxa"/>
            <w:tcBorders>
              <w:top w:val="single" w:sz="4" w:space="0" w:color="auto"/>
              <w:left w:val="single" w:sz="4" w:space="0" w:color="auto"/>
              <w:bottom w:val="single" w:sz="4" w:space="0" w:color="auto"/>
              <w:right w:val="single" w:sz="4" w:space="0" w:color="auto"/>
            </w:tcBorders>
            <w:shd w:val="clear" w:color="auto" w:fill="auto"/>
            <w:hideMark/>
          </w:tcPr>
          <w:p w:rsidR="00DE59D6" w:rsidRPr="00CB656F" w:rsidRDefault="00DE59D6" w:rsidP="00E16C90">
            <w:pPr>
              <w:jc w:val="right"/>
              <w:rPr>
                <w:rFonts w:ascii="Arial" w:eastAsia="Times New Roman" w:hAnsi="Arial" w:cs="Arial"/>
                <w:strike/>
                <w:sz w:val="20"/>
                <w:lang w:val="en-US"/>
              </w:rPr>
            </w:pPr>
            <w:r w:rsidRPr="00CB656F">
              <w:rPr>
                <w:rFonts w:ascii="Arial" w:eastAsia="Times New Roman" w:hAnsi="Arial" w:cs="Arial"/>
                <w:strike/>
                <w:sz w:val="20"/>
                <w:lang w:val="en-US"/>
              </w:rPr>
              <w:t>792</w:t>
            </w:r>
          </w:p>
        </w:tc>
        <w:tc>
          <w:tcPr>
            <w:tcW w:w="1217" w:type="dxa"/>
            <w:tcBorders>
              <w:top w:val="single" w:sz="4" w:space="0" w:color="auto"/>
              <w:left w:val="single" w:sz="4" w:space="0" w:color="auto"/>
              <w:bottom w:val="single" w:sz="4" w:space="0" w:color="auto"/>
              <w:right w:val="single" w:sz="4" w:space="0" w:color="auto"/>
            </w:tcBorders>
            <w:shd w:val="clear" w:color="auto" w:fill="auto"/>
            <w:hideMark/>
          </w:tcPr>
          <w:p w:rsidR="00DE59D6" w:rsidRPr="00CB656F" w:rsidRDefault="00DE59D6" w:rsidP="00E16C90">
            <w:pPr>
              <w:rPr>
                <w:rFonts w:ascii="Arial" w:eastAsia="Times New Roman" w:hAnsi="Arial" w:cs="Arial"/>
                <w:strike/>
                <w:sz w:val="20"/>
                <w:lang w:val="en-US"/>
              </w:rPr>
            </w:pPr>
            <w:r w:rsidRPr="00CB656F">
              <w:rPr>
                <w:rFonts w:ascii="Arial" w:eastAsia="Times New Roman" w:hAnsi="Arial" w:cs="Arial"/>
                <w:strike/>
                <w:sz w:val="20"/>
                <w:lang w:val="en-US"/>
              </w:rPr>
              <w:t>23.3.4.2</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DE59D6" w:rsidRPr="00CB656F" w:rsidRDefault="00DE59D6" w:rsidP="00E16C90">
            <w:pPr>
              <w:rPr>
                <w:rFonts w:ascii="Arial" w:eastAsia="Times New Roman" w:hAnsi="Arial" w:cs="Arial"/>
                <w:strike/>
                <w:sz w:val="20"/>
                <w:lang w:val="en-US"/>
              </w:rPr>
            </w:pPr>
            <w:r w:rsidRPr="00CB656F">
              <w:rPr>
                <w:rFonts w:ascii="Arial" w:eastAsia="Times New Roman" w:hAnsi="Arial" w:cs="Arial"/>
                <w:strike/>
                <w:sz w:val="20"/>
                <w:lang w:val="en-US"/>
              </w:rPr>
              <w:t>T</w:t>
            </w:r>
          </w:p>
        </w:tc>
        <w:tc>
          <w:tcPr>
            <w:tcW w:w="907" w:type="dxa"/>
            <w:tcBorders>
              <w:top w:val="single" w:sz="4" w:space="0" w:color="auto"/>
              <w:left w:val="single" w:sz="4" w:space="0" w:color="auto"/>
              <w:bottom w:val="single" w:sz="4" w:space="0" w:color="auto"/>
              <w:right w:val="single" w:sz="4" w:space="0" w:color="auto"/>
            </w:tcBorders>
            <w:shd w:val="clear" w:color="auto" w:fill="auto"/>
            <w:hideMark/>
          </w:tcPr>
          <w:p w:rsidR="00DE59D6" w:rsidRPr="00CB656F" w:rsidRDefault="00DE59D6" w:rsidP="00E16C90">
            <w:pPr>
              <w:jc w:val="right"/>
              <w:rPr>
                <w:rFonts w:ascii="Arial" w:eastAsia="Times New Roman" w:hAnsi="Arial" w:cs="Arial"/>
                <w:strike/>
                <w:sz w:val="20"/>
                <w:lang w:val="en-US"/>
              </w:rPr>
            </w:pPr>
            <w:r w:rsidRPr="00CB656F">
              <w:rPr>
                <w:rFonts w:ascii="Arial" w:eastAsia="Times New Roman" w:hAnsi="Arial" w:cs="Arial"/>
                <w:strike/>
                <w:sz w:val="20"/>
                <w:lang w:val="en-US"/>
              </w:rPr>
              <w:t>234.01</w:t>
            </w: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rsidR="00DE59D6" w:rsidRPr="00CB656F" w:rsidRDefault="00DE59D6" w:rsidP="00E16C90">
            <w:pPr>
              <w:rPr>
                <w:rFonts w:ascii="Arial" w:eastAsia="Times New Roman" w:hAnsi="Arial" w:cs="Arial"/>
                <w:strike/>
                <w:sz w:val="20"/>
                <w:lang w:val="en-US"/>
              </w:rPr>
            </w:pPr>
            <w:r w:rsidRPr="00CB656F">
              <w:rPr>
                <w:rFonts w:ascii="Arial" w:eastAsia="Times New Roman" w:hAnsi="Arial" w:cs="Arial"/>
                <w:strike/>
                <w:sz w:val="20"/>
                <w:lang w:val="en-US"/>
              </w:rPr>
              <w:t xml:space="preserve">In current draft, TVWT_MODE_1 uses down-clock factor of 7.5 (in case of 6 MHz and 7 MHz) channel. Due to this fact, the length of preamble is much larger than that of 20 </w:t>
            </w:r>
            <w:proofErr w:type="spellStart"/>
            <w:r w:rsidRPr="00CB656F">
              <w:rPr>
                <w:rFonts w:ascii="Arial" w:eastAsia="Times New Roman" w:hAnsi="Arial" w:cs="Arial"/>
                <w:strike/>
                <w:sz w:val="20"/>
                <w:lang w:val="en-US"/>
              </w:rPr>
              <w:t>MHz.</w:t>
            </w:r>
            <w:proofErr w:type="spellEnd"/>
            <w:r w:rsidRPr="00CB656F">
              <w:rPr>
                <w:rFonts w:ascii="Arial" w:eastAsia="Times New Roman" w:hAnsi="Arial" w:cs="Arial"/>
                <w:strike/>
                <w:sz w:val="20"/>
                <w:lang w:val="en-US"/>
              </w:rPr>
              <w:t xml:space="preserve"> Consider a method to reduce preamble length. E.g. one of the </w:t>
            </w:r>
            <w:proofErr w:type="gramStart"/>
            <w:r w:rsidRPr="00CB656F">
              <w:rPr>
                <w:rFonts w:ascii="Arial" w:eastAsia="Times New Roman" w:hAnsi="Arial" w:cs="Arial"/>
                <w:strike/>
                <w:sz w:val="20"/>
                <w:lang w:val="en-US"/>
              </w:rPr>
              <w:t>way</w:t>
            </w:r>
            <w:proofErr w:type="gramEnd"/>
            <w:r w:rsidRPr="00CB656F">
              <w:rPr>
                <w:rFonts w:ascii="Arial" w:eastAsia="Times New Roman" w:hAnsi="Arial" w:cs="Arial"/>
                <w:strike/>
                <w:sz w:val="20"/>
                <w:lang w:val="en-US"/>
              </w:rPr>
              <w:t xml:space="preserve"> to reduce this preamble is reducing the size of L-STF.</w:t>
            </w:r>
          </w:p>
        </w:tc>
        <w:tc>
          <w:tcPr>
            <w:tcW w:w="2580" w:type="dxa"/>
            <w:tcBorders>
              <w:top w:val="single" w:sz="4" w:space="0" w:color="auto"/>
              <w:left w:val="single" w:sz="4" w:space="0" w:color="auto"/>
              <w:bottom w:val="single" w:sz="4" w:space="0" w:color="auto"/>
              <w:right w:val="single" w:sz="4" w:space="0" w:color="auto"/>
            </w:tcBorders>
            <w:shd w:val="clear" w:color="auto" w:fill="auto"/>
            <w:hideMark/>
          </w:tcPr>
          <w:p w:rsidR="00DE59D6" w:rsidRPr="00CB656F" w:rsidRDefault="00DE59D6" w:rsidP="00E16C90">
            <w:pPr>
              <w:rPr>
                <w:rFonts w:ascii="Arial" w:eastAsia="Times New Roman" w:hAnsi="Arial" w:cs="Arial"/>
                <w:strike/>
                <w:sz w:val="20"/>
                <w:lang w:val="en-US"/>
              </w:rPr>
            </w:pPr>
            <w:r w:rsidRPr="00CB656F">
              <w:rPr>
                <w:rFonts w:ascii="Arial" w:eastAsia="Times New Roman" w:hAnsi="Arial" w:cs="Arial"/>
                <w:strike/>
                <w:sz w:val="20"/>
                <w:lang w:val="en-US"/>
              </w:rPr>
              <w:t>See comment.</w:t>
            </w:r>
          </w:p>
        </w:tc>
      </w:tr>
    </w:tbl>
    <w:p w:rsidR="00DE59D6" w:rsidRPr="00CB656F" w:rsidRDefault="00DE59D6" w:rsidP="00DE59D6">
      <w:pPr>
        <w:rPr>
          <w:strike/>
          <w:lang w:val="en-US"/>
        </w:rPr>
      </w:pPr>
      <w:r w:rsidRPr="00CB656F">
        <w:rPr>
          <w:b/>
          <w:strike/>
          <w:lang w:val="en-US"/>
        </w:rPr>
        <w:t>Resolution</w:t>
      </w:r>
      <w:r w:rsidRPr="00CB656F">
        <w:rPr>
          <w:strike/>
          <w:lang w:val="en-US"/>
        </w:rPr>
        <w:t xml:space="preserve">: </w:t>
      </w:r>
    </w:p>
    <w:p w:rsidR="00DE59D6" w:rsidRPr="00CB656F" w:rsidRDefault="00DE59D6" w:rsidP="00DE59D6">
      <w:pPr>
        <w:rPr>
          <w:strike/>
          <w:lang w:val="en-US"/>
        </w:rPr>
      </w:pPr>
      <w:r w:rsidRPr="00CB656F">
        <w:rPr>
          <w:b/>
          <w:strike/>
          <w:lang w:val="en-US"/>
        </w:rPr>
        <w:t>Discussion</w:t>
      </w:r>
      <w:r w:rsidRPr="00CB656F">
        <w:rPr>
          <w:strike/>
          <w:lang w:val="en-US"/>
        </w:rPr>
        <w:t xml:space="preserve">:  </w:t>
      </w:r>
    </w:p>
    <w:p w:rsidR="00DE59D6" w:rsidRDefault="00DE59D6" w:rsidP="00DE59D6">
      <w:pPr>
        <w:rPr>
          <w:lang w:val="en-US"/>
        </w:rPr>
      </w:pPr>
      <w:r w:rsidRPr="00CB656F">
        <w:rPr>
          <w:b/>
          <w:strike/>
          <w:lang w:val="en-US"/>
        </w:rPr>
        <w:t>Change</w:t>
      </w:r>
      <w:r w:rsidRPr="00CB656F">
        <w:rPr>
          <w:strike/>
          <w:lang w:val="en-US"/>
        </w:rPr>
        <w:t>:</w:t>
      </w:r>
      <w:r>
        <w:rPr>
          <w:lang w:val="en-US"/>
        </w:rPr>
        <w:t xml:space="preserve"> </w:t>
      </w:r>
    </w:p>
    <w:p w:rsidR="00DE59D6" w:rsidRDefault="00DE59D6" w:rsidP="003D32C2">
      <w:pPr>
        <w:rPr>
          <w:lang w:val="en-US"/>
        </w:rPr>
      </w:pPr>
    </w:p>
    <w:tbl>
      <w:tblPr>
        <w:tblW w:w="89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1217"/>
        <w:gridCol w:w="1050"/>
        <w:gridCol w:w="907"/>
        <w:gridCol w:w="2622"/>
        <w:gridCol w:w="2580"/>
      </w:tblGrid>
      <w:tr w:rsidR="00DE59D6" w:rsidRPr="00DE59D6" w:rsidTr="00E16C90">
        <w:trPr>
          <w:trHeight w:val="765"/>
        </w:trPr>
        <w:tc>
          <w:tcPr>
            <w:tcW w:w="593" w:type="dxa"/>
            <w:shd w:val="clear" w:color="auto" w:fill="auto"/>
            <w:hideMark/>
          </w:tcPr>
          <w:p w:rsidR="00DE59D6" w:rsidRPr="00DE59D6" w:rsidRDefault="00DE59D6" w:rsidP="00E16C90">
            <w:pPr>
              <w:jc w:val="right"/>
              <w:rPr>
                <w:rFonts w:ascii="Arial" w:eastAsia="Times New Roman" w:hAnsi="Arial" w:cs="Arial"/>
                <w:sz w:val="20"/>
                <w:lang w:val="en-US"/>
              </w:rPr>
            </w:pPr>
            <w:r w:rsidRPr="00DE59D6">
              <w:rPr>
                <w:rFonts w:ascii="Arial" w:eastAsia="Times New Roman" w:hAnsi="Arial" w:cs="Arial"/>
                <w:sz w:val="20"/>
                <w:lang w:val="en-US"/>
              </w:rPr>
              <w:t>794</w:t>
            </w:r>
          </w:p>
        </w:tc>
        <w:tc>
          <w:tcPr>
            <w:tcW w:w="1217"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23.3.6</w:t>
            </w:r>
          </w:p>
        </w:tc>
        <w:tc>
          <w:tcPr>
            <w:tcW w:w="1050"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T</w:t>
            </w:r>
          </w:p>
        </w:tc>
        <w:tc>
          <w:tcPr>
            <w:tcW w:w="907" w:type="dxa"/>
            <w:shd w:val="clear" w:color="auto" w:fill="auto"/>
            <w:hideMark/>
          </w:tcPr>
          <w:p w:rsidR="00DE59D6" w:rsidRPr="00DE59D6" w:rsidRDefault="00DE59D6" w:rsidP="00E16C90">
            <w:pPr>
              <w:jc w:val="right"/>
              <w:rPr>
                <w:rFonts w:ascii="Arial" w:eastAsia="Times New Roman" w:hAnsi="Arial" w:cs="Arial"/>
                <w:sz w:val="20"/>
                <w:lang w:val="en-US"/>
              </w:rPr>
            </w:pPr>
            <w:r w:rsidRPr="00DE59D6">
              <w:rPr>
                <w:rFonts w:ascii="Arial" w:eastAsia="Times New Roman" w:hAnsi="Arial" w:cs="Arial"/>
                <w:sz w:val="20"/>
                <w:lang w:val="en-US"/>
              </w:rPr>
              <w:t>237.01</w:t>
            </w:r>
          </w:p>
        </w:tc>
        <w:tc>
          <w:tcPr>
            <w:tcW w:w="2622"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NSR is defined twice and differently in table 23-3 and table 23-4.</w:t>
            </w:r>
          </w:p>
        </w:tc>
        <w:tc>
          <w:tcPr>
            <w:tcW w:w="2580"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Change NSR in Table 23-4 to another parameter, e.g. NTT as proposed in 11-12/809r5.</w:t>
            </w:r>
          </w:p>
        </w:tc>
      </w:tr>
    </w:tbl>
    <w:p w:rsidR="00DE59D6" w:rsidRDefault="00DE59D6" w:rsidP="00DE59D6">
      <w:pPr>
        <w:rPr>
          <w:lang w:val="en-US"/>
        </w:rPr>
      </w:pPr>
      <w:r w:rsidRPr="007D4937">
        <w:rPr>
          <w:b/>
          <w:lang w:val="en-US"/>
        </w:rPr>
        <w:t>Resolution</w:t>
      </w:r>
      <w:r w:rsidRPr="007D4937">
        <w:rPr>
          <w:lang w:val="en-US"/>
        </w:rPr>
        <w:t xml:space="preserve">: </w:t>
      </w:r>
      <w:r w:rsidR="00AF0F95">
        <w:rPr>
          <w:lang w:val="en-US"/>
        </w:rPr>
        <w:t>Accept.</w:t>
      </w:r>
    </w:p>
    <w:p w:rsidR="00DE59D6" w:rsidRDefault="00DE59D6" w:rsidP="00DE59D6">
      <w:pPr>
        <w:rPr>
          <w:lang w:val="en-US"/>
        </w:rPr>
      </w:pPr>
      <w:r w:rsidRPr="007D4937">
        <w:rPr>
          <w:b/>
          <w:lang w:val="en-US"/>
        </w:rPr>
        <w:t>Discussion</w:t>
      </w:r>
      <w:r w:rsidRPr="007D4937">
        <w:rPr>
          <w:lang w:val="en-US"/>
        </w:rPr>
        <w:t xml:space="preserve">: </w:t>
      </w:r>
      <w:r w:rsidR="00AF0F95">
        <w:rPr>
          <w:lang w:val="en-US"/>
        </w:rPr>
        <w:t xml:space="preserve">Agree that N_SR is being used to represent two different parameters. </w:t>
      </w:r>
    </w:p>
    <w:p w:rsidR="00DE59D6" w:rsidRDefault="00DE59D6" w:rsidP="00DE59D6">
      <w:pPr>
        <w:rPr>
          <w:lang w:val="en-US"/>
        </w:rPr>
      </w:pPr>
      <w:r w:rsidRPr="00F24CF4">
        <w:rPr>
          <w:b/>
          <w:lang w:val="en-US"/>
        </w:rPr>
        <w:t>Change</w:t>
      </w:r>
      <w:r>
        <w:rPr>
          <w:lang w:val="en-US"/>
        </w:rPr>
        <w:t xml:space="preserve">: </w:t>
      </w:r>
      <w:r w:rsidR="00484EEF" w:rsidRPr="00484EEF">
        <w:rPr>
          <w:i/>
          <w:highlight w:val="yellow"/>
          <w:lang w:val="en-US"/>
        </w:rPr>
        <w:t>Note to Editor</w:t>
      </w:r>
      <w:r w:rsidR="00484EEF">
        <w:rPr>
          <w:lang w:val="en-US"/>
        </w:rPr>
        <w:t xml:space="preserve">: </w:t>
      </w:r>
      <w:r w:rsidR="00AF0F95">
        <w:rPr>
          <w:lang w:val="en-US"/>
        </w:rPr>
        <w:t xml:space="preserve">Change “N_SR” to “N_TT” in Table 23-4, page 237 </w:t>
      </w:r>
      <w:proofErr w:type="gramStart"/>
      <w:r w:rsidR="00AF0F95">
        <w:rPr>
          <w:lang w:val="en-US"/>
        </w:rPr>
        <w:t>line</w:t>
      </w:r>
      <w:proofErr w:type="gramEnd"/>
      <w:r w:rsidR="00AF0F95">
        <w:rPr>
          <w:lang w:val="en-US"/>
        </w:rPr>
        <w:t xml:space="preserve"> 43.</w:t>
      </w:r>
    </w:p>
    <w:p w:rsidR="00DE59D6" w:rsidRDefault="00DE59D6" w:rsidP="003D32C2">
      <w:pPr>
        <w:rPr>
          <w:lang w:val="en-US"/>
        </w:rPr>
      </w:pPr>
    </w:p>
    <w:tbl>
      <w:tblPr>
        <w:tblW w:w="89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1217"/>
        <w:gridCol w:w="1050"/>
        <w:gridCol w:w="907"/>
        <w:gridCol w:w="2622"/>
        <w:gridCol w:w="2580"/>
      </w:tblGrid>
      <w:tr w:rsidR="00DE59D6" w:rsidRPr="00DE59D6" w:rsidTr="00E16C90">
        <w:trPr>
          <w:trHeight w:val="2295"/>
        </w:trPr>
        <w:tc>
          <w:tcPr>
            <w:tcW w:w="593" w:type="dxa"/>
            <w:shd w:val="clear" w:color="auto" w:fill="auto"/>
            <w:hideMark/>
          </w:tcPr>
          <w:p w:rsidR="00DE59D6" w:rsidRPr="00DE59D6" w:rsidRDefault="00DE59D6" w:rsidP="00E16C90">
            <w:pPr>
              <w:jc w:val="right"/>
              <w:rPr>
                <w:rFonts w:ascii="Arial" w:eastAsia="Times New Roman" w:hAnsi="Arial" w:cs="Arial"/>
                <w:sz w:val="20"/>
                <w:lang w:val="en-US"/>
              </w:rPr>
            </w:pPr>
            <w:r w:rsidRPr="00DE59D6">
              <w:rPr>
                <w:rFonts w:ascii="Arial" w:eastAsia="Times New Roman" w:hAnsi="Arial" w:cs="Arial"/>
                <w:sz w:val="20"/>
                <w:lang w:val="en-US"/>
              </w:rPr>
              <w:lastRenderedPageBreak/>
              <w:t>803</w:t>
            </w:r>
          </w:p>
        </w:tc>
        <w:tc>
          <w:tcPr>
            <w:tcW w:w="1217"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23.3.6</w:t>
            </w:r>
          </w:p>
        </w:tc>
        <w:tc>
          <w:tcPr>
            <w:tcW w:w="1050"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T</w:t>
            </w:r>
          </w:p>
        </w:tc>
        <w:tc>
          <w:tcPr>
            <w:tcW w:w="907" w:type="dxa"/>
            <w:shd w:val="clear" w:color="auto" w:fill="auto"/>
            <w:hideMark/>
          </w:tcPr>
          <w:p w:rsidR="00DE59D6" w:rsidRPr="00DE59D6" w:rsidRDefault="00DE59D6" w:rsidP="00E16C90">
            <w:pPr>
              <w:jc w:val="right"/>
              <w:rPr>
                <w:rFonts w:ascii="Arial" w:eastAsia="Times New Roman" w:hAnsi="Arial" w:cs="Arial"/>
                <w:sz w:val="20"/>
                <w:lang w:val="en-US"/>
              </w:rPr>
            </w:pPr>
            <w:r w:rsidRPr="00DE59D6">
              <w:rPr>
                <w:rFonts w:ascii="Arial" w:eastAsia="Times New Roman" w:hAnsi="Arial" w:cs="Arial"/>
                <w:sz w:val="20"/>
                <w:lang w:val="en-US"/>
              </w:rPr>
              <w:t>237.32</w:t>
            </w:r>
          </w:p>
        </w:tc>
        <w:tc>
          <w:tcPr>
            <w:tcW w:w="2622"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 xml:space="preserve">Table 23-4: It appears that tone locations of Mode_2C, Mode_2N, Mode_4C, </w:t>
            </w:r>
            <w:proofErr w:type="gramStart"/>
            <w:r w:rsidRPr="00DE59D6">
              <w:rPr>
                <w:rFonts w:ascii="Arial" w:eastAsia="Times New Roman" w:hAnsi="Arial" w:cs="Arial"/>
                <w:sz w:val="20"/>
                <w:lang w:val="en-US"/>
              </w:rPr>
              <w:t>Mode</w:t>
            </w:r>
            <w:proofErr w:type="gramEnd"/>
            <w:r w:rsidRPr="00DE59D6">
              <w:rPr>
                <w:rFonts w:ascii="Arial" w:eastAsia="Times New Roman" w:hAnsi="Arial" w:cs="Arial"/>
                <w:sz w:val="20"/>
                <w:lang w:val="en-US"/>
              </w:rPr>
              <w:t xml:space="preserve">_4N are changed from that of 11ac. The </w:t>
            </w:r>
            <w:proofErr w:type="gramStart"/>
            <w:r w:rsidRPr="00DE59D6">
              <w:rPr>
                <w:rFonts w:ascii="Arial" w:eastAsia="Times New Roman" w:hAnsi="Arial" w:cs="Arial"/>
                <w:sz w:val="20"/>
                <w:lang w:val="en-US"/>
              </w:rPr>
              <w:t>changes appears</w:t>
            </w:r>
            <w:proofErr w:type="gramEnd"/>
            <w:r w:rsidRPr="00DE59D6">
              <w:rPr>
                <w:rFonts w:ascii="Arial" w:eastAsia="Times New Roman" w:hAnsi="Arial" w:cs="Arial"/>
                <w:sz w:val="20"/>
                <w:lang w:val="en-US"/>
              </w:rPr>
              <w:t xml:space="preserve"> to </w:t>
            </w:r>
            <w:proofErr w:type="spellStart"/>
            <w:r w:rsidRPr="00DE59D6">
              <w:rPr>
                <w:rFonts w:ascii="Arial" w:eastAsia="Times New Roman" w:hAnsi="Arial" w:cs="Arial"/>
                <w:sz w:val="20"/>
                <w:lang w:val="en-US"/>
              </w:rPr>
              <w:t>accomodate</w:t>
            </w:r>
            <w:proofErr w:type="spellEnd"/>
            <w:r w:rsidRPr="00DE59D6">
              <w:rPr>
                <w:rFonts w:ascii="Arial" w:eastAsia="Times New Roman" w:hAnsi="Arial" w:cs="Arial"/>
                <w:sz w:val="20"/>
                <w:lang w:val="en-US"/>
              </w:rPr>
              <w:t xml:space="preserve"> the inclusion of Mode_2N. Is the Mode_2N so important to justify such </w:t>
            </w:r>
            <w:proofErr w:type="gramStart"/>
            <w:r w:rsidRPr="00DE59D6">
              <w:rPr>
                <w:rFonts w:ascii="Arial" w:eastAsia="Times New Roman" w:hAnsi="Arial" w:cs="Arial"/>
                <w:sz w:val="20"/>
                <w:lang w:val="en-US"/>
              </w:rPr>
              <w:t>changes ?</w:t>
            </w:r>
            <w:proofErr w:type="gramEnd"/>
          </w:p>
        </w:tc>
        <w:tc>
          <w:tcPr>
            <w:tcW w:w="2580"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Please justify the changes.</w:t>
            </w:r>
          </w:p>
        </w:tc>
      </w:tr>
    </w:tbl>
    <w:p w:rsidR="00DE59D6" w:rsidRDefault="00DE59D6" w:rsidP="00DE59D6">
      <w:pPr>
        <w:rPr>
          <w:lang w:val="en-US"/>
        </w:rPr>
      </w:pPr>
      <w:r w:rsidRPr="007D4937">
        <w:rPr>
          <w:b/>
          <w:lang w:val="en-US"/>
        </w:rPr>
        <w:t>Resolution</w:t>
      </w:r>
      <w:r w:rsidRPr="007D4937">
        <w:rPr>
          <w:lang w:val="en-US"/>
        </w:rPr>
        <w:t xml:space="preserve">: </w:t>
      </w:r>
      <w:r w:rsidR="00F06E09">
        <w:rPr>
          <w:lang w:val="en-US"/>
        </w:rPr>
        <w:t>Reject</w:t>
      </w:r>
    </w:p>
    <w:p w:rsidR="00DE59D6" w:rsidRPr="00F06E09" w:rsidRDefault="00DE59D6" w:rsidP="00DE59D6">
      <w:pPr>
        <w:rPr>
          <w:szCs w:val="22"/>
          <w:lang w:val="en-US"/>
        </w:rPr>
      </w:pPr>
      <w:r w:rsidRPr="00F06E09">
        <w:rPr>
          <w:b/>
          <w:szCs w:val="22"/>
          <w:lang w:val="en-US"/>
        </w:rPr>
        <w:t>Discussion</w:t>
      </w:r>
      <w:r w:rsidRPr="00F06E09">
        <w:rPr>
          <w:szCs w:val="22"/>
          <w:lang w:val="en-US"/>
        </w:rPr>
        <w:t xml:space="preserve">:  </w:t>
      </w:r>
      <w:r w:rsidR="00F06E09" w:rsidRPr="00F06E09">
        <w:rPr>
          <w:szCs w:val="22"/>
          <w:lang w:val="en-US"/>
        </w:rPr>
        <w:t xml:space="preserve">11ac only supports contiguous and non-contiguous concatenation of 80MHz channels. On the other hand, 11af uses 11ac 40MHz waveform as the baseline i.e. TVHT_MODE_1 waveform is derived by </w:t>
      </w:r>
      <w:proofErr w:type="spellStart"/>
      <w:r w:rsidR="00F06E09" w:rsidRPr="00F06E09">
        <w:rPr>
          <w:szCs w:val="22"/>
          <w:lang w:val="en-US"/>
        </w:rPr>
        <w:t>downclocking</w:t>
      </w:r>
      <w:proofErr w:type="spellEnd"/>
      <w:r w:rsidR="00F06E09" w:rsidRPr="00F06E09">
        <w:rPr>
          <w:szCs w:val="22"/>
          <w:lang w:val="en-US"/>
        </w:rPr>
        <w:t xml:space="preserve"> the 11ac (VHT) 40 MHz waveform. Tone map of VHT 40 MHz is identical to TVHT_MODE_1. </w:t>
      </w:r>
      <w:r w:rsidR="00665926">
        <w:rPr>
          <w:szCs w:val="22"/>
          <w:lang w:val="en-US"/>
        </w:rPr>
        <w:t>Nevertheless in all TVHT waveforms, the tone map within each frequency segment is identical to the VHT 40 MHz tone map. Since concatenated</w:t>
      </w:r>
      <w:r w:rsidR="00F06E09" w:rsidRPr="00F06E09">
        <w:rPr>
          <w:szCs w:val="22"/>
          <w:lang w:val="en-US"/>
        </w:rPr>
        <w:t xml:space="preserve"> TVHT waveforms (</w:t>
      </w:r>
      <w:r w:rsidR="00F06E09" w:rsidRPr="00F06E09">
        <w:rPr>
          <w:rFonts w:eastAsia="Times New Roman"/>
          <w:szCs w:val="22"/>
          <w:lang w:val="en-US"/>
        </w:rPr>
        <w:t xml:space="preserve">Mode_2C, Mode_2N, Mode_4C, </w:t>
      </w:r>
      <w:proofErr w:type="gramStart"/>
      <w:r w:rsidR="00F06E09" w:rsidRPr="00F06E09">
        <w:rPr>
          <w:rFonts w:eastAsia="Times New Roman"/>
          <w:szCs w:val="22"/>
          <w:lang w:val="en-US"/>
        </w:rPr>
        <w:t>Mode</w:t>
      </w:r>
      <w:proofErr w:type="gramEnd"/>
      <w:r w:rsidR="00F06E09" w:rsidRPr="00F06E09">
        <w:rPr>
          <w:rFonts w:eastAsia="Times New Roman"/>
          <w:szCs w:val="22"/>
          <w:lang w:val="en-US"/>
        </w:rPr>
        <w:t>_4N</w:t>
      </w:r>
      <w:r w:rsidR="00F06E09" w:rsidRPr="00F06E09">
        <w:rPr>
          <w:szCs w:val="22"/>
          <w:lang w:val="en-US"/>
        </w:rPr>
        <w:t>) do not have equivalent 11ac waveforms, the comment is not valid.</w:t>
      </w:r>
      <w:r w:rsidR="00F06E09">
        <w:rPr>
          <w:szCs w:val="22"/>
          <w:lang w:val="en-US"/>
        </w:rPr>
        <w:t xml:space="preserve"> </w:t>
      </w:r>
    </w:p>
    <w:p w:rsidR="00F06E09" w:rsidRDefault="00F06E09" w:rsidP="00DE59D6">
      <w:pPr>
        <w:rPr>
          <w:lang w:val="en-US"/>
        </w:rPr>
      </w:pPr>
    </w:p>
    <w:p w:rsidR="00DE59D6" w:rsidRDefault="00DE59D6" w:rsidP="00DE59D6">
      <w:pPr>
        <w:rPr>
          <w:lang w:val="en-US"/>
        </w:rPr>
      </w:pPr>
      <w:r w:rsidRPr="00F24CF4">
        <w:rPr>
          <w:b/>
          <w:lang w:val="en-US"/>
        </w:rPr>
        <w:t>Change</w:t>
      </w:r>
      <w:r>
        <w:rPr>
          <w:lang w:val="en-US"/>
        </w:rPr>
        <w:t xml:space="preserve">: </w:t>
      </w:r>
      <w:r w:rsidR="00F06E09">
        <w:rPr>
          <w:lang w:val="en-US"/>
        </w:rPr>
        <w:t>No change required.</w:t>
      </w:r>
    </w:p>
    <w:p w:rsidR="00DE59D6" w:rsidRDefault="00DE59D6" w:rsidP="003D32C2">
      <w:pPr>
        <w:rPr>
          <w:lang w:val="en-US"/>
        </w:rPr>
      </w:pPr>
    </w:p>
    <w:tbl>
      <w:tblPr>
        <w:tblW w:w="89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1217"/>
        <w:gridCol w:w="1050"/>
        <w:gridCol w:w="907"/>
        <w:gridCol w:w="2622"/>
        <w:gridCol w:w="2580"/>
      </w:tblGrid>
      <w:tr w:rsidR="00DE59D6" w:rsidRPr="00DE59D6" w:rsidTr="00E16C90">
        <w:trPr>
          <w:trHeight w:val="1020"/>
        </w:trPr>
        <w:tc>
          <w:tcPr>
            <w:tcW w:w="593" w:type="dxa"/>
            <w:shd w:val="clear" w:color="auto" w:fill="auto"/>
            <w:hideMark/>
          </w:tcPr>
          <w:p w:rsidR="00DE59D6" w:rsidRPr="00DE59D6" w:rsidRDefault="00DE59D6" w:rsidP="00E16C90">
            <w:pPr>
              <w:jc w:val="right"/>
              <w:rPr>
                <w:rFonts w:ascii="Arial" w:eastAsia="Times New Roman" w:hAnsi="Arial" w:cs="Arial"/>
                <w:sz w:val="20"/>
                <w:lang w:val="en-US"/>
              </w:rPr>
            </w:pPr>
            <w:r w:rsidRPr="00DE59D6">
              <w:rPr>
                <w:rFonts w:ascii="Arial" w:eastAsia="Times New Roman" w:hAnsi="Arial" w:cs="Arial"/>
                <w:sz w:val="20"/>
                <w:lang w:val="en-US"/>
              </w:rPr>
              <w:t>854</w:t>
            </w:r>
          </w:p>
        </w:tc>
        <w:tc>
          <w:tcPr>
            <w:tcW w:w="1217"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23.3.19.5.4</w:t>
            </w:r>
          </w:p>
        </w:tc>
        <w:tc>
          <w:tcPr>
            <w:tcW w:w="1050"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T</w:t>
            </w:r>
          </w:p>
        </w:tc>
        <w:tc>
          <w:tcPr>
            <w:tcW w:w="907" w:type="dxa"/>
            <w:shd w:val="clear" w:color="auto" w:fill="auto"/>
            <w:hideMark/>
          </w:tcPr>
          <w:p w:rsidR="00DE59D6" w:rsidRPr="00DE59D6" w:rsidRDefault="00DE59D6" w:rsidP="00E16C90">
            <w:pPr>
              <w:jc w:val="right"/>
              <w:rPr>
                <w:rFonts w:ascii="Arial" w:eastAsia="Times New Roman" w:hAnsi="Arial" w:cs="Arial"/>
                <w:sz w:val="20"/>
                <w:lang w:val="en-US"/>
              </w:rPr>
            </w:pPr>
            <w:r w:rsidRPr="00DE59D6">
              <w:rPr>
                <w:rFonts w:ascii="Arial" w:eastAsia="Times New Roman" w:hAnsi="Arial" w:cs="Arial"/>
                <w:sz w:val="20"/>
                <w:lang w:val="en-US"/>
              </w:rPr>
              <w:t>255.58</w:t>
            </w:r>
          </w:p>
        </w:tc>
        <w:tc>
          <w:tcPr>
            <w:tcW w:w="2622"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 xml:space="preserve">There seems </w:t>
            </w:r>
            <w:proofErr w:type="spellStart"/>
            <w:r w:rsidRPr="00DE59D6">
              <w:rPr>
                <w:rFonts w:ascii="Arial" w:eastAsia="Times New Roman" w:hAnsi="Arial" w:cs="Arial"/>
                <w:sz w:val="20"/>
                <w:lang w:val="en-US"/>
              </w:rPr>
              <w:t>tot</w:t>
            </w:r>
            <w:proofErr w:type="spellEnd"/>
            <w:r w:rsidRPr="00DE59D6">
              <w:rPr>
                <w:rFonts w:ascii="Arial" w:eastAsia="Times New Roman" w:hAnsi="Arial" w:cs="Arial"/>
                <w:sz w:val="20"/>
                <w:lang w:val="en-US"/>
              </w:rPr>
              <w:t xml:space="preserve"> be a typo in the values for 16MHz as this number should be greater than the value for 14 </w:t>
            </w:r>
            <w:proofErr w:type="spellStart"/>
            <w:r w:rsidRPr="00DE59D6">
              <w:rPr>
                <w:rFonts w:ascii="Arial" w:eastAsia="Times New Roman" w:hAnsi="Arial" w:cs="Arial"/>
                <w:sz w:val="20"/>
                <w:lang w:val="en-US"/>
              </w:rPr>
              <w:t>MHz.</w:t>
            </w:r>
            <w:proofErr w:type="spellEnd"/>
          </w:p>
        </w:tc>
        <w:tc>
          <w:tcPr>
            <w:tcW w:w="2580" w:type="dxa"/>
            <w:shd w:val="clear" w:color="auto" w:fill="auto"/>
            <w:hideMark/>
          </w:tcPr>
          <w:p w:rsidR="00DE59D6" w:rsidRPr="00DE59D6" w:rsidRDefault="00DE59D6" w:rsidP="00E16C90">
            <w:pPr>
              <w:rPr>
                <w:rFonts w:ascii="Arial" w:eastAsia="Times New Roman" w:hAnsi="Arial" w:cs="Arial"/>
                <w:sz w:val="20"/>
                <w:lang w:val="en-US"/>
              </w:rPr>
            </w:pPr>
            <w:r w:rsidRPr="00DE59D6">
              <w:rPr>
                <w:rFonts w:ascii="Arial" w:eastAsia="Times New Roman" w:hAnsi="Arial" w:cs="Arial"/>
                <w:sz w:val="20"/>
                <w:lang w:val="en-US"/>
              </w:rPr>
              <w:t xml:space="preserve">The "-66.5 </w:t>
            </w:r>
            <w:proofErr w:type="spellStart"/>
            <w:r w:rsidRPr="00DE59D6">
              <w:rPr>
                <w:rFonts w:ascii="Arial" w:eastAsia="Times New Roman" w:hAnsi="Arial" w:cs="Arial"/>
                <w:sz w:val="20"/>
                <w:lang w:val="en-US"/>
              </w:rPr>
              <w:t>dBm</w:t>
            </w:r>
            <w:proofErr w:type="spellEnd"/>
            <w:r w:rsidRPr="00DE59D6">
              <w:rPr>
                <w:rFonts w:ascii="Arial" w:eastAsia="Times New Roman" w:hAnsi="Arial" w:cs="Arial"/>
                <w:sz w:val="20"/>
                <w:lang w:val="en-US"/>
              </w:rPr>
              <w:t xml:space="preserve">" should be replaced by "-63.5 </w:t>
            </w:r>
            <w:proofErr w:type="spellStart"/>
            <w:r w:rsidRPr="00DE59D6">
              <w:rPr>
                <w:rFonts w:ascii="Arial" w:eastAsia="Times New Roman" w:hAnsi="Arial" w:cs="Arial"/>
                <w:sz w:val="20"/>
                <w:lang w:val="en-US"/>
              </w:rPr>
              <w:t>dBm</w:t>
            </w:r>
            <w:proofErr w:type="spellEnd"/>
            <w:r w:rsidRPr="00DE59D6">
              <w:rPr>
                <w:rFonts w:ascii="Arial" w:eastAsia="Times New Roman" w:hAnsi="Arial" w:cs="Arial"/>
                <w:sz w:val="20"/>
                <w:lang w:val="en-US"/>
              </w:rPr>
              <w:t>" at the 5th line from the bottom.</w:t>
            </w:r>
          </w:p>
        </w:tc>
      </w:tr>
    </w:tbl>
    <w:p w:rsidR="00DE59D6" w:rsidRDefault="00DE59D6" w:rsidP="00DE59D6">
      <w:pPr>
        <w:rPr>
          <w:lang w:val="en-US"/>
        </w:rPr>
      </w:pPr>
      <w:r w:rsidRPr="007D4937">
        <w:rPr>
          <w:b/>
          <w:lang w:val="en-US"/>
        </w:rPr>
        <w:t>Resolution</w:t>
      </w:r>
      <w:r w:rsidRPr="007D4937">
        <w:rPr>
          <w:lang w:val="en-US"/>
        </w:rPr>
        <w:t xml:space="preserve">: </w:t>
      </w:r>
      <w:r w:rsidR="009C7B06">
        <w:rPr>
          <w:lang w:val="en-US"/>
        </w:rPr>
        <w:t>Accept.</w:t>
      </w:r>
    </w:p>
    <w:p w:rsidR="00DE59D6" w:rsidRDefault="00DE59D6" w:rsidP="00DE59D6">
      <w:pPr>
        <w:rPr>
          <w:lang w:val="en-US"/>
        </w:rPr>
      </w:pPr>
      <w:r w:rsidRPr="007D4937">
        <w:rPr>
          <w:b/>
          <w:lang w:val="en-US"/>
        </w:rPr>
        <w:t>Discussion</w:t>
      </w:r>
      <w:r w:rsidRPr="007D4937">
        <w:rPr>
          <w:lang w:val="en-US"/>
        </w:rPr>
        <w:t xml:space="preserve">: </w:t>
      </w:r>
      <w:r>
        <w:rPr>
          <w:lang w:val="en-US"/>
        </w:rPr>
        <w:t xml:space="preserve"> </w:t>
      </w:r>
      <w:r w:rsidR="009C7B06">
        <w:rPr>
          <w:lang w:val="en-US"/>
        </w:rPr>
        <w:t>This seems to be a typo.</w:t>
      </w:r>
    </w:p>
    <w:p w:rsidR="00DE59D6" w:rsidRDefault="00DE59D6" w:rsidP="00DE59D6">
      <w:pPr>
        <w:rPr>
          <w:lang w:val="en-US"/>
        </w:rPr>
      </w:pPr>
      <w:r w:rsidRPr="00F24CF4">
        <w:rPr>
          <w:b/>
          <w:lang w:val="en-US"/>
        </w:rPr>
        <w:t>Change</w:t>
      </w:r>
      <w:r>
        <w:rPr>
          <w:lang w:val="en-US"/>
        </w:rPr>
        <w:t xml:space="preserve">: </w:t>
      </w:r>
      <w:r w:rsidR="009C7B06">
        <w:rPr>
          <w:lang w:val="en-US"/>
        </w:rPr>
        <w:t>As per comment.</w:t>
      </w:r>
    </w:p>
    <w:p w:rsidR="00DE59D6" w:rsidRDefault="00DE59D6" w:rsidP="003D32C2">
      <w:pPr>
        <w:rPr>
          <w:lang w:val="en-US"/>
        </w:rPr>
      </w:pPr>
    </w:p>
    <w:sectPr w:rsidR="00DE59D6" w:rsidSect="008C78FD">
      <w:headerReference w:type="default" r:id="rId7"/>
      <w:footerReference w:type="default" r:id="rId8"/>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C90" w:rsidRDefault="00E16C90">
      <w:r>
        <w:separator/>
      </w:r>
    </w:p>
  </w:endnote>
  <w:endnote w:type="continuationSeparator" w:id="0">
    <w:p w:rsidR="00E16C90" w:rsidRDefault="00E16C9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宋体">
    <w:altName w:val="Arial Unicode MS"/>
    <w:charset w:val="50"/>
    <w:family w:val="auto"/>
    <w:pitch w:val="variable"/>
    <w:sig w:usb0="00000000" w:usb1="00000000" w:usb2="0100040E"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90" w:rsidRDefault="00AA5C5E">
    <w:pPr>
      <w:pStyle w:val="Footer"/>
      <w:tabs>
        <w:tab w:val="clear" w:pos="6480"/>
        <w:tab w:val="center" w:pos="4680"/>
        <w:tab w:val="right" w:pos="9360"/>
      </w:tabs>
    </w:pPr>
    <w:fldSimple w:instr=" SUBJECT  \* MERGEFORMAT ">
      <w:r w:rsidR="00E16C90">
        <w:t>Submission</w:t>
      </w:r>
    </w:fldSimple>
    <w:r w:rsidR="00E16C90">
      <w:tab/>
      <w:t xml:space="preserve">page </w:t>
    </w:r>
    <w:fldSimple w:instr="page ">
      <w:r w:rsidR="00455126">
        <w:rPr>
          <w:noProof/>
        </w:rPr>
        <w:t>1</w:t>
      </w:r>
    </w:fldSimple>
    <w:r w:rsidR="00E16C90">
      <w:tab/>
      <w:t xml:space="preserve">Vish Ponnampalam, </w:t>
    </w:r>
    <w:proofErr w:type="spellStart"/>
    <w:r w:rsidR="00E16C90">
      <w:t>Mediatek</w:t>
    </w:r>
    <w:proofErr w:type="spellEnd"/>
  </w:p>
  <w:p w:rsidR="00E16C90" w:rsidRDefault="00E16C9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C90" w:rsidRDefault="00E16C90">
      <w:r>
        <w:separator/>
      </w:r>
    </w:p>
  </w:footnote>
  <w:footnote w:type="continuationSeparator" w:id="0">
    <w:p w:rsidR="00E16C90" w:rsidRDefault="00E16C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90" w:rsidRDefault="00E16C90">
    <w:pPr>
      <w:pStyle w:val="Header"/>
      <w:tabs>
        <w:tab w:val="clear" w:pos="6480"/>
        <w:tab w:val="center" w:pos="4680"/>
        <w:tab w:val="right" w:pos="9360"/>
      </w:tabs>
    </w:pPr>
    <w:r>
      <w:t>November 2012</w:t>
    </w:r>
    <w:r>
      <w:tab/>
    </w:r>
    <w:r>
      <w:tab/>
    </w:r>
    <w:fldSimple w:instr=" TITLE  \* MERGEFORMAT ">
      <w:r>
        <w:t>doc.: IEEE 802.11-12/1280r</w:t>
      </w:r>
    </w:fldSimple>
    <w: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08AD270"/>
    <w:lvl w:ilvl="0">
      <w:numFmt w:val="bullet"/>
      <w:lvlText w:val="*"/>
      <w:lvlJc w:val="left"/>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3">
    <w:nsid w:val="3CCE678D"/>
    <w:multiLevelType w:val="hybridMultilevel"/>
    <w:tmpl w:val="96FCE84A"/>
    <w:lvl w:ilvl="0" w:tplc="CEF8B9EE">
      <w:start w:val="2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B1A719E"/>
    <w:multiLevelType w:val="hybridMultilevel"/>
    <w:tmpl w:val="3A507A1E"/>
    <w:lvl w:ilvl="0" w:tplc="31E47F9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E82C0B"/>
    <w:multiLevelType w:val="hybridMultilevel"/>
    <w:tmpl w:val="8FCAA7B8"/>
    <w:lvl w:ilvl="0" w:tplc="439AB9C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623FE4"/>
    <w:multiLevelType w:val="hybridMultilevel"/>
    <w:tmpl w:val="75024010"/>
    <w:lvl w:ilvl="0" w:tplc="07AEF616">
      <w:start w:val="2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395551E"/>
    <w:multiLevelType w:val="hybridMultilevel"/>
    <w:tmpl w:val="674428EE"/>
    <w:lvl w:ilvl="0" w:tplc="A31CF46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A472BE"/>
    <w:multiLevelType w:val="hybridMultilevel"/>
    <w:tmpl w:val="5CBE7B84"/>
    <w:lvl w:ilvl="0" w:tplc="9BBC21F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802EB7"/>
    <w:multiLevelType w:val="hybridMultilevel"/>
    <w:tmpl w:val="B5CCFBF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77B5386B"/>
    <w:multiLevelType w:val="hybridMultilevel"/>
    <w:tmpl w:val="27B22B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8"/>
  </w:num>
  <w:num w:numId="4">
    <w:abstractNumId w:val="4"/>
  </w:num>
  <w:num w:numId="5">
    <w:abstractNumId w:val="5"/>
  </w:num>
  <w:num w:numId="6">
    <w:abstractNumId w:val="7"/>
  </w:num>
  <w:num w:numId="7">
    <w:abstractNumId w:val="9"/>
  </w:num>
  <w:num w:numId="8">
    <w:abstractNumId w:val="10"/>
  </w:num>
  <w:num w:numId="9">
    <w:abstractNumId w:val="3"/>
  </w:num>
  <w:num w:numId="10">
    <w:abstractNumId w:val="6"/>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Table 8-13b—"/>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
  <w:rsids>
    <w:rsidRoot w:val="009635A1"/>
    <w:rsid w:val="00007DE2"/>
    <w:rsid w:val="00015D17"/>
    <w:rsid w:val="00016138"/>
    <w:rsid w:val="00017E49"/>
    <w:rsid w:val="00021BA9"/>
    <w:rsid w:val="000318B8"/>
    <w:rsid w:val="00032BB9"/>
    <w:rsid w:val="0004286A"/>
    <w:rsid w:val="00042DDD"/>
    <w:rsid w:val="00043EE8"/>
    <w:rsid w:val="00044546"/>
    <w:rsid w:val="0004728C"/>
    <w:rsid w:val="0005249B"/>
    <w:rsid w:val="00052952"/>
    <w:rsid w:val="000542F9"/>
    <w:rsid w:val="000554C3"/>
    <w:rsid w:val="000572CA"/>
    <w:rsid w:val="00060E58"/>
    <w:rsid w:val="00061E5E"/>
    <w:rsid w:val="00073B2F"/>
    <w:rsid w:val="000943EC"/>
    <w:rsid w:val="00097664"/>
    <w:rsid w:val="000A3324"/>
    <w:rsid w:val="000B6B16"/>
    <w:rsid w:val="000C5AFE"/>
    <w:rsid w:val="000D4C40"/>
    <w:rsid w:val="000D5E1E"/>
    <w:rsid w:val="000D72B1"/>
    <w:rsid w:val="000D792C"/>
    <w:rsid w:val="000E3B12"/>
    <w:rsid w:val="000E7E58"/>
    <w:rsid w:val="000F01CC"/>
    <w:rsid w:val="000F0870"/>
    <w:rsid w:val="000F0E24"/>
    <w:rsid w:val="000F3228"/>
    <w:rsid w:val="000F5B0F"/>
    <w:rsid w:val="00114B3F"/>
    <w:rsid w:val="00114D70"/>
    <w:rsid w:val="00114DC6"/>
    <w:rsid w:val="001206D7"/>
    <w:rsid w:val="001236EA"/>
    <w:rsid w:val="0012580B"/>
    <w:rsid w:val="001262F0"/>
    <w:rsid w:val="00127216"/>
    <w:rsid w:val="0013684E"/>
    <w:rsid w:val="001368D1"/>
    <w:rsid w:val="00140F79"/>
    <w:rsid w:val="001425E9"/>
    <w:rsid w:val="001432F7"/>
    <w:rsid w:val="0014398B"/>
    <w:rsid w:val="00146A8F"/>
    <w:rsid w:val="001509A8"/>
    <w:rsid w:val="001555B1"/>
    <w:rsid w:val="00162EF8"/>
    <w:rsid w:val="00163ABC"/>
    <w:rsid w:val="00164D05"/>
    <w:rsid w:val="00174C33"/>
    <w:rsid w:val="0018374D"/>
    <w:rsid w:val="00183993"/>
    <w:rsid w:val="0018549C"/>
    <w:rsid w:val="0018619C"/>
    <w:rsid w:val="00192184"/>
    <w:rsid w:val="0019413D"/>
    <w:rsid w:val="0019539F"/>
    <w:rsid w:val="00197246"/>
    <w:rsid w:val="001A3E1C"/>
    <w:rsid w:val="001B1F75"/>
    <w:rsid w:val="001B4125"/>
    <w:rsid w:val="001B6A0D"/>
    <w:rsid w:val="001C4F5E"/>
    <w:rsid w:val="001C6B3D"/>
    <w:rsid w:val="001D0710"/>
    <w:rsid w:val="001D159F"/>
    <w:rsid w:val="001D723B"/>
    <w:rsid w:val="001D73DA"/>
    <w:rsid w:val="001E59C1"/>
    <w:rsid w:val="0020607E"/>
    <w:rsid w:val="00215B3D"/>
    <w:rsid w:val="0023317C"/>
    <w:rsid w:val="00233A1D"/>
    <w:rsid w:val="002404B9"/>
    <w:rsid w:val="00241014"/>
    <w:rsid w:val="00247B7A"/>
    <w:rsid w:val="00250936"/>
    <w:rsid w:val="00256FB2"/>
    <w:rsid w:val="00261647"/>
    <w:rsid w:val="002627FC"/>
    <w:rsid w:val="00265111"/>
    <w:rsid w:val="00270B91"/>
    <w:rsid w:val="0027413B"/>
    <w:rsid w:val="00280D01"/>
    <w:rsid w:val="00282604"/>
    <w:rsid w:val="00285540"/>
    <w:rsid w:val="0029020B"/>
    <w:rsid w:val="00293A9A"/>
    <w:rsid w:val="002946CE"/>
    <w:rsid w:val="002A1024"/>
    <w:rsid w:val="002A5186"/>
    <w:rsid w:val="002B233F"/>
    <w:rsid w:val="002B4492"/>
    <w:rsid w:val="002B6595"/>
    <w:rsid w:val="002B6E7A"/>
    <w:rsid w:val="002C01D8"/>
    <w:rsid w:val="002D09C3"/>
    <w:rsid w:val="002D27CB"/>
    <w:rsid w:val="002D44BE"/>
    <w:rsid w:val="002E142B"/>
    <w:rsid w:val="002E4FF6"/>
    <w:rsid w:val="002F249F"/>
    <w:rsid w:val="002F24D0"/>
    <w:rsid w:val="003036B6"/>
    <w:rsid w:val="003042AF"/>
    <w:rsid w:val="003043A6"/>
    <w:rsid w:val="00310F3C"/>
    <w:rsid w:val="00312473"/>
    <w:rsid w:val="00312E9F"/>
    <w:rsid w:val="00316416"/>
    <w:rsid w:val="003166AC"/>
    <w:rsid w:val="003168F4"/>
    <w:rsid w:val="00316B18"/>
    <w:rsid w:val="00320E23"/>
    <w:rsid w:val="00326C92"/>
    <w:rsid w:val="00330142"/>
    <w:rsid w:val="00332149"/>
    <w:rsid w:val="00334E12"/>
    <w:rsid w:val="00336E62"/>
    <w:rsid w:val="003505A9"/>
    <w:rsid w:val="00351D71"/>
    <w:rsid w:val="00364484"/>
    <w:rsid w:val="00365013"/>
    <w:rsid w:val="003701AF"/>
    <w:rsid w:val="003707FA"/>
    <w:rsid w:val="00371339"/>
    <w:rsid w:val="00371D41"/>
    <w:rsid w:val="0037435F"/>
    <w:rsid w:val="00375232"/>
    <w:rsid w:val="00376D8B"/>
    <w:rsid w:val="00380CFA"/>
    <w:rsid w:val="00391D70"/>
    <w:rsid w:val="00395F7C"/>
    <w:rsid w:val="003A0064"/>
    <w:rsid w:val="003A139B"/>
    <w:rsid w:val="003A3F8F"/>
    <w:rsid w:val="003A44C2"/>
    <w:rsid w:val="003A459E"/>
    <w:rsid w:val="003B339B"/>
    <w:rsid w:val="003B4CF2"/>
    <w:rsid w:val="003C1C98"/>
    <w:rsid w:val="003C2F14"/>
    <w:rsid w:val="003C32D9"/>
    <w:rsid w:val="003D12ED"/>
    <w:rsid w:val="003D32C2"/>
    <w:rsid w:val="003D58D9"/>
    <w:rsid w:val="003E4AF1"/>
    <w:rsid w:val="003E753A"/>
    <w:rsid w:val="003E7E31"/>
    <w:rsid w:val="003F1A67"/>
    <w:rsid w:val="003F1D14"/>
    <w:rsid w:val="003F7EE9"/>
    <w:rsid w:val="00401528"/>
    <w:rsid w:val="00403C4D"/>
    <w:rsid w:val="00406608"/>
    <w:rsid w:val="00406A7F"/>
    <w:rsid w:val="00414795"/>
    <w:rsid w:val="004214D9"/>
    <w:rsid w:val="00422CB9"/>
    <w:rsid w:val="00424215"/>
    <w:rsid w:val="00442037"/>
    <w:rsid w:val="00443926"/>
    <w:rsid w:val="0044454F"/>
    <w:rsid w:val="00446D78"/>
    <w:rsid w:val="004470B1"/>
    <w:rsid w:val="00450168"/>
    <w:rsid w:val="00450D6A"/>
    <w:rsid w:val="00455126"/>
    <w:rsid w:val="00456B21"/>
    <w:rsid w:val="00456C07"/>
    <w:rsid w:val="00457EC4"/>
    <w:rsid w:val="00461A76"/>
    <w:rsid w:val="0046286C"/>
    <w:rsid w:val="004642F6"/>
    <w:rsid w:val="00474AA9"/>
    <w:rsid w:val="004754D4"/>
    <w:rsid w:val="00476675"/>
    <w:rsid w:val="00477719"/>
    <w:rsid w:val="0048105A"/>
    <w:rsid w:val="00484EEF"/>
    <w:rsid w:val="00491243"/>
    <w:rsid w:val="00491BAF"/>
    <w:rsid w:val="004A07D8"/>
    <w:rsid w:val="004A095C"/>
    <w:rsid w:val="004A0EE6"/>
    <w:rsid w:val="004A3AE8"/>
    <w:rsid w:val="004A3ECF"/>
    <w:rsid w:val="004B4A79"/>
    <w:rsid w:val="004C0B0A"/>
    <w:rsid w:val="004C29E2"/>
    <w:rsid w:val="004D07B2"/>
    <w:rsid w:val="004D1E87"/>
    <w:rsid w:val="004D2C1E"/>
    <w:rsid w:val="004D7CE6"/>
    <w:rsid w:val="004E1024"/>
    <w:rsid w:val="00500BAA"/>
    <w:rsid w:val="00505117"/>
    <w:rsid w:val="00506B3D"/>
    <w:rsid w:val="005119D2"/>
    <w:rsid w:val="00513F76"/>
    <w:rsid w:val="005206BA"/>
    <w:rsid w:val="005234BA"/>
    <w:rsid w:val="00526768"/>
    <w:rsid w:val="00540284"/>
    <w:rsid w:val="00552462"/>
    <w:rsid w:val="00553985"/>
    <w:rsid w:val="00554569"/>
    <w:rsid w:val="0055533E"/>
    <w:rsid w:val="00567EF1"/>
    <w:rsid w:val="0057632E"/>
    <w:rsid w:val="005765EB"/>
    <w:rsid w:val="005869BF"/>
    <w:rsid w:val="00587618"/>
    <w:rsid w:val="00594D71"/>
    <w:rsid w:val="00596B33"/>
    <w:rsid w:val="005A1199"/>
    <w:rsid w:val="005B12FC"/>
    <w:rsid w:val="005B210C"/>
    <w:rsid w:val="005B2556"/>
    <w:rsid w:val="005C366B"/>
    <w:rsid w:val="005C438B"/>
    <w:rsid w:val="005C5211"/>
    <w:rsid w:val="005C7720"/>
    <w:rsid w:val="005D50EE"/>
    <w:rsid w:val="005D5FCA"/>
    <w:rsid w:val="005E3B65"/>
    <w:rsid w:val="005F1B37"/>
    <w:rsid w:val="005F54A8"/>
    <w:rsid w:val="0060236F"/>
    <w:rsid w:val="00602CD8"/>
    <w:rsid w:val="00602D0C"/>
    <w:rsid w:val="0061031D"/>
    <w:rsid w:val="0061605E"/>
    <w:rsid w:val="0062440B"/>
    <w:rsid w:val="00624E04"/>
    <w:rsid w:val="00631DC4"/>
    <w:rsid w:val="00632D32"/>
    <w:rsid w:val="00632D54"/>
    <w:rsid w:val="00634094"/>
    <w:rsid w:val="00636C4D"/>
    <w:rsid w:val="00643C98"/>
    <w:rsid w:val="006455EA"/>
    <w:rsid w:val="00664EDE"/>
    <w:rsid w:val="00664F79"/>
    <w:rsid w:val="00665926"/>
    <w:rsid w:val="00666809"/>
    <w:rsid w:val="00676D3E"/>
    <w:rsid w:val="0068137D"/>
    <w:rsid w:val="00687091"/>
    <w:rsid w:val="00687C5F"/>
    <w:rsid w:val="00696FB9"/>
    <w:rsid w:val="006A11B1"/>
    <w:rsid w:val="006B130C"/>
    <w:rsid w:val="006B4170"/>
    <w:rsid w:val="006C0727"/>
    <w:rsid w:val="006D0628"/>
    <w:rsid w:val="006D1B22"/>
    <w:rsid w:val="006D2208"/>
    <w:rsid w:val="006D2E76"/>
    <w:rsid w:val="006D5970"/>
    <w:rsid w:val="006D6880"/>
    <w:rsid w:val="006E145F"/>
    <w:rsid w:val="006E7591"/>
    <w:rsid w:val="006E7B2D"/>
    <w:rsid w:val="006F071B"/>
    <w:rsid w:val="006F254F"/>
    <w:rsid w:val="006F4B1F"/>
    <w:rsid w:val="00704951"/>
    <w:rsid w:val="007072CB"/>
    <w:rsid w:val="00710C96"/>
    <w:rsid w:val="007113F8"/>
    <w:rsid w:val="00711D0C"/>
    <w:rsid w:val="007133EE"/>
    <w:rsid w:val="00713743"/>
    <w:rsid w:val="00715309"/>
    <w:rsid w:val="00721413"/>
    <w:rsid w:val="00723980"/>
    <w:rsid w:val="00723E60"/>
    <w:rsid w:val="00732B59"/>
    <w:rsid w:val="007330E5"/>
    <w:rsid w:val="007345E1"/>
    <w:rsid w:val="00735D75"/>
    <w:rsid w:val="007443C2"/>
    <w:rsid w:val="00745789"/>
    <w:rsid w:val="00750E58"/>
    <w:rsid w:val="00750EF6"/>
    <w:rsid w:val="00755A24"/>
    <w:rsid w:val="007667EB"/>
    <w:rsid w:val="00766AC9"/>
    <w:rsid w:val="00770572"/>
    <w:rsid w:val="007800C3"/>
    <w:rsid w:val="0078378D"/>
    <w:rsid w:val="007843BF"/>
    <w:rsid w:val="00792A83"/>
    <w:rsid w:val="007966F6"/>
    <w:rsid w:val="00796A0D"/>
    <w:rsid w:val="007A711F"/>
    <w:rsid w:val="007A7F05"/>
    <w:rsid w:val="007B07DE"/>
    <w:rsid w:val="007B2C45"/>
    <w:rsid w:val="007B7DBD"/>
    <w:rsid w:val="007C1CBD"/>
    <w:rsid w:val="007C682B"/>
    <w:rsid w:val="007D0D58"/>
    <w:rsid w:val="007D4937"/>
    <w:rsid w:val="007E249D"/>
    <w:rsid w:val="007E2BE5"/>
    <w:rsid w:val="007E2CC2"/>
    <w:rsid w:val="007E7381"/>
    <w:rsid w:val="007F31C4"/>
    <w:rsid w:val="007F72BA"/>
    <w:rsid w:val="00805996"/>
    <w:rsid w:val="008061AE"/>
    <w:rsid w:val="00815002"/>
    <w:rsid w:val="00820DD5"/>
    <w:rsid w:val="00820E5D"/>
    <w:rsid w:val="008210C9"/>
    <w:rsid w:val="00827871"/>
    <w:rsid w:val="00844B72"/>
    <w:rsid w:val="0085177A"/>
    <w:rsid w:val="008552CD"/>
    <w:rsid w:val="00856084"/>
    <w:rsid w:val="00857BC9"/>
    <w:rsid w:val="00871FC3"/>
    <w:rsid w:val="0087238E"/>
    <w:rsid w:val="008723C8"/>
    <w:rsid w:val="008866D1"/>
    <w:rsid w:val="008B1221"/>
    <w:rsid w:val="008B4EA2"/>
    <w:rsid w:val="008B5360"/>
    <w:rsid w:val="008B566A"/>
    <w:rsid w:val="008B5A82"/>
    <w:rsid w:val="008B69B1"/>
    <w:rsid w:val="008C417E"/>
    <w:rsid w:val="008C78FD"/>
    <w:rsid w:val="008D005C"/>
    <w:rsid w:val="008D42D2"/>
    <w:rsid w:val="008D6ABE"/>
    <w:rsid w:val="008D7871"/>
    <w:rsid w:val="008D7E02"/>
    <w:rsid w:val="008F0170"/>
    <w:rsid w:val="008F06D8"/>
    <w:rsid w:val="008F6E0C"/>
    <w:rsid w:val="00902AE1"/>
    <w:rsid w:val="00904ED7"/>
    <w:rsid w:val="0090557F"/>
    <w:rsid w:val="009116AC"/>
    <w:rsid w:val="00916BC9"/>
    <w:rsid w:val="00925C06"/>
    <w:rsid w:val="0093164F"/>
    <w:rsid w:val="009322A0"/>
    <w:rsid w:val="009345C8"/>
    <w:rsid w:val="00941503"/>
    <w:rsid w:val="009425F4"/>
    <w:rsid w:val="00943640"/>
    <w:rsid w:val="009441EA"/>
    <w:rsid w:val="00944830"/>
    <w:rsid w:val="00947BCA"/>
    <w:rsid w:val="00950446"/>
    <w:rsid w:val="0095736B"/>
    <w:rsid w:val="00961442"/>
    <w:rsid w:val="009635A1"/>
    <w:rsid w:val="0097070F"/>
    <w:rsid w:val="009734E2"/>
    <w:rsid w:val="00974093"/>
    <w:rsid w:val="00987670"/>
    <w:rsid w:val="0099169E"/>
    <w:rsid w:val="00995875"/>
    <w:rsid w:val="00996FA9"/>
    <w:rsid w:val="009A15BB"/>
    <w:rsid w:val="009A7A10"/>
    <w:rsid w:val="009B2E7A"/>
    <w:rsid w:val="009B459F"/>
    <w:rsid w:val="009C1753"/>
    <w:rsid w:val="009C6F9E"/>
    <w:rsid w:val="009C7B06"/>
    <w:rsid w:val="009D014F"/>
    <w:rsid w:val="009D0992"/>
    <w:rsid w:val="009D33AA"/>
    <w:rsid w:val="009D6983"/>
    <w:rsid w:val="009D7413"/>
    <w:rsid w:val="009E187D"/>
    <w:rsid w:val="009E2464"/>
    <w:rsid w:val="009E37BA"/>
    <w:rsid w:val="009F1C49"/>
    <w:rsid w:val="009F1F82"/>
    <w:rsid w:val="009F694A"/>
    <w:rsid w:val="009F7E1D"/>
    <w:rsid w:val="00A03FDF"/>
    <w:rsid w:val="00A0414B"/>
    <w:rsid w:val="00A07710"/>
    <w:rsid w:val="00A2583D"/>
    <w:rsid w:val="00A261A9"/>
    <w:rsid w:val="00A31F39"/>
    <w:rsid w:val="00A33F0B"/>
    <w:rsid w:val="00A36F1D"/>
    <w:rsid w:val="00A37F57"/>
    <w:rsid w:val="00A37F7D"/>
    <w:rsid w:val="00A43528"/>
    <w:rsid w:val="00A47FD6"/>
    <w:rsid w:val="00A50906"/>
    <w:rsid w:val="00A50B1A"/>
    <w:rsid w:val="00A50D02"/>
    <w:rsid w:val="00A53DE3"/>
    <w:rsid w:val="00A549F9"/>
    <w:rsid w:val="00A5598A"/>
    <w:rsid w:val="00A650DA"/>
    <w:rsid w:val="00A65BB5"/>
    <w:rsid w:val="00A7753A"/>
    <w:rsid w:val="00A83F65"/>
    <w:rsid w:val="00A863AF"/>
    <w:rsid w:val="00A866BB"/>
    <w:rsid w:val="00A90829"/>
    <w:rsid w:val="00A946FB"/>
    <w:rsid w:val="00AA1F2B"/>
    <w:rsid w:val="00AA2C45"/>
    <w:rsid w:val="00AA427C"/>
    <w:rsid w:val="00AA4B9B"/>
    <w:rsid w:val="00AA5C5E"/>
    <w:rsid w:val="00AA7156"/>
    <w:rsid w:val="00AB32AB"/>
    <w:rsid w:val="00AB3A6D"/>
    <w:rsid w:val="00AB6218"/>
    <w:rsid w:val="00AC61E6"/>
    <w:rsid w:val="00AD0934"/>
    <w:rsid w:val="00AD4C19"/>
    <w:rsid w:val="00AD61CF"/>
    <w:rsid w:val="00AE2E89"/>
    <w:rsid w:val="00AE7DC3"/>
    <w:rsid w:val="00AF0F95"/>
    <w:rsid w:val="00AF2F1D"/>
    <w:rsid w:val="00AF63CF"/>
    <w:rsid w:val="00AF6F58"/>
    <w:rsid w:val="00AF75F4"/>
    <w:rsid w:val="00AF7CC4"/>
    <w:rsid w:val="00B06099"/>
    <w:rsid w:val="00B1617B"/>
    <w:rsid w:val="00B248EF"/>
    <w:rsid w:val="00B2540D"/>
    <w:rsid w:val="00B270CE"/>
    <w:rsid w:val="00B301E0"/>
    <w:rsid w:val="00B33FD1"/>
    <w:rsid w:val="00B56DF5"/>
    <w:rsid w:val="00B57DFF"/>
    <w:rsid w:val="00B60630"/>
    <w:rsid w:val="00B614E8"/>
    <w:rsid w:val="00B63572"/>
    <w:rsid w:val="00B667A1"/>
    <w:rsid w:val="00B72700"/>
    <w:rsid w:val="00B73245"/>
    <w:rsid w:val="00B75BF5"/>
    <w:rsid w:val="00B76992"/>
    <w:rsid w:val="00B80121"/>
    <w:rsid w:val="00B825D0"/>
    <w:rsid w:val="00B8270D"/>
    <w:rsid w:val="00B82A79"/>
    <w:rsid w:val="00B84910"/>
    <w:rsid w:val="00B913E0"/>
    <w:rsid w:val="00B951EE"/>
    <w:rsid w:val="00BA3FBC"/>
    <w:rsid w:val="00BB616E"/>
    <w:rsid w:val="00BB6E22"/>
    <w:rsid w:val="00BC1955"/>
    <w:rsid w:val="00BC45C0"/>
    <w:rsid w:val="00BD5391"/>
    <w:rsid w:val="00BE0DE6"/>
    <w:rsid w:val="00BE283B"/>
    <w:rsid w:val="00BE45B5"/>
    <w:rsid w:val="00BE4E02"/>
    <w:rsid w:val="00BE53CE"/>
    <w:rsid w:val="00BE5B55"/>
    <w:rsid w:val="00BE68C2"/>
    <w:rsid w:val="00BE7324"/>
    <w:rsid w:val="00BF7F5F"/>
    <w:rsid w:val="00C044BD"/>
    <w:rsid w:val="00C04B4B"/>
    <w:rsid w:val="00C04D4B"/>
    <w:rsid w:val="00C07456"/>
    <w:rsid w:val="00C07FB8"/>
    <w:rsid w:val="00C10065"/>
    <w:rsid w:val="00C1006B"/>
    <w:rsid w:val="00C10ABC"/>
    <w:rsid w:val="00C1324C"/>
    <w:rsid w:val="00C274C6"/>
    <w:rsid w:val="00C30FB1"/>
    <w:rsid w:val="00C3193A"/>
    <w:rsid w:val="00C33F8C"/>
    <w:rsid w:val="00C33FAC"/>
    <w:rsid w:val="00C4419F"/>
    <w:rsid w:val="00C44CB6"/>
    <w:rsid w:val="00C46DC4"/>
    <w:rsid w:val="00C470CB"/>
    <w:rsid w:val="00C537E6"/>
    <w:rsid w:val="00C6364E"/>
    <w:rsid w:val="00C63FD9"/>
    <w:rsid w:val="00C6723D"/>
    <w:rsid w:val="00C67F91"/>
    <w:rsid w:val="00C73B27"/>
    <w:rsid w:val="00C747A0"/>
    <w:rsid w:val="00C83392"/>
    <w:rsid w:val="00C84935"/>
    <w:rsid w:val="00C96742"/>
    <w:rsid w:val="00C978CB"/>
    <w:rsid w:val="00CA09B2"/>
    <w:rsid w:val="00CA196B"/>
    <w:rsid w:val="00CB656F"/>
    <w:rsid w:val="00CC19CA"/>
    <w:rsid w:val="00CD73E1"/>
    <w:rsid w:val="00CE11AE"/>
    <w:rsid w:val="00CE1FC9"/>
    <w:rsid w:val="00CE2750"/>
    <w:rsid w:val="00CE6DEB"/>
    <w:rsid w:val="00CE75A4"/>
    <w:rsid w:val="00CF2F18"/>
    <w:rsid w:val="00CF42C1"/>
    <w:rsid w:val="00D11FEA"/>
    <w:rsid w:val="00D14CE1"/>
    <w:rsid w:val="00D17A22"/>
    <w:rsid w:val="00D21021"/>
    <w:rsid w:val="00D21368"/>
    <w:rsid w:val="00D236D5"/>
    <w:rsid w:val="00D27F0A"/>
    <w:rsid w:val="00D35623"/>
    <w:rsid w:val="00D37C09"/>
    <w:rsid w:val="00D37F4E"/>
    <w:rsid w:val="00D406E0"/>
    <w:rsid w:val="00D42597"/>
    <w:rsid w:val="00D52EB4"/>
    <w:rsid w:val="00D56C6D"/>
    <w:rsid w:val="00D63C82"/>
    <w:rsid w:val="00D74481"/>
    <w:rsid w:val="00D7798C"/>
    <w:rsid w:val="00D83302"/>
    <w:rsid w:val="00D84019"/>
    <w:rsid w:val="00D858A9"/>
    <w:rsid w:val="00D90A92"/>
    <w:rsid w:val="00D93C28"/>
    <w:rsid w:val="00D964D3"/>
    <w:rsid w:val="00D97764"/>
    <w:rsid w:val="00DA28BB"/>
    <w:rsid w:val="00DA3776"/>
    <w:rsid w:val="00DA7832"/>
    <w:rsid w:val="00DB04E4"/>
    <w:rsid w:val="00DB6D9B"/>
    <w:rsid w:val="00DC06F2"/>
    <w:rsid w:val="00DC5A7B"/>
    <w:rsid w:val="00DD0DB2"/>
    <w:rsid w:val="00DD12AC"/>
    <w:rsid w:val="00DD16B5"/>
    <w:rsid w:val="00DD1EAD"/>
    <w:rsid w:val="00DD27CE"/>
    <w:rsid w:val="00DD29C5"/>
    <w:rsid w:val="00DD31F7"/>
    <w:rsid w:val="00DD6E1F"/>
    <w:rsid w:val="00DE0366"/>
    <w:rsid w:val="00DE0B81"/>
    <w:rsid w:val="00DE1C08"/>
    <w:rsid w:val="00DE2572"/>
    <w:rsid w:val="00DE59D6"/>
    <w:rsid w:val="00E02CA2"/>
    <w:rsid w:val="00E169D2"/>
    <w:rsid w:val="00E16C90"/>
    <w:rsid w:val="00E229B9"/>
    <w:rsid w:val="00E26145"/>
    <w:rsid w:val="00E2658F"/>
    <w:rsid w:val="00E301C1"/>
    <w:rsid w:val="00E3344A"/>
    <w:rsid w:val="00E341C1"/>
    <w:rsid w:val="00E3606B"/>
    <w:rsid w:val="00E4115F"/>
    <w:rsid w:val="00E43B60"/>
    <w:rsid w:val="00E475AF"/>
    <w:rsid w:val="00E51002"/>
    <w:rsid w:val="00E5213D"/>
    <w:rsid w:val="00E54F5E"/>
    <w:rsid w:val="00E5536F"/>
    <w:rsid w:val="00E55C0A"/>
    <w:rsid w:val="00E6043E"/>
    <w:rsid w:val="00E60A7C"/>
    <w:rsid w:val="00E63860"/>
    <w:rsid w:val="00E67488"/>
    <w:rsid w:val="00E675A4"/>
    <w:rsid w:val="00E73A7C"/>
    <w:rsid w:val="00E73EC4"/>
    <w:rsid w:val="00E8104F"/>
    <w:rsid w:val="00E81CB0"/>
    <w:rsid w:val="00E85E43"/>
    <w:rsid w:val="00E90242"/>
    <w:rsid w:val="00E9387B"/>
    <w:rsid w:val="00E93A0B"/>
    <w:rsid w:val="00EA23C9"/>
    <w:rsid w:val="00EA3EB7"/>
    <w:rsid w:val="00EB50EE"/>
    <w:rsid w:val="00EB5FD6"/>
    <w:rsid w:val="00EC74F3"/>
    <w:rsid w:val="00EC7C69"/>
    <w:rsid w:val="00ED69F6"/>
    <w:rsid w:val="00EE0719"/>
    <w:rsid w:val="00EE14B6"/>
    <w:rsid w:val="00EE2FC2"/>
    <w:rsid w:val="00EF3692"/>
    <w:rsid w:val="00EF45BA"/>
    <w:rsid w:val="00EF66C2"/>
    <w:rsid w:val="00F038F5"/>
    <w:rsid w:val="00F06A08"/>
    <w:rsid w:val="00F06E09"/>
    <w:rsid w:val="00F105B0"/>
    <w:rsid w:val="00F14F19"/>
    <w:rsid w:val="00F17CDE"/>
    <w:rsid w:val="00F24CF4"/>
    <w:rsid w:val="00F25010"/>
    <w:rsid w:val="00F27F4A"/>
    <w:rsid w:val="00F30AE0"/>
    <w:rsid w:val="00F3381D"/>
    <w:rsid w:val="00F35BF3"/>
    <w:rsid w:val="00F5068A"/>
    <w:rsid w:val="00F522E1"/>
    <w:rsid w:val="00F57CD9"/>
    <w:rsid w:val="00F668F9"/>
    <w:rsid w:val="00F66F2F"/>
    <w:rsid w:val="00F70D35"/>
    <w:rsid w:val="00F7129D"/>
    <w:rsid w:val="00F717EA"/>
    <w:rsid w:val="00F71E7B"/>
    <w:rsid w:val="00F84696"/>
    <w:rsid w:val="00F869D5"/>
    <w:rsid w:val="00F921A2"/>
    <w:rsid w:val="00F9465E"/>
    <w:rsid w:val="00FA4CB1"/>
    <w:rsid w:val="00FA590A"/>
    <w:rsid w:val="00FB5909"/>
    <w:rsid w:val="00FB5DE7"/>
    <w:rsid w:val="00FB6390"/>
    <w:rsid w:val="00FB67AC"/>
    <w:rsid w:val="00FB7C0D"/>
    <w:rsid w:val="00FB7DC0"/>
    <w:rsid w:val="00FC3C7A"/>
    <w:rsid w:val="00FC475C"/>
    <w:rsid w:val="00FC5034"/>
    <w:rsid w:val="00FC7CA7"/>
    <w:rsid w:val="00FD3D9C"/>
    <w:rsid w:val="00FD45F7"/>
    <w:rsid w:val="00FD4E62"/>
    <w:rsid w:val="00FD55CB"/>
    <w:rsid w:val="00FE2EFD"/>
    <w:rsid w:val="00FE5DB8"/>
    <w:rsid w:val="00FF2430"/>
    <w:rsid w:val="00FF54F4"/>
    <w:rsid w:val="00FF5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3C4D"/>
    <w:rPr>
      <w:sz w:val="22"/>
      <w:lang w:val="en-GB" w:eastAsia="en-US"/>
    </w:rPr>
  </w:style>
  <w:style w:type="paragraph" w:styleId="Heading1">
    <w:name w:val="heading 1"/>
    <w:basedOn w:val="Normal"/>
    <w:next w:val="Normal"/>
    <w:qFormat/>
    <w:rsid w:val="008C78FD"/>
    <w:pPr>
      <w:keepNext/>
      <w:keepLines/>
      <w:spacing w:before="320"/>
      <w:outlineLvl w:val="0"/>
    </w:pPr>
    <w:rPr>
      <w:rFonts w:ascii="Arial" w:hAnsi="Arial"/>
      <w:b/>
      <w:sz w:val="32"/>
      <w:u w:val="single"/>
    </w:rPr>
  </w:style>
  <w:style w:type="paragraph" w:styleId="Heading2">
    <w:name w:val="heading 2"/>
    <w:basedOn w:val="Normal"/>
    <w:next w:val="Normal"/>
    <w:qFormat/>
    <w:rsid w:val="000F0870"/>
    <w:pPr>
      <w:keepNext/>
      <w:keepLines/>
      <w:spacing w:before="280"/>
      <w:outlineLvl w:val="1"/>
    </w:pPr>
    <w:rPr>
      <w:rFonts w:ascii="Arial" w:hAnsi="Arial"/>
      <w:b/>
      <w:sz w:val="28"/>
    </w:rPr>
  </w:style>
  <w:style w:type="paragraph" w:styleId="Heading3">
    <w:name w:val="heading 3"/>
    <w:basedOn w:val="Normal"/>
    <w:next w:val="Normal"/>
    <w:qFormat/>
    <w:rsid w:val="008C78FD"/>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8FD"/>
    <w:pPr>
      <w:pBdr>
        <w:top w:val="single" w:sz="6" w:space="1" w:color="auto"/>
      </w:pBdr>
      <w:tabs>
        <w:tab w:val="center" w:pos="6480"/>
        <w:tab w:val="right" w:pos="12960"/>
      </w:tabs>
    </w:pPr>
    <w:rPr>
      <w:sz w:val="24"/>
    </w:rPr>
  </w:style>
  <w:style w:type="paragraph" w:styleId="Header">
    <w:name w:val="header"/>
    <w:basedOn w:val="Normal"/>
    <w:rsid w:val="008C78FD"/>
    <w:pPr>
      <w:pBdr>
        <w:bottom w:val="single" w:sz="6" w:space="2" w:color="auto"/>
      </w:pBdr>
      <w:tabs>
        <w:tab w:val="center" w:pos="6480"/>
        <w:tab w:val="right" w:pos="12960"/>
      </w:tabs>
    </w:pPr>
    <w:rPr>
      <w:b/>
      <w:sz w:val="28"/>
    </w:rPr>
  </w:style>
  <w:style w:type="paragraph" w:customStyle="1" w:styleId="T1">
    <w:name w:val="T1"/>
    <w:basedOn w:val="Normal"/>
    <w:rsid w:val="008C78FD"/>
    <w:pPr>
      <w:jc w:val="center"/>
    </w:pPr>
    <w:rPr>
      <w:b/>
      <w:sz w:val="28"/>
    </w:rPr>
  </w:style>
  <w:style w:type="paragraph" w:customStyle="1" w:styleId="T2">
    <w:name w:val="T2"/>
    <w:basedOn w:val="T1"/>
    <w:rsid w:val="008C78FD"/>
    <w:pPr>
      <w:spacing w:after="240"/>
      <w:ind w:left="720" w:right="720"/>
    </w:pPr>
  </w:style>
  <w:style w:type="paragraph" w:customStyle="1" w:styleId="T3">
    <w:name w:val="T3"/>
    <w:basedOn w:val="T1"/>
    <w:rsid w:val="008C78FD"/>
    <w:pPr>
      <w:pBdr>
        <w:bottom w:val="single" w:sz="6" w:space="1" w:color="auto"/>
      </w:pBdr>
      <w:tabs>
        <w:tab w:val="center" w:pos="4680"/>
      </w:tabs>
      <w:spacing w:after="240"/>
      <w:jc w:val="left"/>
    </w:pPr>
    <w:rPr>
      <w:b w:val="0"/>
      <w:sz w:val="24"/>
    </w:rPr>
  </w:style>
  <w:style w:type="paragraph" w:styleId="BodyTextIndent">
    <w:name w:val="Body Text Indent"/>
    <w:basedOn w:val="Normal"/>
    <w:rsid w:val="008C78FD"/>
    <w:pPr>
      <w:ind w:left="720" w:hanging="720"/>
    </w:pPr>
  </w:style>
  <w:style w:type="character" w:styleId="Hyperlink">
    <w:name w:val="Hyperlink"/>
    <w:rsid w:val="008C78FD"/>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B76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5">
    <w:name w:val="AH5"/>
    <w:aliases w:val="A.1.1.1.1.1"/>
    <w:next w:val="Normal"/>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CellBody">
    <w:name w:val="CellBody"/>
    <w:uiPriority w:val="99"/>
    <w:rsid w:val="00944830"/>
    <w:pPr>
      <w:widowControl w:val="0"/>
      <w:autoSpaceDE w:val="0"/>
      <w:autoSpaceDN w:val="0"/>
      <w:adjustRightInd w:val="0"/>
      <w:spacing w:line="200" w:lineRule="atLeast"/>
    </w:pPr>
    <w:rPr>
      <w:color w:val="000000"/>
      <w:w w:val="0"/>
      <w:sz w:val="18"/>
      <w:szCs w:val="18"/>
      <w:lang w:eastAsia="en-US"/>
    </w:rPr>
  </w:style>
  <w:style w:type="paragraph" w:customStyle="1" w:styleId="Note">
    <w:name w:val="Note"/>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US"/>
    </w:rPr>
  </w:style>
  <w:style w:type="character" w:styleId="CommentReference">
    <w:name w:val="annotation reference"/>
    <w:rsid w:val="006B4170"/>
    <w:rPr>
      <w:sz w:val="16"/>
      <w:szCs w:val="16"/>
    </w:rPr>
  </w:style>
  <w:style w:type="paragraph" w:styleId="CommentText">
    <w:name w:val="annotation text"/>
    <w:basedOn w:val="Normal"/>
    <w:link w:val="CommentTextChar"/>
    <w:rsid w:val="006B4170"/>
    <w:rPr>
      <w:sz w:val="20"/>
    </w:rPr>
  </w:style>
  <w:style w:type="character" w:customStyle="1" w:styleId="CommentTextChar">
    <w:name w:val="Comment Text Char"/>
    <w:link w:val="CommentText"/>
    <w:rsid w:val="006B4170"/>
    <w:rPr>
      <w:lang w:val="en-GB"/>
    </w:rPr>
  </w:style>
  <w:style w:type="paragraph" w:styleId="CommentSubject">
    <w:name w:val="annotation subject"/>
    <w:basedOn w:val="CommentText"/>
    <w:next w:val="CommentText"/>
    <w:link w:val="CommentSubjectChar"/>
    <w:rsid w:val="006B4170"/>
    <w:rPr>
      <w:b/>
      <w:bCs/>
    </w:rPr>
  </w:style>
  <w:style w:type="character" w:customStyle="1" w:styleId="CommentSubjectChar">
    <w:name w:val="Comment Subject Char"/>
    <w:link w:val="CommentSubject"/>
    <w:rsid w:val="006B4170"/>
    <w:rPr>
      <w:b/>
      <w:bCs/>
      <w:lang w:val="en-GB"/>
    </w:rPr>
  </w:style>
  <w:style w:type="paragraph" w:styleId="PlainText">
    <w:name w:val="Plain Text"/>
    <w:basedOn w:val="Normal"/>
    <w:link w:val="PlainTextChar"/>
    <w:uiPriority w:val="99"/>
    <w:unhideWhenUsed/>
    <w:rsid w:val="00C63FD9"/>
    <w:rPr>
      <w:rFonts w:ascii="Consolas" w:eastAsia="Calibri" w:hAnsi="Consolas" w:cs="Consolas"/>
      <w:sz w:val="21"/>
      <w:szCs w:val="21"/>
      <w:lang w:val="en-US"/>
    </w:rPr>
  </w:style>
  <w:style w:type="character" w:customStyle="1" w:styleId="PlainTextChar">
    <w:name w:val="Plain Text Char"/>
    <w:link w:val="PlainText"/>
    <w:uiPriority w:val="99"/>
    <w:rsid w:val="00C63FD9"/>
    <w:rPr>
      <w:rFonts w:ascii="Consolas" w:eastAsia="Calibri" w:hAnsi="Consolas" w:cs="Consolas"/>
      <w:sz w:val="21"/>
      <w:szCs w:val="21"/>
    </w:rPr>
  </w:style>
  <w:style w:type="paragraph" w:customStyle="1" w:styleId="Body">
    <w:name w:val="Body"/>
    <w:uiPriority w:val="99"/>
    <w:rsid w:val="009D7413"/>
    <w:pPr>
      <w:widowControl w:val="0"/>
      <w:autoSpaceDE w:val="0"/>
      <w:autoSpaceDN w:val="0"/>
      <w:adjustRightInd w:val="0"/>
      <w:spacing w:before="240" w:line="240" w:lineRule="atLeast"/>
      <w:jc w:val="both"/>
    </w:pPr>
    <w:rPr>
      <w:rFonts w:eastAsiaTheme="minorEastAsia"/>
      <w:color w:val="000000"/>
      <w:w w:val="0"/>
      <w:lang w:eastAsia="en-US"/>
    </w:rPr>
  </w:style>
  <w:style w:type="paragraph" w:customStyle="1" w:styleId="TableTitlea">
    <w:name w:val="TableTitle a"/>
    <w:next w:val="Normal"/>
    <w:uiPriority w:val="99"/>
    <w:rsid w:val="00844B72"/>
    <w:pPr>
      <w:widowControl w:val="0"/>
      <w:autoSpaceDE w:val="0"/>
      <w:autoSpaceDN w:val="0"/>
      <w:adjustRightInd w:val="0"/>
      <w:spacing w:line="240" w:lineRule="atLeast"/>
      <w:jc w:val="center"/>
    </w:pPr>
    <w:rPr>
      <w:rFonts w:eastAsiaTheme="minorEastAsia"/>
      <w:b/>
      <w:bCs/>
      <w:color w:val="000000"/>
      <w:w w:val="0"/>
      <w:lang w:eastAsia="en-US"/>
    </w:rPr>
  </w:style>
  <w:style w:type="paragraph" w:customStyle="1" w:styleId="CellHeading">
    <w:name w:val="CellHeading"/>
    <w:uiPriority w:val="99"/>
    <w:rsid w:val="00844B72"/>
    <w:pPr>
      <w:widowControl w:val="0"/>
      <w:suppressAutoHyphens/>
      <w:autoSpaceDE w:val="0"/>
      <w:autoSpaceDN w:val="0"/>
      <w:adjustRightInd w:val="0"/>
      <w:spacing w:line="200" w:lineRule="atLeast"/>
      <w:jc w:val="center"/>
    </w:pPr>
    <w:rPr>
      <w:rFonts w:eastAsiaTheme="minorEastAsia"/>
      <w:b/>
      <w:bCs/>
      <w:color w:val="000000"/>
      <w:w w:val="0"/>
      <w:sz w:val="18"/>
      <w:szCs w:val="18"/>
      <w:lang w:eastAsia="en-US"/>
    </w:rPr>
  </w:style>
</w:styles>
</file>

<file path=word/webSettings.xml><?xml version="1.0" encoding="utf-8"?>
<w:webSettings xmlns:r="http://schemas.openxmlformats.org/officeDocument/2006/relationships" xmlns:w="http://schemas.openxmlformats.org/wordprocessingml/2006/main">
  <w:divs>
    <w:div w:id="9458187">
      <w:bodyDiv w:val="1"/>
      <w:marLeft w:val="0"/>
      <w:marRight w:val="0"/>
      <w:marTop w:val="0"/>
      <w:marBottom w:val="0"/>
      <w:divBdr>
        <w:top w:val="none" w:sz="0" w:space="0" w:color="auto"/>
        <w:left w:val="none" w:sz="0" w:space="0" w:color="auto"/>
        <w:bottom w:val="none" w:sz="0" w:space="0" w:color="auto"/>
        <w:right w:val="none" w:sz="0" w:space="0" w:color="auto"/>
      </w:divBdr>
    </w:div>
    <w:div w:id="44717782">
      <w:bodyDiv w:val="1"/>
      <w:marLeft w:val="0"/>
      <w:marRight w:val="0"/>
      <w:marTop w:val="0"/>
      <w:marBottom w:val="0"/>
      <w:divBdr>
        <w:top w:val="none" w:sz="0" w:space="0" w:color="auto"/>
        <w:left w:val="none" w:sz="0" w:space="0" w:color="auto"/>
        <w:bottom w:val="none" w:sz="0" w:space="0" w:color="auto"/>
        <w:right w:val="none" w:sz="0" w:space="0" w:color="auto"/>
      </w:divBdr>
    </w:div>
    <w:div w:id="65542896">
      <w:bodyDiv w:val="1"/>
      <w:marLeft w:val="0"/>
      <w:marRight w:val="0"/>
      <w:marTop w:val="0"/>
      <w:marBottom w:val="0"/>
      <w:divBdr>
        <w:top w:val="none" w:sz="0" w:space="0" w:color="auto"/>
        <w:left w:val="none" w:sz="0" w:space="0" w:color="auto"/>
        <w:bottom w:val="none" w:sz="0" w:space="0" w:color="auto"/>
        <w:right w:val="none" w:sz="0" w:space="0" w:color="auto"/>
      </w:divBdr>
    </w:div>
    <w:div w:id="105467017">
      <w:bodyDiv w:val="1"/>
      <w:marLeft w:val="0"/>
      <w:marRight w:val="0"/>
      <w:marTop w:val="0"/>
      <w:marBottom w:val="0"/>
      <w:divBdr>
        <w:top w:val="none" w:sz="0" w:space="0" w:color="auto"/>
        <w:left w:val="none" w:sz="0" w:space="0" w:color="auto"/>
        <w:bottom w:val="none" w:sz="0" w:space="0" w:color="auto"/>
        <w:right w:val="none" w:sz="0" w:space="0" w:color="auto"/>
      </w:divBdr>
    </w:div>
    <w:div w:id="110978560">
      <w:bodyDiv w:val="1"/>
      <w:marLeft w:val="0"/>
      <w:marRight w:val="0"/>
      <w:marTop w:val="0"/>
      <w:marBottom w:val="0"/>
      <w:divBdr>
        <w:top w:val="none" w:sz="0" w:space="0" w:color="auto"/>
        <w:left w:val="none" w:sz="0" w:space="0" w:color="auto"/>
        <w:bottom w:val="none" w:sz="0" w:space="0" w:color="auto"/>
        <w:right w:val="none" w:sz="0" w:space="0" w:color="auto"/>
      </w:divBdr>
    </w:div>
    <w:div w:id="119998218">
      <w:bodyDiv w:val="1"/>
      <w:marLeft w:val="0"/>
      <w:marRight w:val="0"/>
      <w:marTop w:val="0"/>
      <w:marBottom w:val="0"/>
      <w:divBdr>
        <w:top w:val="none" w:sz="0" w:space="0" w:color="auto"/>
        <w:left w:val="none" w:sz="0" w:space="0" w:color="auto"/>
        <w:bottom w:val="none" w:sz="0" w:space="0" w:color="auto"/>
        <w:right w:val="none" w:sz="0" w:space="0" w:color="auto"/>
      </w:divBdr>
    </w:div>
    <w:div w:id="120461944">
      <w:bodyDiv w:val="1"/>
      <w:marLeft w:val="0"/>
      <w:marRight w:val="0"/>
      <w:marTop w:val="0"/>
      <w:marBottom w:val="0"/>
      <w:divBdr>
        <w:top w:val="none" w:sz="0" w:space="0" w:color="auto"/>
        <w:left w:val="none" w:sz="0" w:space="0" w:color="auto"/>
        <w:bottom w:val="none" w:sz="0" w:space="0" w:color="auto"/>
        <w:right w:val="none" w:sz="0" w:space="0" w:color="auto"/>
      </w:divBdr>
    </w:div>
    <w:div w:id="148861994">
      <w:bodyDiv w:val="1"/>
      <w:marLeft w:val="0"/>
      <w:marRight w:val="0"/>
      <w:marTop w:val="0"/>
      <w:marBottom w:val="0"/>
      <w:divBdr>
        <w:top w:val="none" w:sz="0" w:space="0" w:color="auto"/>
        <w:left w:val="none" w:sz="0" w:space="0" w:color="auto"/>
        <w:bottom w:val="none" w:sz="0" w:space="0" w:color="auto"/>
        <w:right w:val="none" w:sz="0" w:space="0" w:color="auto"/>
      </w:divBdr>
    </w:div>
    <w:div w:id="246571591">
      <w:bodyDiv w:val="1"/>
      <w:marLeft w:val="0"/>
      <w:marRight w:val="0"/>
      <w:marTop w:val="0"/>
      <w:marBottom w:val="0"/>
      <w:divBdr>
        <w:top w:val="none" w:sz="0" w:space="0" w:color="auto"/>
        <w:left w:val="none" w:sz="0" w:space="0" w:color="auto"/>
        <w:bottom w:val="none" w:sz="0" w:space="0" w:color="auto"/>
        <w:right w:val="none" w:sz="0" w:space="0" w:color="auto"/>
      </w:divBdr>
    </w:div>
    <w:div w:id="269317775">
      <w:bodyDiv w:val="1"/>
      <w:marLeft w:val="0"/>
      <w:marRight w:val="0"/>
      <w:marTop w:val="0"/>
      <w:marBottom w:val="0"/>
      <w:divBdr>
        <w:top w:val="none" w:sz="0" w:space="0" w:color="auto"/>
        <w:left w:val="none" w:sz="0" w:space="0" w:color="auto"/>
        <w:bottom w:val="none" w:sz="0" w:space="0" w:color="auto"/>
        <w:right w:val="none" w:sz="0" w:space="0" w:color="auto"/>
      </w:divBdr>
    </w:div>
    <w:div w:id="284773416">
      <w:bodyDiv w:val="1"/>
      <w:marLeft w:val="0"/>
      <w:marRight w:val="0"/>
      <w:marTop w:val="0"/>
      <w:marBottom w:val="0"/>
      <w:divBdr>
        <w:top w:val="none" w:sz="0" w:space="0" w:color="auto"/>
        <w:left w:val="none" w:sz="0" w:space="0" w:color="auto"/>
        <w:bottom w:val="none" w:sz="0" w:space="0" w:color="auto"/>
        <w:right w:val="none" w:sz="0" w:space="0" w:color="auto"/>
      </w:divBdr>
    </w:div>
    <w:div w:id="326440118">
      <w:bodyDiv w:val="1"/>
      <w:marLeft w:val="0"/>
      <w:marRight w:val="0"/>
      <w:marTop w:val="0"/>
      <w:marBottom w:val="0"/>
      <w:divBdr>
        <w:top w:val="none" w:sz="0" w:space="0" w:color="auto"/>
        <w:left w:val="none" w:sz="0" w:space="0" w:color="auto"/>
        <w:bottom w:val="none" w:sz="0" w:space="0" w:color="auto"/>
        <w:right w:val="none" w:sz="0" w:space="0" w:color="auto"/>
      </w:divBdr>
    </w:div>
    <w:div w:id="356468685">
      <w:bodyDiv w:val="1"/>
      <w:marLeft w:val="0"/>
      <w:marRight w:val="0"/>
      <w:marTop w:val="0"/>
      <w:marBottom w:val="0"/>
      <w:divBdr>
        <w:top w:val="none" w:sz="0" w:space="0" w:color="auto"/>
        <w:left w:val="none" w:sz="0" w:space="0" w:color="auto"/>
        <w:bottom w:val="none" w:sz="0" w:space="0" w:color="auto"/>
        <w:right w:val="none" w:sz="0" w:space="0" w:color="auto"/>
      </w:divBdr>
    </w:div>
    <w:div w:id="371619417">
      <w:bodyDiv w:val="1"/>
      <w:marLeft w:val="0"/>
      <w:marRight w:val="0"/>
      <w:marTop w:val="0"/>
      <w:marBottom w:val="0"/>
      <w:divBdr>
        <w:top w:val="none" w:sz="0" w:space="0" w:color="auto"/>
        <w:left w:val="none" w:sz="0" w:space="0" w:color="auto"/>
        <w:bottom w:val="none" w:sz="0" w:space="0" w:color="auto"/>
        <w:right w:val="none" w:sz="0" w:space="0" w:color="auto"/>
      </w:divBdr>
    </w:div>
    <w:div w:id="380174717">
      <w:bodyDiv w:val="1"/>
      <w:marLeft w:val="0"/>
      <w:marRight w:val="0"/>
      <w:marTop w:val="0"/>
      <w:marBottom w:val="0"/>
      <w:divBdr>
        <w:top w:val="none" w:sz="0" w:space="0" w:color="auto"/>
        <w:left w:val="none" w:sz="0" w:space="0" w:color="auto"/>
        <w:bottom w:val="none" w:sz="0" w:space="0" w:color="auto"/>
        <w:right w:val="none" w:sz="0" w:space="0" w:color="auto"/>
      </w:divBdr>
    </w:div>
    <w:div w:id="384913511">
      <w:bodyDiv w:val="1"/>
      <w:marLeft w:val="0"/>
      <w:marRight w:val="0"/>
      <w:marTop w:val="0"/>
      <w:marBottom w:val="0"/>
      <w:divBdr>
        <w:top w:val="none" w:sz="0" w:space="0" w:color="auto"/>
        <w:left w:val="none" w:sz="0" w:space="0" w:color="auto"/>
        <w:bottom w:val="none" w:sz="0" w:space="0" w:color="auto"/>
        <w:right w:val="none" w:sz="0" w:space="0" w:color="auto"/>
      </w:divBdr>
    </w:div>
    <w:div w:id="405225120">
      <w:bodyDiv w:val="1"/>
      <w:marLeft w:val="0"/>
      <w:marRight w:val="0"/>
      <w:marTop w:val="0"/>
      <w:marBottom w:val="0"/>
      <w:divBdr>
        <w:top w:val="none" w:sz="0" w:space="0" w:color="auto"/>
        <w:left w:val="none" w:sz="0" w:space="0" w:color="auto"/>
        <w:bottom w:val="none" w:sz="0" w:space="0" w:color="auto"/>
        <w:right w:val="none" w:sz="0" w:space="0" w:color="auto"/>
      </w:divBdr>
    </w:div>
    <w:div w:id="446319013">
      <w:bodyDiv w:val="1"/>
      <w:marLeft w:val="0"/>
      <w:marRight w:val="0"/>
      <w:marTop w:val="0"/>
      <w:marBottom w:val="0"/>
      <w:divBdr>
        <w:top w:val="none" w:sz="0" w:space="0" w:color="auto"/>
        <w:left w:val="none" w:sz="0" w:space="0" w:color="auto"/>
        <w:bottom w:val="none" w:sz="0" w:space="0" w:color="auto"/>
        <w:right w:val="none" w:sz="0" w:space="0" w:color="auto"/>
      </w:divBdr>
    </w:div>
    <w:div w:id="636690550">
      <w:bodyDiv w:val="1"/>
      <w:marLeft w:val="0"/>
      <w:marRight w:val="0"/>
      <w:marTop w:val="0"/>
      <w:marBottom w:val="0"/>
      <w:divBdr>
        <w:top w:val="none" w:sz="0" w:space="0" w:color="auto"/>
        <w:left w:val="none" w:sz="0" w:space="0" w:color="auto"/>
        <w:bottom w:val="none" w:sz="0" w:space="0" w:color="auto"/>
        <w:right w:val="none" w:sz="0" w:space="0" w:color="auto"/>
      </w:divBdr>
    </w:div>
    <w:div w:id="803892992">
      <w:bodyDiv w:val="1"/>
      <w:marLeft w:val="0"/>
      <w:marRight w:val="0"/>
      <w:marTop w:val="0"/>
      <w:marBottom w:val="0"/>
      <w:divBdr>
        <w:top w:val="none" w:sz="0" w:space="0" w:color="auto"/>
        <w:left w:val="none" w:sz="0" w:space="0" w:color="auto"/>
        <w:bottom w:val="none" w:sz="0" w:space="0" w:color="auto"/>
        <w:right w:val="none" w:sz="0" w:space="0" w:color="auto"/>
      </w:divBdr>
    </w:div>
    <w:div w:id="831028203">
      <w:bodyDiv w:val="1"/>
      <w:marLeft w:val="0"/>
      <w:marRight w:val="0"/>
      <w:marTop w:val="0"/>
      <w:marBottom w:val="0"/>
      <w:divBdr>
        <w:top w:val="none" w:sz="0" w:space="0" w:color="auto"/>
        <w:left w:val="none" w:sz="0" w:space="0" w:color="auto"/>
        <w:bottom w:val="none" w:sz="0" w:space="0" w:color="auto"/>
        <w:right w:val="none" w:sz="0" w:space="0" w:color="auto"/>
      </w:divBdr>
    </w:div>
    <w:div w:id="859245305">
      <w:bodyDiv w:val="1"/>
      <w:marLeft w:val="0"/>
      <w:marRight w:val="0"/>
      <w:marTop w:val="0"/>
      <w:marBottom w:val="0"/>
      <w:divBdr>
        <w:top w:val="none" w:sz="0" w:space="0" w:color="auto"/>
        <w:left w:val="none" w:sz="0" w:space="0" w:color="auto"/>
        <w:bottom w:val="none" w:sz="0" w:space="0" w:color="auto"/>
        <w:right w:val="none" w:sz="0" w:space="0" w:color="auto"/>
      </w:divBdr>
    </w:div>
    <w:div w:id="870337042">
      <w:bodyDiv w:val="1"/>
      <w:marLeft w:val="0"/>
      <w:marRight w:val="0"/>
      <w:marTop w:val="0"/>
      <w:marBottom w:val="0"/>
      <w:divBdr>
        <w:top w:val="none" w:sz="0" w:space="0" w:color="auto"/>
        <w:left w:val="none" w:sz="0" w:space="0" w:color="auto"/>
        <w:bottom w:val="none" w:sz="0" w:space="0" w:color="auto"/>
        <w:right w:val="none" w:sz="0" w:space="0" w:color="auto"/>
      </w:divBdr>
    </w:div>
    <w:div w:id="888416824">
      <w:bodyDiv w:val="1"/>
      <w:marLeft w:val="0"/>
      <w:marRight w:val="0"/>
      <w:marTop w:val="0"/>
      <w:marBottom w:val="0"/>
      <w:divBdr>
        <w:top w:val="none" w:sz="0" w:space="0" w:color="auto"/>
        <w:left w:val="none" w:sz="0" w:space="0" w:color="auto"/>
        <w:bottom w:val="none" w:sz="0" w:space="0" w:color="auto"/>
        <w:right w:val="none" w:sz="0" w:space="0" w:color="auto"/>
      </w:divBdr>
    </w:div>
    <w:div w:id="1172330527">
      <w:bodyDiv w:val="1"/>
      <w:marLeft w:val="0"/>
      <w:marRight w:val="0"/>
      <w:marTop w:val="0"/>
      <w:marBottom w:val="0"/>
      <w:divBdr>
        <w:top w:val="none" w:sz="0" w:space="0" w:color="auto"/>
        <w:left w:val="none" w:sz="0" w:space="0" w:color="auto"/>
        <w:bottom w:val="none" w:sz="0" w:space="0" w:color="auto"/>
        <w:right w:val="none" w:sz="0" w:space="0" w:color="auto"/>
      </w:divBdr>
    </w:div>
    <w:div w:id="1293973767">
      <w:bodyDiv w:val="1"/>
      <w:marLeft w:val="0"/>
      <w:marRight w:val="0"/>
      <w:marTop w:val="0"/>
      <w:marBottom w:val="0"/>
      <w:divBdr>
        <w:top w:val="none" w:sz="0" w:space="0" w:color="auto"/>
        <w:left w:val="none" w:sz="0" w:space="0" w:color="auto"/>
        <w:bottom w:val="none" w:sz="0" w:space="0" w:color="auto"/>
        <w:right w:val="none" w:sz="0" w:space="0" w:color="auto"/>
      </w:divBdr>
    </w:div>
    <w:div w:id="1295057823">
      <w:bodyDiv w:val="1"/>
      <w:marLeft w:val="0"/>
      <w:marRight w:val="0"/>
      <w:marTop w:val="0"/>
      <w:marBottom w:val="0"/>
      <w:divBdr>
        <w:top w:val="none" w:sz="0" w:space="0" w:color="auto"/>
        <w:left w:val="none" w:sz="0" w:space="0" w:color="auto"/>
        <w:bottom w:val="none" w:sz="0" w:space="0" w:color="auto"/>
        <w:right w:val="none" w:sz="0" w:space="0" w:color="auto"/>
      </w:divBdr>
    </w:div>
    <w:div w:id="1327590260">
      <w:bodyDiv w:val="1"/>
      <w:marLeft w:val="0"/>
      <w:marRight w:val="0"/>
      <w:marTop w:val="0"/>
      <w:marBottom w:val="0"/>
      <w:divBdr>
        <w:top w:val="none" w:sz="0" w:space="0" w:color="auto"/>
        <w:left w:val="none" w:sz="0" w:space="0" w:color="auto"/>
        <w:bottom w:val="none" w:sz="0" w:space="0" w:color="auto"/>
        <w:right w:val="none" w:sz="0" w:space="0" w:color="auto"/>
      </w:divBdr>
    </w:div>
    <w:div w:id="1351882503">
      <w:bodyDiv w:val="1"/>
      <w:marLeft w:val="0"/>
      <w:marRight w:val="0"/>
      <w:marTop w:val="0"/>
      <w:marBottom w:val="0"/>
      <w:divBdr>
        <w:top w:val="none" w:sz="0" w:space="0" w:color="auto"/>
        <w:left w:val="none" w:sz="0" w:space="0" w:color="auto"/>
        <w:bottom w:val="none" w:sz="0" w:space="0" w:color="auto"/>
        <w:right w:val="none" w:sz="0" w:space="0" w:color="auto"/>
      </w:divBdr>
    </w:div>
    <w:div w:id="1358235448">
      <w:bodyDiv w:val="1"/>
      <w:marLeft w:val="0"/>
      <w:marRight w:val="0"/>
      <w:marTop w:val="0"/>
      <w:marBottom w:val="0"/>
      <w:divBdr>
        <w:top w:val="none" w:sz="0" w:space="0" w:color="auto"/>
        <w:left w:val="none" w:sz="0" w:space="0" w:color="auto"/>
        <w:bottom w:val="none" w:sz="0" w:space="0" w:color="auto"/>
        <w:right w:val="none" w:sz="0" w:space="0" w:color="auto"/>
      </w:divBdr>
    </w:div>
    <w:div w:id="1434746480">
      <w:bodyDiv w:val="1"/>
      <w:marLeft w:val="0"/>
      <w:marRight w:val="0"/>
      <w:marTop w:val="0"/>
      <w:marBottom w:val="0"/>
      <w:divBdr>
        <w:top w:val="none" w:sz="0" w:space="0" w:color="auto"/>
        <w:left w:val="none" w:sz="0" w:space="0" w:color="auto"/>
        <w:bottom w:val="none" w:sz="0" w:space="0" w:color="auto"/>
        <w:right w:val="none" w:sz="0" w:space="0" w:color="auto"/>
      </w:divBdr>
    </w:div>
    <w:div w:id="1528106308">
      <w:bodyDiv w:val="1"/>
      <w:marLeft w:val="0"/>
      <w:marRight w:val="0"/>
      <w:marTop w:val="0"/>
      <w:marBottom w:val="0"/>
      <w:divBdr>
        <w:top w:val="none" w:sz="0" w:space="0" w:color="auto"/>
        <w:left w:val="none" w:sz="0" w:space="0" w:color="auto"/>
        <w:bottom w:val="none" w:sz="0" w:space="0" w:color="auto"/>
        <w:right w:val="none" w:sz="0" w:space="0" w:color="auto"/>
      </w:divBdr>
    </w:div>
    <w:div w:id="1612972353">
      <w:bodyDiv w:val="1"/>
      <w:marLeft w:val="0"/>
      <w:marRight w:val="0"/>
      <w:marTop w:val="0"/>
      <w:marBottom w:val="0"/>
      <w:divBdr>
        <w:top w:val="none" w:sz="0" w:space="0" w:color="auto"/>
        <w:left w:val="none" w:sz="0" w:space="0" w:color="auto"/>
        <w:bottom w:val="none" w:sz="0" w:space="0" w:color="auto"/>
        <w:right w:val="none" w:sz="0" w:space="0" w:color="auto"/>
      </w:divBdr>
    </w:div>
    <w:div w:id="1644843543">
      <w:bodyDiv w:val="1"/>
      <w:marLeft w:val="0"/>
      <w:marRight w:val="0"/>
      <w:marTop w:val="0"/>
      <w:marBottom w:val="0"/>
      <w:divBdr>
        <w:top w:val="none" w:sz="0" w:space="0" w:color="auto"/>
        <w:left w:val="none" w:sz="0" w:space="0" w:color="auto"/>
        <w:bottom w:val="none" w:sz="0" w:space="0" w:color="auto"/>
        <w:right w:val="none" w:sz="0" w:space="0" w:color="auto"/>
      </w:divBdr>
    </w:div>
    <w:div w:id="1676299669">
      <w:bodyDiv w:val="1"/>
      <w:marLeft w:val="0"/>
      <w:marRight w:val="0"/>
      <w:marTop w:val="0"/>
      <w:marBottom w:val="0"/>
      <w:divBdr>
        <w:top w:val="none" w:sz="0" w:space="0" w:color="auto"/>
        <w:left w:val="none" w:sz="0" w:space="0" w:color="auto"/>
        <w:bottom w:val="none" w:sz="0" w:space="0" w:color="auto"/>
        <w:right w:val="none" w:sz="0" w:space="0" w:color="auto"/>
      </w:divBdr>
    </w:div>
    <w:div w:id="1737239477">
      <w:bodyDiv w:val="1"/>
      <w:marLeft w:val="0"/>
      <w:marRight w:val="0"/>
      <w:marTop w:val="0"/>
      <w:marBottom w:val="0"/>
      <w:divBdr>
        <w:top w:val="none" w:sz="0" w:space="0" w:color="auto"/>
        <w:left w:val="none" w:sz="0" w:space="0" w:color="auto"/>
        <w:bottom w:val="none" w:sz="0" w:space="0" w:color="auto"/>
        <w:right w:val="none" w:sz="0" w:space="0" w:color="auto"/>
      </w:divBdr>
    </w:div>
    <w:div w:id="1790321550">
      <w:bodyDiv w:val="1"/>
      <w:marLeft w:val="0"/>
      <w:marRight w:val="0"/>
      <w:marTop w:val="0"/>
      <w:marBottom w:val="0"/>
      <w:divBdr>
        <w:top w:val="none" w:sz="0" w:space="0" w:color="auto"/>
        <w:left w:val="none" w:sz="0" w:space="0" w:color="auto"/>
        <w:bottom w:val="none" w:sz="0" w:space="0" w:color="auto"/>
        <w:right w:val="none" w:sz="0" w:space="0" w:color="auto"/>
      </w:divBdr>
    </w:div>
    <w:div w:id="1822850239">
      <w:bodyDiv w:val="1"/>
      <w:marLeft w:val="0"/>
      <w:marRight w:val="0"/>
      <w:marTop w:val="0"/>
      <w:marBottom w:val="0"/>
      <w:divBdr>
        <w:top w:val="none" w:sz="0" w:space="0" w:color="auto"/>
        <w:left w:val="none" w:sz="0" w:space="0" w:color="auto"/>
        <w:bottom w:val="none" w:sz="0" w:space="0" w:color="auto"/>
        <w:right w:val="none" w:sz="0" w:space="0" w:color="auto"/>
      </w:divBdr>
    </w:div>
    <w:div w:id="1939757120">
      <w:bodyDiv w:val="1"/>
      <w:marLeft w:val="0"/>
      <w:marRight w:val="0"/>
      <w:marTop w:val="0"/>
      <w:marBottom w:val="0"/>
      <w:divBdr>
        <w:top w:val="none" w:sz="0" w:space="0" w:color="auto"/>
        <w:left w:val="none" w:sz="0" w:space="0" w:color="auto"/>
        <w:bottom w:val="none" w:sz="0" w:space="0" w:color="auto"/>
        <w:right w:val="none" w:sz="0" w:space="0" w:color="auto"/>
      </w:divBdr>
    </w:div>
    <w:div w:id="1980305784">
      <w:bodyDiv w:val="1"/>
      <w:marLeft w:val="0"/>
      <w:marRight w:val="0"/>
      <w:marTop w:val="0"/>
      <w:marBottom w:val="0"/>
      <w:divBdr>
        <w:top w:val="none" w:sz="0" w:space="0" w:color="auto"/>
        <w:left w:val="none" w:sz="0" w:space="0" w:color="auto"/>
        <w:bottom w:val="none" w:sz="0" w:space="0" w:color="auto"/>
        <w:right w:val="none" w:sz="0" w:space="0" w:color="auto"/>
      </w:divBdr>
    </w:div>
    <w:div w:id="2029327111">
      <w:bodyDiv w:val="1"/>
      <w:marLeft w:val="0"/>
      <w:marRight w:val="0"/>
      <w:marTop w:val="0"/>
      <w:marBottom w:val="0"/>
      <w:divBdr>
        <w:top w:val="none" w:sz="0" w:space="0" w:color="auto"/>
        <w:left w:val="none" w:sz="0" w:space="0" w:color="auto"/>
        <w:bottom w:val="none" w:sz="0" w:space="0" w:color="auto"/>
        <w:right w:val="none" w:sz="0" w:space="0" w:color="auto"/>
      </w:divBdr>
    </w:div>
    <w:div w:id="2048292557">
      <w:bodyDiv w:val="1"/>
      <w:marLeft w:val="0"/>
      <w:marRight w:val="0"/>
      <w:marTop w:val="0"/>
      <w:marBottom w:val="0"/>
      <w:divBdr>
        <w:top w:val="none" w:sz="0" w:space="0" w:color="auto"/>
        <w:left w:val="none" w:sz="0" w:space="0" w:color="auto"/>
        <w:bottom w:val="none" w:sz="0" w:space="0" w:color="auto"/>
        <w:right w:val="none" w:sz="0" w:space="0" w:color="auto"/>
      </w:divBdr>
    </w:div>
    <w:div w:id="2049988764">
      <w:bodyDiv w:val="1"/>
      <w:marLeft w:val="0"/>
      <w:marRight w:val="0"/>
      <w:marTop w:val="0"/>
      <w:marBottom w:val="0"/>
      <w:divBdr>
        <w:top w:val="none" w:sz="0" w:space="0" w:color="auto"/>
        <w:left w:val="none" w:sz="0" w:space="0" w:color="auto"/>
        <w:bottom w:val="none" w:sz="0" w:space="0" w:color="auto"/>
        <w:right w:val="none" w:sz="0" w:space="0" w:color="auto"/>
      </w:divBdr>
    </w:div>
    <w:div w:id="2053839694">
      <w:bodyDiv w:val="1"/>
      <w:marLeft w:val="0"/>
      <w:marRight w:val="0"/>
      <w:marTop w:val="0"/>
      <w:marBottom w:val="0"/>
      <w:divBdr>
        <w:top w:val="none" w:sz="0" w:space="0" w:color="auto"/>
        <w:left w:val="none" w:sz="0" w:space="0" w:color="auto"/>
        <w:bottom w:val="none" w:sz="0" w:space="0" w:color="auto"/>
        <w:right w:val="none" w:sz="0" w:space="0" w:color="auto"/>
      </w:divBdr>
    </w:div>
    <w:div w:id="2112504908">
      <w:bodyDiv w:val="1"/>
      <w:marLeft w:val="0"/>
      <w:marRight w:val="0"/>
      <w:marTop w:val="0"/>
      <w:marBottom w:val="0"/>
      <w:divBdr>
        <w:top w:val="none" w:sz="0" w:space="0" w:color="auto"/>
        <w:left w:val="none" w:sz="0" w:space="0" w:color="auto"/>
        <w:bottom w:val="none" w:sz="0" w:space="0" w:color="auto"/>
        <w:right w:val="none" w:sz="0" w:space="0" w:color="auto"/>
      </w:divBdr>
    </w:div>
    <w:div w:id="212712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1</TotalTime>
  <Pages>6</Pages>
  <Words>1277</Words>
  <Characters>6771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doc.: IEEE 802.11-11/1518r5</vt:lpstr>
    </vt:vector>
  </TitlesOfParts>
  <Company>CSR</Company>
  <LinksUpToDate>false</LinksUpToDate>
  <CharactersWithSpaces>8032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802.11-11/1518r5</dc:title>
  <dc:subject>Submission</dc:subject>
  <dc:creator>Mark RISON</dc:creator>
  <cp:keywords>December 2011</cp:keywords>
  <dc:description>Mark RISON, CSR</dc:description>
  <cp:lastModifiedBy>mtk30118</cp:lastModifiedBy>
  <cp:revision>2</cp:revision>
  <cp:lastPrinted>2012-03-03T00:58:00Z</cp:lastPrinted>
  <dcterms:created xsi:type="dcterms:W3CDTF">2012-11-14T15:18:00Z</dcterms:created>
  <dcterms:modified xsi:type="dcterms:W3CDTF">2012-11-14T15:18:00Z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1439624137</vt:i4>
  </property>
  <property fmtid="{D5CDD505-2E9C-101B-9397-08002B2CF9AE}" pid="4" name="_EmailSubject">
    <vt:lpwstr/>
  </property>
  <property fmtid="{D5CDD505-2E9C-101B-9397-08002B2CF9AE}" pid="5" name="_AuthorEmail">
    <vt:lpwstr>vish.ponnampalam@mediatek.com</vt:lpwstr>
  </property>
  <property fmtid="{D5CDD505-2E9C-101B-9397-08002B2CF9AE}" pid="6" name="_AuthorEmailDisplayName">
    <vt:lpwstr>Vish Ponnampalam</vt:lpwstr>
  </property>
  <property fmtid="{D5CDD505-2E9C-101B-9397-08002B2CF9AE}" pid="7" name="_ReviewingToolsShownOnce">
    <vt:lpwstr/>
  </property>
</Properties>
</file>