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662"/>
        <w:gridCol w:w="1701"/>
        <w:gridCol w:w="1813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3166AC" w:rsidP="00F06A08">
            <w:pPr>
              <w:pStyle w:val="T2"/>
            </w:pPr>
            <w:r>
              <w:t>R</w:t>
            </w:r>
            <w:r w:rsidR="00060E58">
              <w:t>esolution</w:t>
            </w:r>
            <w:r w:rsidR="00C33FAC">
              <w:t>s</w:t>
            </w:r>
            <w:r w:rsidR="00060E58">
              <w:t xml:space="preserve"> for </w:t>
            </w:r>
            <w:r w:rsidR="00F06A08">
              <w:t>Misselaneous</w:t>
            </w:r>
            <w:r w:rsidR="00007DE2">
              <w:t xml:space="preserve"> CIDs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37F57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 w:rsidR="009635A1">
              <w:rPr>
                <w:b w:val="0"/>
                <w:sz w:val="20"/>
              </w:rPr>
              <w:t xml:space="preserve">  201</w:t>
            </w:r>
            <w:r w:rsidR="00F06A08">
              <w:rPr>
                <w:b w:val="0"/>
                <w:sz w:val="20"/>
              </w:rPr>
              <w:t>2-03-</w:t>
            </w:r>
            <w:r w:rsidR="0048105A">
              <w:rPr>
                <w:b w:val="0"/>
                <w:sz w:val="20"/>
              </w:rPr>
              <w:t>12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C470CB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6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1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C470CB">
        <w:trPr>
          <w:jc w:val="center"/>
        </w:trPr>
        <w:tc>
          <w:tcPr>
            <w:tcW w:w="1336" w:type="dxa"/>
            <w:vAlign w:val="center"/>
          </w:tcPr>
          <w:p w:rsidR="00CA09B2" w:rsidRDefault="00F06A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Vish Ponnampalam</w:t>
            </w:r>
          </w:p>
        </w:tc>
        <w:tc>
          <w:tcPr>
            <w:tcW w:w="2064" w:type="dxa"/>
            <w:vAlign w:val="center"/>
          </w:tcPr>
          <w:p w:rsidR="00CA09B2" w:rsidRDefault="00F06A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Mediatek</w:t>
            </w:r>
          </w:p>
        </w:tc>
        <w:tc>
          <w:tcPr>
            <w:tcW w:w="2662" w:type="dxa"/>
            <w:vAlign w:val="center"/>
          </w:tcPr>
          <w:p w:rsidR="00CA09B2" w:rsidRDefault="00F06A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2860 Junction Ave, san Jose CA 95134</w:t>
            </w:r>
          </w:p>
        </w:tc>
        <w:tc>
          <w:tcPr>
            <w:tcW w:w="1701" w:type="dxa"/>
            <w:vAlign w:val="center"/>
          </w:tcPr>
          <w:p w:rsidR="00CA09B2" w:rsidRDefault="00C470C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</w:t>
            </w:r>
            <w:r w:rsidR="00F06A08">
              <w:rPr>
                <w:b w:val="0"/>
                <w:sz w:val="20"/>
              </w:rPr>
              <w:t>1 408 526 1899</w:t>
            </w:r>
          </w:p>
        </w:tc>
        <w:tc>
          <w:tcPr>
            <w:tcW w:w="1813" w:type="dxa"/>
            <w:vAlign w:val="center"/>
          </w:tcPr>
          <w:p w:rsidR="00CA09B2" w:rsidRDefault="00F06A0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vish.ponnampalam@mediatek.com</w:t>
            </w:r>
          </w:p>
        </w:tc>
      </w:tr>
      <w:tr w:rsidR="00C83392" w:rsidTr="00C470CB">
        <w:trPr>
          <w:jc w:val="center"/>
        </w:trPr>
        <w:tc>
          <w:tcPr>
            <w:tcW w:w="1336" w:type="dxa"/>
            <w:vAlign w:val="center"/>
          </w:tcPr>
          <w:p w:rsidR="00C83392" w:rsidRDefault="00C8339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83392" w:rsidRDefault="00C83392" w:rsidP="0090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62" w:type="dxa"/>
            <w:vAlign w:val="center"/>
          </w:tcPr>
          <w:p w:rsidR="00C83392" w:rsidRDefault="00C83392" w:rsidP="0090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C83392" w:rsidRDefault="00C83392" w:rsidP="0090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3" w:type="dxa"/>
            <w:vAlign w:val="center"/>
          </w:tcPr>
          <w:p w:rsidR="00C83392" w:rsidRDefault="00C83392" w:rsidP="009055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8C78FD">
      <w:pPr>
        <w:pStyle w:val="T1"/>
        <w:spacing w:after="120"/>
        <w:rPr>
          <w:sz w:val="22"/>
        </w:rPr>
      </w:pPr>
      <w:r w:rsidRPr="008C78F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BB6E22" w:rsidRDefault="00BB6E22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BB6E22" w:rsidRDefault="00BB6E22" w:rsidP="005E3B65">
                  <w:pPr>
                    <w:jc w:val="both"/>
                  </w:pPr>
                  <w:r>
                    <w:t xml:space="preserve">This document proposes a resolution for CIDs </w:t>
                  </w:r>
                  <w:r w:rsidR="00636C4D">
                    <w:t>4221</w:t>
                  </w:r>
                  <w:r w:rsidR="00F06A08">
                    <w:t>, 5310, 4094, 4519 and 4589</w:t>
                  </w:r>
                  <w:r>
                    <w:t xml:space="preserve"> on P802.11ac/D</w:t>
                  </w:r>
                  <w:r w:rsidR="00F06A08">
                    <w:t>2</w:t>
                  </w:r>
                  <w:r>
                    <w:t>.0.</w:t>
                  </w:r>
                </w:p>
                <w:p w:rsidR="00BB6E22" w:rsidRDefault="00BB6E22">
                  <w:pPr>
                    <w:jc w:val="both"/>
                  </w:pPr>
                </w:p>
              </w:txbxContent>
            </v:textbox>
          </v:shape>
        </w:pict>
      </w:r>
    </w:p>
    <w:p w:rsidR="003C1C98" w:rsidRDefault="00CA09B2" w:rsidP="00F06A08">
      <w:pPr>
        <w:pStyle w:val="Heading2"/>
      </w:pPr>
      <w:r>
        <w:br w:type="page"/>
      </w:r>
    </w:p>
    <w:p w:rsidR="00127216" w:rsidRDefault="00127216" w:rsidP="00127216">
      <w:pPr>
        <w:rPr>
          <w:lang w:val="en-US"/>
        </w:rPr>
      </w:pPr>
    </w:p>
    <w:p w:rsidR="00B75BF5" w:rsidRDefault="00B75BF5" w:rsidP="00B75BF5">
      <w:pPr>
        <w:rPr>
          <w:lang w:val="en-US"/>
        </w:rPr>
      </w:pPr>
    </w:p>
    <w:p w:rsidR="00B75BF5" w:rsidRDefault="00B75BF5" w:rsidP="00B75BF5">
      <w:pPr>
        <w:rPr>
          <w:lang w:val="en-US"/>
        </w:rPr>
      </w:pPr>
    </w:p>
    <w:tbl>
      <w:tblPr>
        <w:tblW w:w="947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"/>
        <w:gridCol w:w="1038"/>
        <w:gridCol w:w="606"/>
        <w:gridCol w:w="1036"/>
        <w:gridCol w:w="3022"/>
        <w:gridCol w:w="3024"/>
      </w:tblGrid>
      <w:tr w:rsidR="00B75BF5" w:rsidRPr="003C1C98" w:rsidTr="006625A0">
        <w:trPr>
          <w:trHeight w:val="3675"/>
        </w:trPr>
        <w:tc>
          <w:tcPr>
            <w:tcW w:w="746" w:type="dxa"/>
            <w:shd w:val="clear" w:color="auto" w:fill="auto"/>
            <w:hideMark/>
          </w:tcPr>
          <w:p w:rsidR="00B75BF5" w:rsidRPr="003C1C98" w:rsidRDefault="00B75BF5" w:rsidP="006625A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3C1C98">
              <w:rPr>
                <w:rFonts w:ascii="Arial" w:eastAsia="Times New Roman" w:hAnsi="Arial" w:cs="Arial"/>
                <w:sz w:val="20"/>
                <w:lang w:val="en-US" w:eastAsia="zh-CN"/>
              </w:rPr>
              <w:t>4094</w:t>
            </w:r>
          </w:p>
        </w:tc>
        <w:tc>
          <w:tcPr>
            <w:tcW w:w="1038" w:type="dxa"/>
            <w:shd w:val="clear" w:color="auto" w:fill="auto"/>
            <w:hideMark/>
          </w:tcPr>
          <w:p w:rsidR="00B75BF5" w:rsidRPr="003C1C98" w:rsidRDefault="00B75BF5" w:rsidP="006625A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3C1C98">
              <w:rPr>
                <w:rFonts w:ascii="Arial" w:eastAsia="Times New Roman" w:hAnsi="Arial" w:cs="Arial"/>
                <w:sz w:val="20"/>
                <w:lang w:val="en-US" w:eastAsia="zh-CN"/>
              </w:rPr>
              <w:t>7.3.4.5</w:t>
            </w:r>
          </w:p>
        </w:tc>
        <w:tc>
          <w:tcPr>
            <w:tcW w:w="606" w:type="dxa"/>
            <w:shd w:val="clear" w:color="auto" w:fill="auto"/>
            <w:hideMark/>
          </w:tcPr>
          <w:p w:rsidR="00B75BF5" w:rsidRPr="003C1C98" w:rsidRDefault="00B75BF5" w:rsidP="006625A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3C1C98">
              <w:rPr>
                <w:rFonts w:ascii="Arial" w:eastAsia="Times New Roman" w:hAnsi="Arial" w:cs="Arial"/>
                <w:sz w:val="20"/>
                <w:lang w:val="en-US" w:eastAsia="zh-CN"/>
              </w:rPr>
              <w:t>T</w:t>
            </w:r>
          </w:p>
        </w:tc>
        <w:tc>
          <w:tcPr>
            <w:tcW w:w="1036" w:type="dxa"/>
            <w:shd w:val="clear" w:color="auto" w:fill="auto"/>
            <w:hideMark/>
          </w:tcPr>
          <w:p w:rsidR="00B75BF5" w:rsidRPr="003C1C98" w:rsidRDefault="00B75BF5" w:rsidP="006625A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3C1C98">
              <w:rPr>
                <w:rFonts w:ascii="Arial" w:eastAsia="Times New Roman" w:hAnsi="Arial" w:cs="Arial"/>
                <w:sz w:val="20"/>
                <w:lang w:val="en-US" w:eastAsia="zh-CN"/>
              </w:rPr>
              <w:t>22.20</w:t>
            </w:r>
          </w:p>
        </w:tc>
        <w:tc>
          <w:tcPr>
            <w:tcW w:w="3022" w:type="dxa"/>
            <w:shd w:val="clear" w:color="auto" w:fill="auto"/>
            <w:hideMark/>
          </w:tcPr>
          <w:p w:rsidR="00B75BF5" w:rsidRPr="003C1C98" w:rsidRDefault="00B75BF5" w:rsidP="006625A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3C1C98">
              <w:rPr>
                <w:rFonts w:ascii="Arial" w:eastAsia="Times New Roman" w:hAnsi="Arial" w:cs="Arial"/>
                <w:sz w:val="20"/>
                <w:lang w:val="en-US" w:eastAsia="zh-CN"/>
              </w:rPr>
              <w:t>How does the PHY determine whether to listen to Group ID 0 or 63?</w:t>
            </w:r>
            <w:r w:rsidRPr="003C1C98">
              <w:rPr>
                <w:rFonts w:ascii="Arial" w:eastAsia="Times New Roman" w:hAnsi="Arial" w:cs="Arial"/>
                <w:sz w:val="20"/>
                <w:lang w:val="en-US" w:eastAsia="zh-CN"/>
              </w:rPr>
              <w:br/>
              <w:t>This is dependent on its identity as an AP  or not,  and a knowledge that these values are reserved for the downline or uplink.  Such knowledge does not appear in 22.3.11.4.</w:t>
            </w:r>
            <w:r w:rsidRPr="003C1C98">
              <w:rPr>
                <w:rFonts w:ascii="Arial" w:eastAsia="Times New Roman" w:hAnsi="Arial" w:cs="Arial"/>
                <w:sz w:val="20"/>
                <w:lang w:val="en-US" w:eastAsia="zh-CN"/>
              </w:rPr>
              <w:br/>
              <w:t>A STA should not listed for both of these group IDs if it wants to maximise power saving.</w:t>
            </w:r>
          </w:p>
        </w:tc>
        <w:tc>
          <w:tcPr>
            <w:tcW w:w="3024" w:type="dxa"/>
            <w:shd w:val="clear" w:color="auto" w:fill="auto"/>
            <w:hideMark/>
          </w:tcPr>
          <w:p w:rsidR="00B75BF5" w:rsidRPr="003C1C98" w:rsidRDefault="00B75BF5" w:rsidP="006625A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3C1C98">
              <w:rPr>
                <w:rFonts w:ascii="Arial" w:eastAsia="Times New Roman" w:hAnsi="Arial" w:cs="Arial"/>
                <w:sz w:val="20"/>
                <w:lang w:val="en-US" w:eastAsia="zh-CN"/>
              </w:rPr>
              <w:t>Add to GROUP_ID or add a new parameter to cover the SU receive case.</w:t>
            </w:r>
          </w:p>
        </w:tc>
      </w:tr>
    </w:tbl>
    <w:p w:rsidR="00B75BF5" w:rsidRDefault="00B75BF5" w:rsidP="00B75BF5">
      <w:pPr>
        <w:rPr>
          <w:lang w:val="en-US"/>
        </w:rPr>
      </w:pPr>
    </w:p>
    <w:p w:rsidR="00B75BF5" w:rsidRDefault="00B75BF5" w:rsidP="00B75BF5">
      <w:pPr>
        <w:rPr>
          <w:lang w:val="en-US"/>
        </w:rPr>
      </w:pPr>
      <w:r w:rsidRPr="0018619C">
        <w:rPr>
          <w:b/>
          <w:lang w:val="en-US"/>
        </w:rPr>
        <w:t>Resolution</w:t>
      </w:r>
      <w:r>
        <w:rPr>
          <w:lang w:val="en-US"/>
        </w:rPr>
        <w:t>:</w:t>
      </w:r>
      <w:r w:rsidR="006D2208">
        <w:rPr>
          <w:lang w:val="en-US"/>
        </w:rPr>
        <w:t xml:space="preserve"> Reject.</w:t>
      </w:r>
    </w:p>
    <w:p w:rsidR="00E55C0A" w:rsidRDefault="00E55C0A" w:rsidP="00B75BF5">
      <w:pPr>
        <w:rPr>
          <w:lang w:val="en-US"/>
        </w:rPr>
      </w:pPr>
    </w:p>
    <w:p w:rsidR="00B75BF5" w:rsidRPr="006D2208" w:rsidRDefault="00E55C0A" w:rsidP="00127216">
      <w:pPr>
        <w:rPr>
          <w:lang w:val="en-US"/>
        </w:rPr>
      </w:pPr>
      <w:r w:rsidRPr="00E55C0A">
        <w:rPr>
          <w:b/>
          <w:lang w:val="en-US"/>
        </w:rPr>
        <w:t>Discussion</w:t>
      </w:r>
      <w:r>
        <w:rPr>
          <w:b/>
          <w:lang w:val="en-US"/>
        </w:rPr>
        <w:t>:</w:t>
      </w:r>
      <w:r w:rsidR="006D2208">
        <w:rPr>
          <w:b/>
          <w:lang w:val="en-US"/>
        </w:rPr>
        <w:t xml:space="preserve"> </w:t>
      </w:r>
      <w:r w:rsidR="006D2208">
        <w:rPr>
          <w:lang w:val="en-US"/>
        </w:rPr>
        <w:t>Agree with the commentor that a device can save power by listening only to Group_ID=0 or Group_ID=63, depending on if the device is an AP etc. However, this should be left to implementation; not appropriate to mandate which packets should be dropped etc.</w:t>
      </w:r>
    </w:p>
    <w:p w:rsidR="00B75BF5" w:rsidRPr="00127216" w:rsidRDefault="00B75BF5" w:rsidP="00127216">
      <w:pPr>
        <w:rPr>
          <w:lang w:val="en-US"/>
        </w:rPr>
      </w:pPr>
    </w:p>
    <w:p w:rsidR="003C1C98" w:rsidRDefault="003C1C98" w:rsidP="003C1C98">
      <w:pPr>
        <w:rPr>
          <w:lang w:val="en-US"/>
        </w:rPr>
      </w:pPr>
    </w:p>
    <w:tbl>
      <w:tblPr>
        <w:tblW w:w="9417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"/>
        <w:gridCol w:w="1236"/>
        <w:gridCol w:w="589"/>
        <w:gridCol w:w="1014"/>
        <w:gridCol w:w="2909"/>
        <w:gridCol w:w="2930"/>
      </w:tblGrid>
      <w:tr w:rsidR="000F3228" w:rsidRPr="003C1C98" w:rsidTr="000F3228">
        <w:trPr>
          <w:trHeight w:val="2550"/>
        </w:trPr>
        <w:tc>
          <w:tcPr>
            <w:tcW w:w="739" w:type="dxa"/>
            <w:shd w:val="clear" w:color="auto" w:fill="auto"/>
            <w:hideMark/>
          </w:tcPr>
          <w:p w:rsidR="000F3228" w:rsidRPr="003C1C98" w:rsidRDefault="000F3228" w:rsidP="003C1C98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3C1C98">
              <w:rPr>
                <w:rFonts w:ascii="Arial" w:eastAsia="Times New Roman" w:hAnsi="Arial" w:cs="Arial"/>
                <w:sz w:val="20"/>
                <w:lang w:val="en-US" w:eastAsia="zh-CN"/>
              </w:rPr>
              <w:t>4589</w:t>
            </w:r>
          </w:p>
        </w:tc>
        <w:tc>
          <w:tcPr>
            <w:tcW w:w="1236" w:type="dxa"/>
            <w:shd w:val="clear" w:color="auto" w:fill="auto"/>
            <w:hideMark/>
          </w:tcPr>
          <w:p w:rsidR="000F3228" w:rsidRPr="003C1C98" w:rsidRDefault="000F3228" w:rsidP="003C1C98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3C1C98">
              <w:rPr>
                <w:rFonts w:ascii="Arial" w:eastAsia="Times New Roman" w:hAnsi="Arial" w:cs="Arial"/>
                <w:sz w:val="20"/>
                <w:lang w:val="en-US" w:eastAsia="zh-CN"/>
              </w:rPr>
              <w:t>7.3.5.11.2</w:t>
            </w:r>
          </w:p>
        </w:tc>
        <w:tc>
          <w:tcPr>
            <w:tcW w:w="589" w:type="dxa"/>
            <w:shd w:val="clear" w:color="auto" w:fill="auto"/>
            <w:hideMark/>
          </w:tcPr>
          <w:p w:rsidR="000F3228" w:rsidRPr="003C1C98" w:rsidRDefault="000F3228" w:rsidP="003C1C98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3C1C98">
              <w:rPr>
                <w:rFonts w:ascii="Arial" w:eastAsia="Times New Roman" w:hAnsi="Arial" w:cs="Arial"/>
                <w:sz w:val="20"/>
                <w:lang w:val="en-US" w:eastAsia="zh-CN"/>
              </w:rPr>
              <w:t>T</w:t>
            </w:r>
          </w:p>
        </w:tc>
        <w:tc>
          <w:tcPr>
            <w:tcW w:w="1014" w:type="dxa"/>
            <w:shd w:val="clear" w:color="auto" w:fill="auto"/>
            <w:hideMark/>
          </w:tcPr>
          <w:p w:rsidR="000F3228" w:rsidRPr="003C1C98" w:rsidRDefault="000F3228" w:rsidP="003C1C98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3C1C98">
              <w:rPr>
                <w:rFonts w:ascii="Arial" w:eastAsia="Times New Roman" w:hAnsi="Arial" w:cs="Arial"/>
                <w:sz w:val="20"/>
                <w:lang w:val="en-US" w:eastAsia="zh-CN"/>
              </w:rPr>
              <w:t>23.34</w:t>
            </w:r>
          </w:p>
        </w:tc>
        <w:tc>
          <w:tcPr>
            <w:tcW w:w="2909" w:type="dxa"/>
            <w:shd w:val="clear" w:color="auto" w:fill="auto"/>
            <w:hideMark/>
          </w:tcPr>
          <w:p w:rsidR="000F3228" w:rsidRPr="003C1C98" w:rsidRDefault="000F3228" w:rsidP="003C1C98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3C1C98">
              <w:rPr>
                <w:rFonts w:ascii="Arial" w:eastAsia="Times New Roman" w:hAnsi="Arial" w:cs="Arial"/>
                <w:sz w:val="20"/>
                <w:lang w:val="en-US" w:eastAsia="zh-CN"/>
              </w:rPr>
              <w:t>(also line 34 on page 23.) Since we have a nice subclause about CCA in secondary channels in section 22 it seems strange to point to the preceeding subclause (which speaks of primary channels)</w:t>
            </w:r>
          </w:p>
        </w:tc>
        <w:tc>
          <w:tcPr>
            <w:tcW w:w="2930" w:type="dxa"/>
            <w:shd w:val="clear" w:color="auto" w:fill="auto"/>
            <w:hideMark/>
          </w:tcPr>
          <w:p w:rsidR="000F3228" w:rsidRPr="003C1C98" w:rsidRDefault="000F3228" w:rsidP="003C1C98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3C1C98">
              <w:rPr>
                <w:rFonts w:ascii="Arial" w:eastAsia="Times New Roman" w:hAnsi="Arial" w:cs="Arial"/>
                <w:sz w:val="20"/>
                <w:lang w:val="en-US" w:eastAsia="zh-CN"/>
              </w:rPr>
              <w:t>Change the reference in table 7.5 rows "secondary40" and "secondary80" from "22.3.19.5.2 (CCA sensitivity for signals occupying the primary</w:t>
            </w:r>
            <w:r w:rsidRPr="003C1C98">
              <w:rPr>
                <w:rFonts w:ascii="Arial" w:eastAsia="Times New Roman" w:hAnsi="Arial" w:cs="Arial"/>
                <w:sz w:val="20"/>
                <w:lang w:val="en-US" w:eastAsia="zh-CN"/>
              </w:rPr>
              <w:br/>
              <w:t>20 MHz channel)" to "22.3.19.5.3 (CCA sensitivity for signals not occupying the primary 20 MHz channel)"</w:t>
            </w:r>
          </w:p>
        </w:tc>
      </w:tr>
    </w:tbl>
    <w:p w:rsidR="003C1C98" w:rsidRDefault="003C1C98" w:rsidP="003C1C98">
      <w:pPr>
        <w:rPr>
          <w:lang w:val="en-US"/>
        </w:rPr>
      </w:pPr>
    </w:p>
    <w:p w:rsidR="003C2F14" w:rsidRDefault="00715309" w:rsidP="003C1C98">
      <w:pPr>
        <w:rPr>
          <w:lang w:val="en-US"/>
        </w:rPr>
      </w:pPr>
      <w:r w:rsidRPr="00715309">
        <w:rPr>
          <w:b/>
          <w:lang w:val="en-US"/>
        </w:rPr>
        <w:t>Resolution</w:t>
      </w:r>
      <w:r>
        <w:rPr>
          <w:lang w:val="en-US"/>
        </w:rPr>
        <w:t>:</w:t>
      </w:r>
      <w:r w:rsidR="003C2F14">
        <w:rPr>
          <w:lang w:val="en-US"/>
        </w:rPr>
        <w:t xml:space="preserve"> Agree. </w:t>
      </w:r>
    </w:p>
    <w:p w:rsidR="003C2F14" w:rsidRDefault="003C2F14" w:rsidP="003C1C98">
      <w:pPr>
        <w:rPr>
          <w:lang w:val="en-US"/>
        </w:rPr>
      </w:pPr>
    </w:p>
    <w:p w:rsidR="003C1C98" w:rsidRDefault="003C2F14" w:rsidP="003C1C98">
      <w:pPr>
        <w:rPr>
          <w:lang w:val="en-US"/>
        </w:rPr>
      </w:pPr>
      <w:r w:rsidRPr="003C2F14">
        <w:rPr>
          <w:b/>
          <w:lang w:val="en-US"/>
        </w:rPr>
        <w:t>Discussion</w:t>
      </w:r>
      <w:r>
        <w:rPr>
          <w:lang w:val="en-US"/>
        </w:rPr>
        <w:t>: This seems to be a typo. Section 22.3.19.5.3 (CCA sensitivity for signals occupying the secondary 20 MHz channel) should be referenced.</w:t>
      </w:r>
    </w:p>
    <w:p w:rsidR="003C2F14" w:rsidRDefault="003C2F14" w:rsidP="003C1C98">
      <w:pPr>
        <w:rPr>
          <w:lang w:val="en-US"/>
        </w:rPr>
      </w:pPr>
    </w:p>
    <w:p w:rsidR="003C1C98" w:rsidRDefault="003C2F14" w:rsidP="003C1C98">
      <w:pPr>
        <w:rPr>
          <w:lang w:val="en-US"/>
        </w:rPr>
      </w:pPr>
      <w:r w:rsidRPr="003C2F14">
        <w:rPr>
          <w:b/>
          <w:lang w:val="en-US"/>
        </w:rPr>
        <w:t>Change</w:t>
      </w:r>
      <w:r>
        <w:rPr>
          <w:lang w:val="en-US"/>
        </w:rPr>
        <w:t>: [</w:t>
      </w:r>
      <w:r w:rsidRPr="00B56DF5">
        <w:rPr>
          <w:i/>
          <w:highlight w:val="yellow"/>
          <w:lang w:val="en-US"/>
        </w:rPr>
        <w:t>Note to editor</w:t>
      </w:r>
      <w:r>
        <w:rPr>
          <w:lang w:val="en-US"/>
        </w:rPr>
        <w:t xml:space="preserve">]. </w:t>
      </w:r>
      <w:r w:rsidRPr="003C1C98">
        <w:rPr>
          <w:rFonts w:ascii="Arial" w:eastAsia="Times New Roman" w:hAnsi="Arial" w:cs="Arial"/>
          <w:sz w:val="20"/>
          <w:lang w:val="en-US" w:eastAsia="zh-CN"/>
        </w:rPr>
        <w:t>Change the reference in table 7.5 rows "secondary40" and "secondary80" from "22.3.19.5.2 (CCA sensitivity fo</w:t>
      </w:r>
      <w:r>
        <w:rPr>
          <w:rFonts w:ascii="Arial" w:eastAsia="Times New Roman" w:hAnsi="Arial" w:cs="Arial"/>
          <w:sz w:val="20"/>
          <w:lang w:val="en-US" w:eastAsia="zh-CN"/>
        </w:rPr>
        <w:t xml:space="preserve">r signals occupying the primary </w:t>
      </w:r>
      <w:r w:rsidRPr="003C1C98">
        <w:rPr>
          <w:rFonts w:ascii="Arial" w:eastAsia="Times New Roman" w:hAnsi="Arial" w:cs="Arial"/>
          <w:sz w:val="20"/>
          <w:lang w:val="en-US" w:eastAsia="zh-CN"/>
        </w:rPr>
        <w:t>20 MHz channel)" to "22.3.19.5.3 (CCA sensitivity for signals not occupying the primary 20 MHz channel)"</w:t>
      </w:r>
    </w:p>
    <w:p w:rsidR="003C1C98" w:rsidRDefault="003C1C98" w:rsidP="003C1C98">
      <w:pPr>
        <w:rPr>
          <w:lang w:val="en-US"/>
        </w:rPr>
      </w:pPr>
    </w:p>
    <w:p w:rsidR="003C1C98" w:rsidRDefault="0018619C" w:rsidP="003C1C98">
      <w:pPr>
        <w:rPr>
          <w:lang w:val="en-US"/>
        </w:rPr>
      </w:pPr>
      <w:r>
        <w:rPr>
          <w:lang w:val="en-US"/>
        </w:rPr>
        <w:t xml:space="preserve"> </w:t>
      </w:r>
    </w:p>
    <w:tbl>
      <w:tblPr>
        <w:tblW w:w="952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"/>
        <w:gridCol w:w="1250"/>
        <w:gridCol w:w="597"/>
        <w:gridCol w:w="1026"/>
        <w:gridCol w:w="2950"/>
        <w:gridCol w:w="2950"/>
      </w:tblGrid>
      <w:tr w:rsidR="000F3228" w:rsidRPr="003C1C98" w:rsidTr="000F3228">
        <w:trPr>
          <w:trHeight w:val="1887"/>
        </w:trPr>
        <w:tc>
          <w:tcPr>
            <w:tcW w:w="747" w:type="dxa"/>
            <w:shd w:val="clear" w:color="auto" w:fill="auto"/>
            <w:hideMark/>
          </w:tcPr>
          <w:p w:rsidR="000F3228" w:rsidRPr="003C1C98" w:rsidRDefault="000F3228" w:rsidP="003C1C98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3C1C98">
              <w:rPr>
                <w:rFonts w:ascii="Arial" w:eastAsia="Times New Roman" w:hAnsi="Arial" w:cs="Arial"/>
                <w:sz w:val="20"/>
                <w:lang w:val="en-US" w:eastAsia="zh-CN"/>
              </w:rPr>
              <w:lastRenderedPageBreak/>
              <w:t>4519</w:t>
            </w:r>
          </w:p>
        </w:tc>
        <w:tc>
          <w:tcPr>
            <w:tcW w:w="1250" w:type="dxa"/>
            <w:shd w:val="clear" w:color="auto" w:fill="auto"/>
            <w:hideMark/>
          </w:tcPr>
          <w:p w:rsidR="000F3228" w:rsidRPr="003C1C98" w:rsidRDefault="000F3228" w:rsidP="003C1C98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3C1C98">
              <w:rPr>
                <w:rFonts w:ascii="Arial" w:eastAsia="Times New Roman" w:hAnsi="Arial" w:cs="Arial"/>
                <w:sz w:val="20"/>
                <w:lang w:val="en-US" w:eastAsia="zh-CN"/>
              </w:rPr>
              <w:t>7.3.5.11.2</w:t>
            </w:r>
          </w:p>
        </w:tc>
        <w:tc>
          <w:tcPr>
            <w:tcW w:w="597" w:type="dxa"/>
            <w:shd w:val="clear" w:color="auto" w:fill="auto"/>
            <w:hideMark/>
          </w:tcPr>
          <w:p w:rsidR="000F3228" w:rsidRPr="003C1C98" w:rsidRDefault="000F3228" w:rsidP="003C1C98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3C1C98">
              <w:rPr>
                <w:rFonts w:ascii="Arial" w:eastAsia="Times New Roman" w:hAnsi="Arial" w:cs="Arial"/>
                <w:sz w:val="20"/>
                <w:lang w:val="en-US" w:eastAsia="zh-CN"/>
              </w:rPr>
              <w:t>T</w:t>
            </w:r>
          </w:p>
        </w:tc>
        <w:tc>
          <w:tcPr>
            <w:tcW w:w="1026" w:type="dxa"/>
            <w:shd w:val="clear" w:color="auto" w:fill="auto"/>
            <w:hideMark/>
          </w:tcPr>
          <w:p w:rsidR="000F3228" w:rsidRPr="003C1C98" w:rsidRDefault="000F3228" w:rsidP="003C1C98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3C1C98">
              <w:rPr>
                <w:rFonts w:ascii="Arial" w:eastAsia="Times New Roman" w:hAnsi="Arial" w:cs="Arial"/>
                <w:sz w:val="20"/>
                <w:lang w:val="en-US" w:eastAsia="zh-CN"/>
              </w:rPr>
              <w:t>23.18</w:t>
            </w:r>
          </w:p>
        </w:tc>
        <w:tc>
          <w:tcPr>
            <w:tcW w:w="2950" w:type="dxa"/>
            <w:shd w:val="clear" w:color="auto" w:fill="auto"/>
            <w:hideMark/>
          </w:tcPr>
          <w:p w:rsidR="000F3228" w:rsidRPr="003C1C98" w:rsidRDefault="000F3228" w:rsidP="003C1C98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3C1C98">
              <w:rPr>
                <w:rFonts w:ascii="Arial" w:eastAsia="Times New Roman" w:hAnsi="Arial" w:cs="Arial"/>
                <w:sz w:val="20"/>
                <w:lang w:val="en-US" w:eastAsia="zh-CN"/>
              </w:rPr>
              <w:t>Are these values really elements?  If so, where are these information elements defined, and why are their names not in initial caps?</w:t>
            </w:r>
          </w:p>
        </w:tc>
        <w:tc>
          <w:tcPr>
            <w:tcW w:w="2950" w:type="dxa"/>
            <w:shd w:val="clear" w:color="auto" w:fill="auto"/>
            <w:hideMark/>
          </w:tcPr>
          <w:p w:rsidR="000F3228" w:rsidRPr="003C1C98" w:rsidRDefault="000F3228" w:rsidP="003C1C98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3C1C98">
              <w:rPr>
                <w:rFonts w:ascii="Arial" w:eastAsia="Times New Roman" w:hAnsi="Arial" w:cs="Arial"/>
                <w:sz w:val="20"/>
                <w:lang w:val="en-US" w:eastAsia="zh-CN"/>
              </w:rPr>
              <w:t>If the channel-list "elements" really are information elements, define them.  Otherwise replace "element" with "value" whenever these values of the channel-list are described.</w:t>
            </w:r>
          </w:p>
        </w:tc>
      </w:tr>
    </w:tbl>
    <w:p w:rsidR="00AF63CF" w:rsidRDefault="00AF63CF" w:rsidP="003C1C98">
      <w:pPr>
        <w:rPr>
          <w:lang w:val="en-US"/>
        </w:rPr>
      </w:pPr>
    </w:p>
    <w:p w:rsidR="00B56DF5" w:rsidRDefault="00B56DF5" w:rsidP="003C1C98">
      <w:pPr>
        <w:rPr>
          <w:b/>
          <w:lang w:val="en-US"/>
        </w:rPr>
      </w:pPr>
      <w:r w:rsidRPr="00715309">
        <w:rPr>
          <w:b/>
          <w:lang w:val="en-US"/>
        </w:rPr>
        <w:t>Resolution</w:t>
      </w:r>
      <w:r>
        <w:rPr>
          <w:lang w:val="en-US"/>
        </w:rPr>
        <w:t xml:space="preserve">: </w:t>
      </w:r>
      <w:r w:rsidR="00FB5909">
        <w:rPr>
          <w:lang w:val="en-US"/>
        </w:rPr>
        <w:t>Agree</w:t>
      </w:r>
      <w:r w:rsidRPr="00B56DF5">
        <w:rPr>
          <w:lang w:val="en-US"/>
        </w:rPr>
        <w:t>.</w:t>
      </w:r>
    </w:p>
    <w:p w:rsidR="00B56DF5" w:rsidRDefault="00B56DF5" w:rsidP="003C1C98">
      <w:pPr>
        <w:rPr>
          <w:b/>
          <w:lang w:val="en-US"/>
        </w:rPr>
      </w:pPr>
    </w:p>
    <w:p w:rsidR="00E90242" w:rsidRDefault="00AF63CF" w:rsidP="003C1C98">
      <w:pPr>
        <w:rPr>
          <w:lang w:val="en-US"/>
        </w:rPr>
      </w:pPr>
      <w:r w:rsidRPr="00AF63CF">
        <w:rPr>
          <w:b/>
          <w:lang w:val="en-US"/>
        </w:rPr>
        <w:t>Discussion</w:t>
      </w:r>
      <w:r>
        <w:rPr>
          <w:lang w:val="en-US"/>
        </w:rPr>
        <w:t>:  It is confusing and inappropriate to use the term “channel-list element”, as it is in fact not an information element. This entity is referred to as “</w:t>
      </w:r>
      <w:r w:rsidR="00B56DF5">
        <w:rPr>
          <w:lang w:val="en-US"/>
        </w:rPr>
        <w:t>channel-</w:t>
      </w:r>
      <w:r>
        <w:rPr>
          <w:lang w:val="en-US"/>
        </w:rPr>
        <w:t>list parameter”</w:t>
      </w:r>
      <w:r w:rsidR="00FB5909">
        <w:rPr>
          <w:lang w:val="en-US"/>
        </w:rPr>
        <w:t>and simply “channel-list”</w:t>
      </w:r>
      <w:r>
        <w:rPr>
          <w:lang w:val="en-US"/>
        </w:rPr>
        <w:t xml:space="preserve"> in 801.11REVmb D10.2. For consistency, the same terminology should also be used in the 11ac amendment. </w:t>
      </w:r>
    </w:p>
    <w:p w:rsidR="00AF63CF" w:rsidRDefault="00AF63CF" w:rsidP="003C1C98">
      <w:pPr>
        <w:rPr>
          <w:lang w:val="en-US"/>
        </w:rPr>
      </w:pPr>
    </w:p>
    <w:p w:rsidR="00E90242" w:rsidRDefault="00B56DF5" w:rsidP="00BB616E">
      <w:pPr>
        <w:rPr>
          <w:lang w:val="en-US"/>
        </w:rPr>
      </w:pPr>
      <w:r>
        <w:rPr>
          <w:b/>
          <w:lang w:val="en-US"/>
        </w:rPr>
        <w:t>Change:</w:t>
      </w:r>
      <w:r>
        <w:rPr>
          <w:lang w:val="en-US"/>
        </w:rPr>
        <w:t xml:space="preserve"> [</w:t>
      </w:r>
      <w:r w:rsidRPr="00B56DF5">
        <w:rPr>
          <w:i/>
          <w:highlight w:val="yellow"/>
          <w:lang w:val="en-US"/>
        </w:rPr>
        <w:t>Note to editor</w:t>
      </w:r>
      <w:r>
        <w:rPr>
          <w:lang w:val="en-US"/>
        </w:rPr>
        <w:t>]</w:t>
      </w:r>
      <w:r w:rsidR="00F9465E">
        <w:rPr>
          <w:lang w:val="en-US"/>
        </w:rPr>
        <w:t xml:space="preserve">. </w:t>
      </w:r>
      <w:r>
        <w:rPr>
          <w:rFonts w:ascii="Arial" w:eastAsia="Times New Roman" w:hAnsi="Arial" w:cs="Arial"/>
          <w:sz w:val="20"/>
          <w:lang w:val="en-US" w:eastAsia="zh-CN"/>
        </w:rPr>
        <w:t>Replace "element" with "</w:t>
      </w:r>
      <w:r w:rsidR="00FB5909">
        <w:rPr>
          <w:rFonts w:ascii="Arial" w:eastAsia="Times New Roman" w:hAnsi="Arial" w:cs="Arial"/>
          <w:sz w:val="20"/>
          <w:lang w:val="en-US" w:eastAsia="zh-CN"/>
        </w:rPr>
        <w:t>value</w:t>
      </w:r>
      <w:r w:rsidRPr="003C1C98">
        <w:rPr>
          <w:rFonts w:ascii="Arial" w:eastAsia="Times New Roman" w:hAnsi="Arial" w:cs="Arial"/>
          <w:sz w:val="20"/>
          <w:lang w:val="en-US" w:eastAsia="zh-CN"/>
        </w:rPr>
        <w:t>" whenever these values of the channel-list</w:t>
      </w:r>
      <w:r w:rsidR="00FB5909">
        <w:rPr>
          <w:rFonts w:ascii="Arial" w:eastAsia="Times New Roman" w:hAnsi="Arial" w:cs="Arial"/>
          <w:sz w:val="20"/>
          <w:lang w:val="en-US" w:eastAsia="zh-CN"/>
        </w:rPr>
        <w:t xml:space="preserve"> parameter</w:t>
      </w:r>
      <w:r w:rsidRPr="003C1C98">
        <w:rPr>
          <w:rFonts w:ascii="Arial" w:eastAsia="Times New Roman" w:hAnsi="Arial" w:cs="Arial"/>
          <w:sz w:val="20"/>
          <w:lang w:val="en-US" w:eastAsia="zh-CN"/>
        </w:rPr>
        <w:t xml:space="preserve"> are described</w:t>
      </w:r>
      <w:r w:rsidR="00FB5909">
        <w:rPr>
          <w:rFonts w:ascii="Arial" w:eastAsia="Times New Roman" w:hAnsi="Arial" w:cs="Arial"/>
          <w:sz w:val="20"/>
          <w:lang w:val="en-US" w:eastAsia="zh-CN"/>
        </w:rPr>
        <w:t>.</w:t>
      </w:r>
    </w:p>
    <w:p w:rsidR="00E90242" w:rsidRDefault="00E90242" w:rsidP="003C1C98">
      <w:pPr>
        <w:rPr>
          <w:lang w:val="en-US"/>
        </w:rPr>
      </w:pPr>
    </w:p>
    <w:p w:rsidR="00E90242" w:rsidRDefault="00E90242" w:rsidP="003C1C98">
      <w:pPr>
        <w:rPr>
          <w:lang w:val="en-US"/>
        </w:rPr>
      </w:pPr>
    </w:p>
    <w:tbl>
      <w:tblPr>
        <w:tblW w:w="89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"/>
        <w:gridCol w:w="379"/>
        <w:gridCol w:w="925"/>
        <w:gridCol w:w="988"/>
        <w:gridCol w:w="2947"/>
        <w:gridCol w:w="1911"/>
        <w:gridCol w:w="1104"/>
      </w:tblGrid>
      <w:tr w:rsidR="00C044BD" w:rsidRPr="007800C3" w:rsidTr="00E90242">
        <w:trPr>
          <w:trHeight w:val="1081"/>
        </w:trPr>
        <w:tc>
          <w:tcPr>
            <w:tcW w:w="739" w:type="dxa"/>
            <w:shd w:val="clear" w:color="auto" w:fill="auto"/>
            <w:hideMark/>
          </w:tcPr>
          <w:p w:rsidR="00C044BD" w:rsidRPr="007800C3" w:rsidRDefault="00C044BD" w:rsidP="006625A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4221</w:t>
            </w:r>
          </w:p>
        </w:tc>
        <w:tc>
          <w:tcPr>
            <w:tcW w:w="379" w:type="dxa"/>
            <w:shd w:val="clear" w:color="auto" w:fill="auto"/>
            <w:hideMark/>
          </w:tcPr>
          <w:p w:rsidR="00C044BD" w:rsidRPr="007800C3" w:rsidRDefault="00C044BD" w:rsidP="006625A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7800C3">
              <w:rPr>
                <w:rFonts w:ascii="Arial" w:eastAsia="Times New Roman" w:hAnsi="Arial" w:cs="Arial"/>
                <w:sz w:val="20"/>
                <w:lang w:val="en-US" w:eastAsia="zh-CN"/>
              </w:rPr>
              <w:t>T</w:t>
            </w:r>
          </w:p>
        </w:tc>
        <w:tc>
          <w:tcPr>
            <w:tcW w:w="925" w:type="dxa"/>
            <w:shd w:val="clear" w:color="auto" w:fill="auto"/>
            <w:hideMark/>
          </w:tcPr>
          <w:p w:rsidR="00C044BD" w:rsidRPr="007800C3" w:rsidRDefault="00C044BD" w:rsidP="006625A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7800C3">
              <w:rPr>
                <w:rFonts w:ascii="Arial" w:eastAsia="Times New Roman" w:hAnsi="Arial" w:cs="Arial"/>
                <w:sz w:val="20"/>
                <w:lang w:val="en-US" w:eastAsia="zh-CN"/>
              </w:rPr>
              <w:t>265.0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6</w:t>
            </w:r>
          </w:p>
        </w:tc>
        <w:tc>
          <w:tcPr>
            <w:tcW w:w="988" w:type="dxa"/>
            <w:shd w:val="clear" w:color="auto" w:fill="auto"/>
            <w:hideMark/>
          </w:tcPr>
          <w:p w:rsidR="00C044BD" w:rsidRPr="007800C3" w:rsidRDefault="00C044BD" w:rsidP="006625A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7800C3">
              <w:rPr>
                <w:rFonts w:ascii="Arial" w:eastAsia="Times New Roman" w:hAnsi="Arial" w:cs="Arial"/>
                <w:sz w:val="20"/>
                <w:lang w:val="en-US" w:eastAsia="zh-CN"/>
              </w:rPr>
              <w:t>22.3.21</w:t>
            </w:r>
          </w:p>
        </w:tc>
        <w:tc>
          <w:tcPr>
            <w:tcW w:w="2947" w:type="dxa"/>
            <w:shd w:val="clear" w:color="auto" w:fill="auto"/>
            <w:hideMark/>
          </w:tcPr>
          <w:p w:rsidR="00C044BD" w:rsidRPr="007800C3" w:rsidRDefault="00C044BD" w:rsidP="006625A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Error with the Nsym_init equation in the case of STBC</w:t>
            </w:r>
          </w:p>
        </w:tc>
        <w:tc>
          <w:tcPr>
            <w:tcW w:w="1911" w:type="dxa"/>
            <w:shd w:val="clear" w:color="auto" w:fill="auto"/>
            <w:hideMark/>
          </w:tcPr>
          <w:p w:rsidR="00C044BD" w:rsidRPr="007800C3" w:rsidRDefault="00C044BD" w:rsidP="006625A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"Replace ""Nsym_init = Nsym - 1"" with</w:t>
            </w:r>
            <w:r>
              <w:rPr>
                <w:rFonts w:ascii="Arial" w:hAnsi="Arial" w:cs="Arial"/>
                <w:sz w:val="20"/>
              </w:rPr>
              <w:br/>
              <w:t>""Nsym_init = Nsym - m_stbc"" in the case of Extra OFDM symbol = 1 in VHT-SIG-A2.</w:t>
            </w:r>
            <w:r>
              <w:rPr>
                <w:rFonts w:ascii="Arial" w:hAnsi="Arial" w:cs="Arial"/>
                <w:sz w:val="20"/>
              </w:rPr>
              <w:br/>
              <w:t>We must have even number of symbols in the case of STBC.</w:t>
            </w:r>
          </w:p>
        </w:tc>
        <w:tc>
          <w:tcPr>
            <w:tcW w:w="1104" w:type="dxa"/>
            <w:shd w:val="clear" w:color="auto" w:fill="auto"/>
            <w:hideMark/>
          </w:tcPr>
          <w:p w:rsidR="00C044BD" w:rsidRPr="007800C3" w:rsidRDefault="00C044BD" w:rsidP="006625A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</w:tr>
    </w:tbl>
    <w:p w:rsidR="007800C3" w:rsidRPr="00C044BD" w:rsidRDefault="007800C3" w:rsidP="003C1C98"/>
    <w:p w:rsidR="007800C3" w:rsidRDefault="007800C3" w:rsidP="003C1C98">
      <w:pPr>
        <w:rPr>
          <w:lang w:val="en-US"/>
        </w:rPr>
      </w:pPr>
    </w:p>
    <w:tbl>
      <w:tblPr>
        <w:tblW w:w="89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"/>
        <w:gridCol w:w="379"/>
        <w:gridCol w:w="925"/>
        <w:gridCol w:w="988"/>
        <w:gridCol w:w="2947"/>
        <w:gridCol w:w="1911"/>
        <w:gridCol w:w="1104"/>
      </w:tblGrid>
      <w:tr w:rsidR="000F3228" w:rsidRPr="007800C3" w:rsidTr="000F3228">
        <w:trPr>
          <w:trHeight w:val="1081"/>
        </w:trPr>
        <w:tc>
          <w:tcPr>
            <w:tcW w:w="739" w:type="dxa"/>
            <w:shd w:val="clear" w:color="auto" w:fill="auto"/>
            <w:hideMark/>
          </w:tcPr>
          <w:p w:rsidR="000F3228" w:rsidRPr="007800C3" w:rsidRDefault="000F3228" w:rsidP="007800C3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7800C3">
              <w:rPr>
                <w:rFonts w:ascii="Arial" w:eastAsia="Times New Roman" w:hAnsi="Arial" w:cs="Arial"/>
                <w:sz w:val="20"/>
                <w:lang w:val="en-US" w:eastAsia="zh-CN"/>
              </w:rPr>
              <w:t>5310</w:t>
            </w:r>
          </w:p>
        </w:tc>
        <w:tc>
          <w:tcPr>
            <w:tcW w:w="379" w:type="dxa"/>
            <w:shd w:val="clear" w:color="auto" w:fill="auto"/>
            <w:hideMark/>
          </w:tcPr>
          <w:p w:rsidR="000F3228" w:rsidRPr="007800C3" w:rsidRDefault="000F3228" w:rsidP="007800C3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7800C3">
              <w:rPr>
                <w:rFonts w:ascii="Arial" w:eastAsia="Times New Roman" w:hAnsi="Arial" w:cs="Arial"/>
                <w:sz w:val="20"/>
                <w:lang w:val="en-US" w:eastAsia="zh-CN"/>
              </w:rPr>
              <w:t>T</w:t>
            </w:r>
          </w:p>
        </w:tc>
        <w:tc>
          <w:tcPr>
            <w:tcW w:w="925" w:type="dxa"/>
            <w:shd w:val="clear" w:color="auto" w:fill="auto"/>
            <w:hideMark/>
          </w:tcPr>
          <w:p w:rsidR="000F3228" w:rsidRPr="007800C3" w:rsidRDefault="000F3228" w:rsidP="007800C3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7800C3">
              <w:rPr>
                <w:rFonts w:ascii="Arial" w:eastAsia="Times New Roman" w:hAnsi="Arial" w:cs="Arial"/>
                <w:sz w:val="20"/>
                <w:lang w:val="en-US" w:eastAsia="zh-CN"/>
              </w:rPr>
              <w:t>265.05</w:t>
            </w:r>
          </w:p>
        </w:tc>
        <w:tc>
          <w:tcPr>
            <w:tcW w:w="988" w:type="dxa"/>
            <w:shd w:val="clear" w:color="auto" w:fill="auto"/>
            <w:hideMark/>
          </w:tcPr>
          <w:p w:rsidR="000F3228" w:rsidRPr="007800C3" w:rsidRDefault="000F3228" w:rsidP="007800C3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7800C3">
              <w:rPr>
                <w:rFonts w:ascii="Arial" w:eastAsia="Times New Roman" w:hAnsi="Arial" w:cs="Arial"/>
                <w:sz w:val="20"/>
                <w:lang w:val="en-US" w:eastAsia="zh-CN"/>
              </w:rPr>
              <w:t>22.3.21</w:t>
            </w:r>
          </w:p>
        </w:tc>
        <w:tc>
          <w:tcPr>
            <w:tcW w:w="2947" w:type="dxa"/>
            <w:shd w:val="clear" w:color="auto" w:fill="auto"/>
            <w:hideMark/>
          </w:tcPr>
          <w:p w:rsidR="000F3228" w:rsidRPr="007800C3" w:rsidRDefault="000F3228" w:rsidP="007800C3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7800C3">
              <w:rPr>
                <w:rFonts w:ascii="Arial" w:eastAsia="Times New Roman" w:hAnsi="Arial" w:cs="Arial"/>
                <w:sz w:val="20"/>
                <w:lang w:val="en-US" w:eastAsia="zh-CN"/>
              </w:rPr>
              <w:t>Equation 117, denoting N_Sym_init is incorrect when both LDPC and STBC are enabled</w:t>
            </w:r>
          </w:p>
        </w:tc>
        <w:tc>
          <w:tcPr>
            <w:tcW w:w="1911" w:type="dxa"/>
            <w:shd w:val="clear" w:color="auto" w:fill="auto"/>
            <w:hideMark/>
          </w:tcPr>
          <w:p w:rsidR="000F3228" w:rsidRPr="007800C3" w:rsidRDefault="000F3228" w:rsidP="007800C3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7800C3">
              <w:rPr>
                <w:rFonts w:ascii="Arial" w:eastAsia="Times New Roman" w:hAnsi="Arial" w:cs="Arial"/>
                <w:sz w:val="20"/>
                <w:lang w:val="en-US" w:eastAsia="zh-CN"/>
              </w:rPr>
              <w:t>Simple fix. Will provide submission.</w:t>
            </w:r>
          </w:p>
        </w:tc>
        <w:tc>
          <w:tcPr>
            <w:tcW w:w="1104" w:type="dxa"/>
            <w:shd w:val="clear" w:color="auto" w:fill="auto"/>
            <w:hideMark/>
          </w:tcPr>
          <w:p w:rsidR="000F3228" w:rsidRPr="007800C3" w:rsidRDefault="000F3228" w:rsidP="007800C3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</w:tr>
    </w:tbl>
    <w:p w:rsidR="007800C3" w:rsidRDefault="007800C3" w:rsidP="003C1C98">
      <w:pPr>
        <w:rPr>
          <w:lang w:val="en-US"/>
        </w:rPr>
      </w:pPr>
    </w:p>
    <w:p w:rsidR="00E90242" w:rsidRDefault="00C044BD" w:rsidP="003C1C98">
      <w:pPr>
        <w:rPr>
          <w:b/>
          <w:lang w:val="en-US"/>
        </w:rPr>
      </w:pPr>
      <w:r w:rsidRPr="00C044BD">
        <w:rPr>
          <w:b/>
          <w:lang w:val="en-US"/>
        </w:rPr>
        <w:t>Resolution</w:t>
      </w:r>
      <w:r>
        <w:rPr>
          <w:b/>
          <w:lang w:val="en-US"/>
        </w:rPr>
        <w:t xml:space="preserve">: </w:t>
      </w:r>
      <w:r w:rsidR="00E90242" w:rsidRPr="008D42D2">
        <w:rPr>
          <w:lang w:val="en-US"/>
        </w:rPr>
        <w:t>Accept</w:t>
      </w:r>
      <w:r w:rsidR="00E90242" w:rsidRPr="008D42D2">
        <w:rPr>
          <w:b/>
          <w:lang w:val="en-US"/>
        </w:rPr>
        <w:t>.</w:t>
      </w:r>
      <w:r w:rsidR="00E90242">
        <w:rPr>
          <w:b/>
          <w:lang w:val="en-US"/>
        </w:rPr>
        <w:t xml:space="preserve"> </w:t>
      </w:r>
    </w:p>
    <w:p w:rsidR="00C044BD" w:rsidRDefault="00E90242" w:rsidP="003C1C98">
      <w:pPr>
        <w:rPr>
          <w:lang w:val="en-US"/>
        </w:rPr>
      </w:pPr>
      <w:r>
        <w:rPr>
          <w:lang w:val="en-US"/>
        </w:rPr>
        <w:t>CIDs 4221 and 5310 relate to Equation 117, describing initial</w:t>
      </w:r>
      <w:r w:rsidR="001C6B3D">
        <w:rPr>
          <w:lang w:val="en-US"/>
        </w:rPr>
        <w:t xml:space="preserve"> symbol length calculation when coding type LDPC is used. The equation is incorrect when the STBC is </w:t>
      </w:r>
      <w:r w:rsidR="00D83302">
        <w:rPr>
          <w:lang w:val="en-US"/>
        </w:rPr>
        <w:t>enabled. Re-write Equation 117 as follows</w:t>
      </w:r>
      <w:r w:rsidR="008B4EA2">
        <w:rPr>
          <w:lang w:val="en-US"/>
        </w:rPr>
        <w:t>:</w:t>
      </w:r>
    </w:p>
    <w:p w:rsidR="00D83302" w:rsidRDefault="00D83302" w:rsidP="003C1C98">
      <w:pPr>
        <w:rPr>
          <w:lang w:val="en-US"/>
        </w:rPr>
      </w:pPr>
    </w:p>
    <w:p w:rsidR="008B4EA2" w:rsidRPr="00E90242" w:rsidRDefault="008B4EA2" w:rsidP="003C1C98">
      <w:pPr>
        <w:rPr>
          <w:lang w:val="en-US"/>
        </w:rPr>
      </w:pPr>
      <w:r w:rsidRPr="006625A0">
        <w:rPr>
          <w:position w:val="-50"/>
        </w:rPr>
        <w:object w:dxaOrig="908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56.25pt" o:ole="">
            <v:imagedata r:id="rId7" o:title=""/>
          </v:shape>
          <o:OLEObject Type="Embed" ProgID="Equation.3" ShapeID="_x0000_i1025" DrawAspect="Content" ObjectID="_1393090276" r:id="rId8"/>
        </w:object>
      </w:r>
    </w:p>
    <w:p w:rsidR="00C044BD" w:rsidRDefault="00C044BD" w:rsidP="003C1C98">
      <w:pPr>
        <w:rPr>
          <w:lang w:val="en-US"/>
        </w:rPr>
      </w:pPr>
    </w:p>
    <w:p w:rsidR="008B4EA2" w:rsidRPr="003C1C98" w:rsidRDefault="008B4EA2" w:rsidP="003C1C98">
      <w:pPr>
        <w:rPr>
          <w:lang w:val="en-US"/>
        </w:rPr>
      </w:pPr>
      <w:r>
        <w:rPr>
          <w:lang w:val="en-US"/>
        </w:rPr>
        <w:t>R</w:t>
      </w:r>
      <w:r w:rsidR="00715309">
        <w:rPr>
          <w:lang w:val="en-US"/>
        </w:rPr>
        <w:t>efer</w:t>
      </w:r>
      <w:r>
        <w:rPr>
          <w:lang w:val="en-US"/>
        </w:rPr>
        <w:t xml:space="preserve"> to document 11-12-0313-01-00ac</w:t>
      </w:r>
      <w:r w:rsidR="00943640">
        <w:rPr>
          <w:lang w:val="en-US"/>
        </w:rPr>
        <w:t>,</w:t>
      </w:r>
      <w:r>
        <w:rPr>
          <w:lang w:val="en-US"/>
        </w:rPr>
        <w:t xml:space="preserve"> for more details on these resolutions.</w:t>
      </w:r>
    </w:p>
    <w:sectPr w:rsidR="008B4EA2" w:rsidRPr="003C1C98" w:rsidSect="008C78FD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F76" w:rsidRDefault="00513F76">
      <w:r>
        <w:separator/>
      </w:r>
    </w:p>
  </w:endnote>
  <w:endnote w:type="continuationSeparator" w:id="0">
    <w:p w:rsidR="00513F76" w:rsidRDefault="00513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E22" w:rsidRDefault="008C78F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66AC9">
        <w:t>Submission</w:t>
      </w:r>
    </w:fldSimple>
    <w:r w:rsidR="00BB6E22">
      <w:tab/>
      <w:t xml:space="preserve">page </w:t>
    </w:r>
    <w:fldSimple w:instr="page ">
      <w:r w:rsidR="00F27F4A">
        <w:rPr>
          <w:noProof/>
        </w:rPr>
        <w:t>1</w:t>
      </w:r>
    </w:fldSimple>
    <w:r w:rsidR="00BB6E22">
      <w:tab/>
    </w:r>
    <w:r w:rsidR="00F06A08">
      <w:t>Vish Ponnampalam, Mediatek</w:t>
    </w:r>
  </w:p>
  <w:p w:rsidR="00BB6E22" w:rsidRDefault="00BB6E2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F76" w:rsidRDefault="00513F76">
      <w:r>
        <w:separator/>
      </w:r>
    </w:p>
  </w:footnote>
  <w:footnote w:type="continuationSeparator" w:id="0">
    <w:p w:rsidR="00513F76" w:rsidRDefault="00513F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E22" w:rsidRDefault="00F06A08">
    <w:pPr>
      <w:pStyle w:val="Header"/>
      <w:tabs>
        <w:tab w:val="clear" w:pos="6480"/>
        <w:tab w:val="center" w:pos="4680"/>
        <w:tab w:val="right" w:pos="9360"/>
      </w:tabs>
    </w:pPr>
    <w:r>
      <w:t>March 2012</w:t>
    </w:r>
    <w:r w:rsidR="00BB6E22">
      <w:tab/>
    </w:r>
    <w:r w:rsidR="00BB6E22">
      <w:tab/>
    </w:r>
    <w:fldSimple w:instr=" TITLE  \* MERGEFORMAT ">
      <w:r w:rsidR="00766AC9">
        <w:t>doc.: IEEE 802.11-1</w:t>
      </w:r>
      <w:r>
        <w:t>2</w:t>
      </w:r>
      <w:r w:rsidR="00766AC9">
        <w:t>/</w:t>
      </w:r>
      <w:r w:rsidR="009425F4">
        <w:t>0393</w:t>
      </w:r>
      <w:r w:rsidR="00766AC9">
        <w:t>r</w:t>
      </w:r>
      <w:r>
        <w:t>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B1A719E"/>
    <w:multiLevelType w:val="hybridMultilevel"/>
    <w:tmpl w:val="3A507A1E"/>
    <w:lvl w:ilvl="0" w:tplc="31E47F9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82C0B"/>
    <w:multiLevelType w:val="hybridMultilevel"/>
    <w:tmpl w:val="8FCAA7B8"/>
    <w:lvl w:ilvl="0" w:tplc="439AB9C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95551E"/>
    <w:multiLevelType w:val="hybridMultilevel"/>
    <w:tmpl w:val="674428EE"/>
    <w:lvl w:ilvl="0" w:tplc="A31CF46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472BE"/>
    <w:multiLevelType w:val="hybridMultilevel"/>
    <w:tmpl w:val="5CBE7B84"/>
    <w:lvl w:ilvl="0" w:tplc="9BBC21F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802EB7"/>
    <w:multiLevelType w:val="hybridMultilevel"/>
    <w:tmpl w:val="B5CCFB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B5386B"/>
    <w:multiLevelType w:val="hybridMultilevel"/>
    <w:tmpl w:val="27B22B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hideSpellingError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35A1"/>
    <w:rsid w:val="00007DE2"/>
    <w:rsid w:val="00016138"/>
    <w:rsid w:val="00021BA9"/>
    <w:rsid w:val="0004286A"/>
    <w:rsid w:val="00042DDD"/>
    <w:rsid w:val="00043EE8"/>
    <w:rsid w:val="00044546"/>
    <w:rsid w:val="0004728C"/>
    <w:rsid w:val="0005249B"/>
    <w:rsid w:val="000572CA"/>
    <w:rsid w:val="00060E58"/>
    <w:rsid w:val="00061E5E"/>
    <w:rsid w:val="00073B2F"/>
    <w:rsid w:val="000943EC"/>
    <w:rsid w:val="000A3324"/>
    <w:rsid w:val="000B6B16"/>
    <w:rsid w:val="000C5AFE"/>
    <w:rsid w:val="000D4C40"/>
    <w:rsid w:val="000D5E1E"/>
    <w:rsid w:val="000D72B1"/>
    <w:rsid w:val="000D792C"/>
    <w:rsid w:val="000E3B12"/>
    <w:rsid w:val="000E7E58"/>
    <w:rsid w:val="000F01CC"/>
    <w:rsid w:val="000F0870"/>
    <w:rsid w:val="000F3228"/>
    <w:rsid w:val="000F5B0F"/>
    <w:rsid w:val="00114B3F"/>
    <w:rsid w:val="00114DC6"/>
    <w:rsid w:val="001206D7"/>
    <w:rsid w:val="001236EA"/>
    <w:rsid w:val="0012580B"/>
    <w:rsid w:val="001262F0"/>
    <w:rsid w:val="00127216"/>
    <w:rsid w:val="0013684E"/>
    <w:rsid w:val="00140F79"/>
    <w:rsid w:val="001432F7"/>
    <w:rsid w:val="0014398B"/>
    <w:rsid w:val="00146A8F"/>
    <w:rsid w:val="001509A8"/>
    <w:rsid w:val="00162EF8"/>
    <w:rsid w:val="00163ABC"/>
    <w:rsid w:val="00164D05"/>
    <w:rsid w:val="00174C33"/>
    <w:rsid w:val="0018374D"/>
    <w:rsid w:val="00183993"/>
    <w:rsid w:val="0018549C"/>
    <w:rsid w:val="0018619C"/>
    <w:rsid w:val="00192184"/>
    <w:rsid w:val="0019539F"/>
    <w:rsid w:val="00197246"/>
    <w:rsid w:val="001A3E1C"/>
    <w:rsid w:val="001B1F75"/>
    <w:rsid w:val="001B4125"/>
    <w:rsid w:val="001B6A0D"/>
    <w:rsid w:val="001C6B3D"/>
    <w:rsid w:val="001D0710"/>
    <w:rsid w:val="001D159F"/>
    <w:rsid w:val="001D723B"/>
    <w:rsid w:val="001D73DA"/>
    <w:rsid w:val="001E59C1"/>
    <w:rsid w:val="0020607E"/>
    <w:rsid w:val="00215B3D"/>
    <w:rsid w:val="00233A1D"/>
    <w:rsid w:val="002404B9"/>
    <w:rsid w:val="00250936"/>
    <w:rsid w:val="00256FB2"/>
    <w:rsid w:val="00261647"/>
    <w:rsid w:val="002627FC"/>
    <w:rsid w:val="00265111"/>
    <w:rsid w:val="00270B91"/>
    <w:rsid w:val="0027413B"/>
    <w:rsid w:val="00282604"/>
    <w:rsid w:val="00285540"/>
    <w:rsid w:val="0029020B"/>
    <w:rsid w:val="00293A9A"/>
    <w:rsid w:val="002946CE"/>
    <w:rsid w:val="002A1024"/>
    <w:rsid w:val="002A5186"/>
    <w:rsid w:val="002B233F"/>
    <w:rsid w:val="002B4492"/>
    <w:rsid w:val="002B6E7A"/>
    <w:rsid w:val="002C01D8"/>
    <w:rsid w:val="002D09C3"/>
    <w:rsid w:val="002D27CB"/>
    <w:rsid w:val="002D44BE"/>
    <w:rsid w:val="002E4FF6"/>
    <w:rsid w:val="002F249F"/>
    <w:rsid w:val="002F24D0"/>
    <w:rsid w:val="003042AF"/>
    <w:rsid w:val="00312473"/>
    <w:rsid w:val="00312E9F"/>
    <w:rsid w:val="00316416"/>
    <w:rsid w:val="003166AC"/>
    <w:rsid w:val="003168F4"/>
    <w:rsid w:val="00316B18"/>
    <w:rsid w:val="00320E23"/>
    <w:rsid w:val="00326C92"/>
    <w:rsid w:val="00330142"/>
    <w:rsid w:val="00334E12"/>
    <w:rsid w:val="003505A9"/>
    <w:rsid w:val="00351D71"/>
    <w:rsid w:val="00364484"/>
    <w:rsid w:val="00365013"/>
    <w:rsid w:val="003701AF"/>
    <w:rsid w:val="003707FA"/>
    <w:rsid w:val="00371339"/>
    <w:rsid w:val="00371D41"/>
    <w:rsid w:val="0037435F"/>
    <w:rsid w:val="00375232"/>
    <w:rsid w:val="00376D8B"/>
    <w:rsid w:val="00380CFA"/>
    <w:rsid w:val="00391D70"/>
    <w:rsid w:val="00395F7C"/>
    <w:rsid w:val="003A0064"/>
    <w:rsid w:val="003A3F8F"/>
    <w:rsid w:val="003A44C2"/>
    <w:rsid w:val="003A459E"/>
    <w:rsid w:val="003B339B"/>
    <w:rsid w:val="003B4CF2"/>
    <w:rsid w:val="003C1C98"/>
    <w:rsid w:val="003C2F14"/>
    <w:rsid w:val="003C32D9"/>
    <w:rsid w:val="003D12ED"/>
    <w:rsid w:val="003D58D9"/>
    <w:rsid w:val="003E753A"/>
    <w:rsid w:val="003E7E31"/>
    <w:rsid w:val="003F1A67"/>
    <w:rsid w:val="003F7EE9"/>
    <w:rsid w:val="00401528"/>
    <w:rsid w:val="00406608"/>
    <w:rsid w:val="00406A7F"/>
    <w:rsid w:val="004214D9"/>
    <w:rsid w:val="00422CB9"/>
    <w:rsid w:val="00424215"/>
    <w:rsid w:val="00442037"/>
    <w:rsid w:val="00443926"/>
    <w:rsid w:val="0044454F"/>
    <w:rsid w:val="00446D78"/>
    <w:rsid w:val="004470B1"/>
    <w:rsid w:val="00450D6A"/>
    <w:rsid w:val="00456C07"/>
    <w:rsid w:val="00461A76"/>
    <w:rsid w:val="0046286C"/>
    <w:rsid w:val="004642F6"/>
    <w:rsid w:val="00474AA9"/>
    <w:rsid w:val="004754D4"/>
    <w:rsid w:val="00476675"/>
    <w:rsid w:val="00477719"/>
    <w:rsid w:val="0048105A"/>
    <w:rsid w:val="00491243"/>
    <w:rsid w:val="00491BAF"/>
    <w:rsid w:val="004A07D8"/>
    <w:rsid w:val="004A095C"/>
    <w:rsid w:val="004A3AE8"/>
    <w:rsid w:val="004A3ECF"/>
    <w:rsid w:val="004B4A79"/>
    <w:rsid w:val="004C29E2"/>
    <w:rsid w:val="004D07B2"/>
    <w:rsid w:val="004D1E87"/>
    <w:rsid w:val="004D7CE6"/>
    <w:rsid w:val="004E1024"/>
    <w:rsid w:val="00513F76"/>
    <w:rsid w:val="005206BA"/>
    <w:rsid w:val="005234BA"/>
    <w:rsid w:val="00526768"/>
    <w:rsid w:val="00540284"/>
    <w:rsid w:val="0055533E"/>
    <w:rsid w:val="0057632E"/>
    <w:rsid w:val="005765EB"/>
    <w:rsid w:val="005869BF"/>
    <w:rsid w:val="00587618"/>
    <w:rsid w:val="00596B33"/>
    <w:rsid w:val="005A1199"/>
    <w:rsid w:val="005B2556"/>
    <w:rsid w:val="005C366B"/>
    <w:rsid w:val="005C7720"/>
    <w:rsid w:val="005E3B65"/>
    <w:rsid w:val="005F1B37"/>
    <w:rsid w:val="005F54A8"/>
    <w:rsid w:val="0060236F"/>
    <w:rsid w:val="00602CD8"/>
    <w:rsid w:val="00602D0C"/>
    <w:rsid w:val="0061031D"/>
    <w:rsid w:val="0061605E"/>
    <w:rsid w:val="0062440B"/>
    <w:rsid w:val="00624E04"/>
    <w:rsid w:val="00631DC4"/>
    <w:rsid w:val="00632D32"/>
    <w:rsid w:val="00632D54"/>
    <w:rsid w:val="00634094"/>
    <w:rsid w:val="00636C4D"/>
    <w:rsid w:val="00643C98"/>
    <w:rsid w:val="006455EA"/>
    <w:rsid w:val="00664EDE"/>
    <w:rsid w:val="00664F79"/>
    <w:rsid w:val="00666809"/>
    <w:rsid w:val="00676D3E"/>
    <w:rsid w:val="0068137D"/>
    <w:rsid w:val="00687091"/>
    <w:rsid w:val="00696FB9"/>
    <w:rsid w:val="006A11B1"/>
    <w:rsid w:val="006B130C"/>
    <w:rsid w:val="006B4170"/>
    <w:rsid w:val="006C0727"/>
    <w:rsid w:val="006D0628"/>
    <w:rsid w:val="006D2208"/>
    <w:rsid w:val="006D2E76"/>
    <w:rsid w:val="006D5970"/>
    <w:rsid w:val="006D6880"/>
    <w:rsid w:val="006E145F"/>
    <w:rsid w:val="006E7591"/>
    <w:rsid w:val="006E7B2D"/>
    <w:rsid w:val="006F071B"/>
    <w:rsid w:val="006F254F"/>
    <w:rsid w:val="006F4B1F"/>
    <w:rsid w:val="007072CB"/>
    <w:rsid w:val="00710C96"/>
    <w:rsid w:val="007113F8"/>
    <w:rsid w:val="00711D0C"/>
    <w:rsid w:val="007133EE"/>
    <w:rsid w:val="00713743"/>
    <w:rsid w:val="00715309"/>
    <w:rsid w:val="00723980"/>
    <w:rsid w:val="00732B59"/>
    <w:rsid w:val="007330E5"/>
    <w:rsid w:val="00735D75"/>
    <w:rsid w:val="007443C2"/>
    <w:rsid w:val="00745789"/>
    <w:rsid w:val="00750EF6"/>
    <w:rsid w:val="00755A24"/>
    <w:rsid w:val="00766AC9"/>
    <w:rsid w:val="00770572"/>
    <w:rsid w:val="007800C3"/>
    <w:rsid w:val="0078378D"/>
    <w:rsid w:val="007843BF"/>
    <w:rsid w:val="007966F6"/>
    <w:rsid w:val="00796A0D"/>
    <w:rsid w:val="007A711F"/>
    <w:rsid w:val="007A7F05"/>
    <w:rsid w:val="007C1CBD"/>
    <w:rsid w:val="007C682B"/>
    <w:rsid w:val="007D0D58"/>
    <w:rsid w:val="007E249D"/>
    <w:rsid w:val="007E2BE5"/>
    <w:rsid w:val="007E2CC2"/>
    <w:rsid w:val="007E7381"/>
    <w:rsid w:val="007F31C4"/>
    <w:rsid w:val="008061AE"/>
    <w:rsid w:val="00820DD5"/>
    <w:rsid w:val="008210C9"/>
    <w:rsid w:val="00827871"/>
    <w:rsid w:val="0085177A"/>
    <w:rsid w:val="008552CD"/>
    <w:rsid w:val="00856084"/>
    <w:rsid w:val="00857BC9"/>
    <w:rsid w:val="00871FC3"/>
    <w:rsid w:val="0087238E"/>
    <w:rsid w:val="008723C8"/>
    <w:rsid w:val="008866D1"/>
    <w:rsid w:val="008B1221"/>
    <w:rsid w:val="008B4EA2"/>
    <w:rsid w:val="008B5360"/>
    <w:rsid w:val="008B69B1"/>
    <w:rsid w:val="008C417E"/>
    <w:rsid w:val="008C78FD"/>
    <w:rsid w:val="008D42D2"/>
    <w:rsid w:val="008D6ABE"/>
    <w:rsid w:val="008D7E02"/>
    <w:rsid w:val="008F0170"/>
    <w:rsid w:val="008F06D8"/>
    <w:rsid w:val="008F6E0C"/>
    <w:rsid w:val="00902AE1"/>
    <w:rsid w:val="00904ED7"/>
    <w:rsid w:val="0090557F"/>
    <w:rsid w:val="00916BC9"/>
    <w:rsid w:val="00925C06"/>
    <w:rsid w:val="009322A0"/>
    <w:rsid w:val="009345C8"/>
    <w:rsid w:val="00941503"/>
    <w:rsid w:val="009425F4"/>
    <w:rsid w:val="00943640"/>
    <w:rsid w:val="009441EA"/>
    <w:rsid w:val="00944830"/>
    <w:rsid w:val="00947BCA"/>
    <w:rsid w:val="00950446"/>
    <w:rsid w:val="0095736B"/>
    <w:rsid w:val="00961442"/>
    <w:rsid w:val="009635A1"/>
    <w:rsid w:val="0097070F"/>
    <w:rsid w:val="009734E2"/>
    <w:rsid w:val="00974093"/>
    <w:rsid w:val="00987670"/>
    <w:rsid w:val="0099169E"/>
    <w:rsid w:val="00995875"/>
    <w:rsid w:val="00996FA9"/>
    <w:rsid w:val="009A15BB"/>
    <w:rsid w:val="009A7A10"/>
    <w:rsid w:val="009B2E7A"/>
    <w:rsid w:val="009B459F"/>
    <w:rsid w:val="009C1753"/>
    <w:rsid w:val="009D014F"/>
    <w:rsid w:val="009D0992"/>
    <w:rsid w:val="009D33AA"/>
    <w:rsid w:val="009D6983"/>
    <w:rsid w:val="009E37BA"/>
    <w:rsid w:val="009F7E1D"/>
    <w:rsid w:val="00A03FDF"/>
    <w:rsid w:val="00A0414B"/>
    <w:rsid w:val="00A07710"/>
    <w:rsid w:val="00A2583D"/>
    <w:rsid w:val="00A31F39"/>
    <w:rsid w:val="00A33F0B"/>
    <w:rsid w:val="00A36F1D"/>
    <w:rsid w:val="00A37F57"/>
    <w:rsid w:val="00A37F7D"/>
    <w:rsid w:val="00A43528"/>
    <w:rsid w:val="00A47FD6"/>
    <w:rsid w:val="00A50906"/>
    <w:rsid w:val="00A50B1A"/>
    <w:rsid w:val="00A50D02"/>
    <w:rsid w:val="00A53DE3"/>
    <w:rsid w:val="00A549F9"/>
    <w:rsid w:val="00A5598A"/>
    <w:rsid w:val="00A65BB5"/>
    <w:rsid w:val="00A83F65"/>
    <w:rsid w:val="00A863AF"/>
    <w:rsid w:val="00A866BB"/>
    <w:rsid w:val="00A946FB"/>
    <w:rsid w:val="00AA1F2B"/>
    <w:rsid w:val="00AA2C45"/>
    <w:rsid w:val="00AA427C"/>
    <w:rsid w:val="00AA4B9B"/>
    <w:rsid w:val="00AA7156"/>
    <w:rsid w:val="00AB6218"/>
    <w:rsid w:val="00AC61E6"/>
    <w:rsid w:val="00AD0934"/>
    <w:rsid w:val="00AD4C19"/>
    <w:rsid w:val="00AD61CF"/>
    <w:rsid w:val="00AE2E89"/>
    <w:rsid w:val="00AE7DC3"/>
    <w:rsid w:val="00AF2F1D"/>
    <w:rsid w:val="00AF63CF"/>
    <w:rsid w:val="00AF6F58"/>
    <w:rsid w:val="00AF75F4"/>
    <w:rsid w:val="00AF7CC4"/>
    <w:rsid w:val="00B06099"/>
    <w:rsid w:val="00B248EF"/>
    <w:rsid w:val="00B301E0"/>
    <w:rsid w:val="00B56DF5"/>
    <w:rsid w:val="00B57DFF"/>
    <w:rsid w:val="00B614E8"/>
    <w:rsid w:val="00B63572"/>
    <w:rsid w:val="00B667A1"/>
    <w:rsid w:val="00B72700"/>
    <w:rsid w:val="00B73245"/>
    <w:rsid w:val="00B75BF5"/>
    <w:rsid w:val="00B76992"/>
    <w:rsid w:val="00B80121"/>
    <w:rsid w:val="00B825D0"/>
    <w:rsid w:val="00B8270D"/>
    <w:rsid w:val="00B84910"/>
    <w:rsid w:val="00B913E0"/>
    <w:rsid w:val="00B951EE"/>
    <w:rsid w:val="00BA3FBC"/>
    <w:rsid w:val="00BB616E"/>
    <w:rsid w:val="00BB6E22"/>
    <w:rsid w:val="00BC1955"/>
    <w:rsid w:val="00BE283B"/>
    <w:rsid w:val="00BE4E02"/>
    <w:rsid w:val="00BE53CE"/>
    <w:rsid w:val="00BE5B55"/>
    <w:rsid w:val="00BE68C2"/>
    <w:rsid w:val="00BF7F5F"/>
    <w:rsid w:val="00C044BD"/>
    <w:rsid w:val="00C04D4B"/>
    <w:rsid w:val="00C07456"/>
    <w:rsid w:val="00C10065"/>
    <w:rsid w:val="00C1006B"/>
    <w:rsid w:val="00C10ABC"/>
    <w:rsid w:val="00C1324C"/>
    <w:rsid w:val="00C274C6"/>
    <w:rsid w:val="00C30FB1"/>
    <w:rsid w:val="00C3193A"/>
    <w:rsid w:val="00C33F8C"/>
    <w:rsid w:val="00C33FAC"/>
    <w:rsid w:val="00C4419F"/>
    <w:rsid w:val="00C44CB6"/>
    <w:rsid w:val="00C46DC4"/>
    <w:rsid w:val="00C470CB"/>
    <w:rsid w:val="00C63FD9"/>
    <w:rsid w:val="00C6723D"/>
    <w:rsid w:val="00C67F91"/>
    <w:rsid w:val="00C73B27"/>
    <w:rsid w:val="00C747A0"/>
    <w:rsid w:val="00C83392"/>
    <w:rsid w:val="00C84935"/>
    <w:rsid w:val="00C96742"/>
    <w:rsid w:val="00C978CB"/>
    <w:rsid w:val="00CA09B2"/>
    <w:rsid w:val="00CA196B"/>
    <w:rsid w:val="00CC19CA"/>
    <w:rsid w:val="00CD73E1"/>
    <w:rsid w:val="00CE1FC9"/>
    <w:rsid w:val="00CE2750"/>
    <w:rsid w:val="00CE6DEB"/>
    <w:rsid w:val="00CF2F18"/>
    <w:rsid w:val="00CF42C1"/>
    <w:rsid w:val="00D11FEA"/>
    <w:rsid w:val="00D14CE1"/>
    <w:rsid w:val="00D17A22"/>
    <w:rsid w:val="00D21021"/>
    <w:rsid w:val="00D21368"/>
    <w:rsid w:val="00D236D5"/>
    <w:rsid w:val="00D27F0A"/>
    <w:rsid w:val="00D35623"/>
    <w:rsid w:val="00D37F4E"/>
    <w:rsid w:val="00D406E0"/>
    <w:rsid w:val="00D42597"/>
    <w:rsid w:val="00D56C6D"/>
    <w:rsid w:val="00D63C82"/>
    <w:rsid w:val="00D74481"/>
    <w:rsid w:val="00D83302"/>
    <w:rsid w:val="00D84019"/>
    <w:rsid w:val="00D858A9"/>
    <w:rsid w:val="00D90A92"/>
    <w:rsid w:val="00D93C28"/>
    <w:rsid w:val="00DA28BB"/>
    <w:rsid w:val="00DA3776"/>
    <w:rsid w:val="00DA7832"/>
    <w:rsid w:val="00DB04E4"/>
    <w:rsid w:val="00DB6D9B"/>
    <w:rsid w:val="00DC06F2"/>
    <w:rsid w:val="00DC5A7B"/>
    <w:rsid w:val="00DD12AC"/>
    <w:rsid w:val="00DD16B5"/>
    <w:rsid w:val="00DD1EAD"/>
    <w:rsid w:val="00DD27CE"/>
    <w:rsid w:val="00DD29C5"/>
    <w:rsid w:val="00DD31F7"/>
    <w:rsid w:val="00DD6E1F"/>
    <w:rsid w:val="00DE0B81"/>
    <w:rsid w:val="00DE1C08"/>
    <w:rsid w:val="00DE2572"/>
    <w:rsid w:val="00E26145"/>
    <w:rsid w:val="00E2658F"/>
    <w:rsid w:val="00E301C1"/>
    <w:rsid w:val="00E3344A"/>
    <w:rsid w:val="00E341C1"/>
    <w:rsid w:val="00E3606B"/>
    <w:rsid w:val="00E4115F"/>
    <w:rsid w:val="00E43B60"/>
    <w:rsid w:val="00E475AF"/>
    <w:rsid w:val="00E51002"/>
    <w:rsid w:val="00E5213D"/>
    <w:rsid w:val="00E54F5E"/>
    <w:rsid w:val="00E5536F"/>
    <w:rsid w:val="00E55C0A"/>
    <w:rsid w:val="00E60A7C"/>
    <w:rsid w:val="00E67488"/>
    <w:rsid w:val="00E675A4"/>
    <w:rsid w:val="00E73A7C"/>
    <w:rsid w:val="00E8104F"/>
    <w:rsid w:val="00E81CB0"/>
    <w:rsid w:val="00E85E43"/>
    <w:rsid w:val="00E90242"/>
    <w:rsid w:val="00E9387B"/>
    <w:rsid w:val="00E93A0B"/>
    <w:rsid w:val="00EA23C9"/>
    <w:rsid w:val="00EB50EE"/>
    <w:rsid w:val="00EB5FD6"/>
    <w:rsid w:val="00EC74F3"/>
    <w:rsid w:val="00EC7C69"/>
    <w:rsid w:val="00ED69F6"/>
    <w:rsid w:val="00EE0719"/>
    <w:rsid w:val="00EE2FC2"/>
    <w:rsid w:val="00EF3692"/>
    <w:rsid w:val="00EF45BA"/>
    <w:rsid w:val="00EF66C2"/>
    <w:rsid w:val="00F038F5"/>
    <w:rsid w:val="00F06A08"/>
    <w:rsid w:val="00F105B0"/>
    <w:rsid w:val="00F14F19"/>
    <w:rsid w:val="00F17CDE"/>
    <w:rsid w:val="00F25010"/>
    <w:rsid w:val="00F27F4A"/>
    <w:rsid w:val="00F30AE0"/>
    <w:rsid w:val="00F3381D"/>
    <w:rsid w:val="00F35BF3"/>
    <w:rsid w:val="00F5068A"/>
    <w:rsid w:val="00F522E1"/>
    <w:rsid w:val="00F57CD9"/>
    <w:rsid w:val="00F66F2F"/>
    <w:rsid w:val="00F7129D"/>
    <w:rsid w:val="00F717EA"/>
    <w:rsid w:val="00F71E7B"/>
    <w:rsid w:val="00F84696"/>
    <w:rsid w:val="00F869D5"/>
    <w:rsid w:val="00F921A2"/>
    <w:rsid w:val="00F9465E"/>
    <w:rsid w:val="00FA4CB1"/>
    <w:rsid w:val="00FA590A"/>
    <w:rsid w:val="00FB5909"/>
    <w:rsid w:val="00FB5DE7"/>
    <w:rsid w:val="00FB6390"/>
    <w:rsid w:val="00FB67AC"/>
    <w:rsid w:val="00FB7C0D"/>
    <w:rsid w:val="00FB7DC0"/>
    <w:rsid w:val="00FC3C7A"/>
    <w:rsid w:val="00FC475C"/>
    <w:rsid w:val="00FC5034"/>
    <w:rsid w:val="00FC7CA7"/>
    <w:rsid w:val="00FD3D9C"/>
    <w:rsid w:val="00FD45F7"/>
    <w:rsid w:val="00FD4E62"/>
    <w:rsid w:val="00FE5DB8"/>
    <w:rsid w:val="00FF2430"/>
    <w:rsid w:val="00FF54F4"/>
    <w:rsid w:val="00FF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7C0D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C78F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0F0870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8C78F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C78F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C78F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C78FD"/>
    <w:pPr>
      <w:jc w:val="center"/>
    </w:pPr>
    <w:rPr>
      <w:b/>
      <w:sz w:val="28"/>
    </w:rPr>
  </w:style>
  <w:style w:type="paragraph" w:customStyle="1" w:styleId="T2">
    <w:name w:val="T2"/>
    <w:basedOn w:val="T1"/>
    <w:rsid w:val="008C78FD"/>
    <w:pPr>
      <w:spacing w:after="240"/>
      <w:ind w:left="720" w:right="720"/>
    </w:pPr>
  </w:style>
  <w:style w:type="paragraph" w:customStyle="1" w:styleId="T3">
    <w:name w:val="T3"/>
    <w:basedOn w:val="T1"/>
    <w:rsid w:val="008C78F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C78FD"/>
    <w:pPr>
      <w:ind w:left="720" w:hanging="720"/>
    </w:pPr>
  </w:style>
  <w:style w:type="character" w:styleId="Hyperlink">
    <w:name w:val="Hyperlink"/>
    <w:rsid w:val="008C78FD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76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H5">
    <w:name w:val="AH5"/>
    <w:aliases w:val="A.1.1.1.1.1"/>
    <w:next w:val="Normal"/>
    <w:rsid w:val="0094483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CellBody">
    <w:name w:val="CellBody"/>
    <w:uiPriority w:val="99"/>
    <w:rsid w:val="00944830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Note">
    <w:name w:val="Note"/>
    <w:uiPriority w:val="99"/>
    <w:rsid w:val="0094483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US"/>
    </w:rPr>
  </w:style>
  <w:style w:type="character" w:styleId="CommentReference">
    <w:name w:val="annotation reference"/>
    <w:rsid w:val="006B41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4170"/>
    <w:rPr>
      <w:sz w:val="20"/>
    </w:rPr>
  </w:style>
  <w:style w:type="character" w:customStyle="1" w:styleId="CommentTextChar">
    <w:name w:val="Comment Text Char"/>
    <w:link w:val="CommentText"/>
    <w:rsid w:val="006B417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B4170"/>
    <w:rPr>
      <w:b/>
      <w:bCs/>
    </w:rPr>
  </w:style>
  <w:style w:type="character" w:customStyle="1" w:styleId="CommentSubjectChar">
    <w:name w:val="Comment Subject Char"/>
    <w:link w:val="CommentSubject"/>
    <w:rsid w:val="006B4170"/>
    <w:rPr>
      <w:b/>
      <w:bCs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C63FD9"/>
    <w:rPr>
      <w:rFonts w:ascii="Consolas" w:eastAsia="Calibri" w:hAnsi="Consolas" w:cs="Consolas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C63FD9"/>
    <w:rPr>
      <w:rFonts w:ascii="Consolas" w:eastAsia="Calibri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802.11-11/1518r5</vt:lpstr>
    </vt:vector>
  </TitlesOfParts>
  <Company>CSR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802.11-11/1518r5</dc:title>
  <dc:subject>Submission</dc:subject>
  <dc:creator>Mark RISON</dc:creator>
  <cp:keywords>December 2011</cp:keywords>
  <dc:description>Mark RISON, CSR</dc:description>
  <cp:lastModifiedBy>mtk30118</cp:lastModifiedBy>
  <cp:revision>2</cp:revision>
  <cp:lastPrinted>2012-03-03T00:58:00Z</cp:lastPrinted>
  <dcterms:created xsi:type="dcterms:W3CDTF">2012-03-13T03:44:00Z</dcterms:created>
  <dcterms:modified xsi:type="dcterms:W3CDTF">2012-03-13T03:44:00Z</dcterms:modified>
</cp:coreProperties>
</file>