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C34E3C" w:rsidRDefault="00F64569" w:rsidP="00603DFB">
      <w:pPr>
        <w:pStyle w:val="T1"/>
        <w:pBdr>
          <w:bottom w:val="single" w:sz="6" w:space="0" w:color="auto"/>
        </w:pBdr>
        <w:spacing w:after="240"/>
        <w:rPr>
          <w:color w:val="000000" w:themeColor="text1"/>
        </w:rPr>
      </w:pPr>
      <w:r w:rsidRPr="00C34E3C">
        <w:rPr>
          <w:color w:val="000000" w:themeColor="text1"/>
        </w:rPr>
        <w:t>IEEE P802.11</w:t>
      </w:r>
      <w:r w:rsidRPr="00C34E3C">
        <w:rPr>
          <w:color w:val="000000" w:themeColor="text1"/>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30"/>
        <w:gridCol w:w="2700"/>
        <w:gridCol w:w="1620"/>
        <w:gridCol w:w="1998"/>
      </w:tblGrid>
      <w:tr w:rsidR="00F64569" w:rsidRPr="00C34E3C" w:rsidTr="00354BCC">
        <w:trPr>
          <w:trHeight w:val="485"/>
          <w:jc w:val="center"/>
        </w:trPr>
        <w:tc>
          <w:tcPr>
            <w:tcW w:w="9576" w:type="dxa"/>
            <w:gridSpan w:val="5"/>
            <w:vAlign w:val="center"/>
          </w:tcPr>
          <w:p w:rsidR="00F64569" w:rsidRPr="00C34E3C" w:rsidRDefault="00193FD6" w:rsidP="004724A5">
            <w:pPr>
              <w:pStyle w:val="T2"/>
              <w:rPr>
                <w:color w:val="000000" w:themeColor="text1"/>
              </w:rPr>
            </w:pPr>
            <w:r w:rsidRPr="00C34E3C">
              <w:rPr>
                <w:color w:val="000000" w:themeColor="text1"/>
              </w:rPr>
              <w:t>RTS/CTS</w:t>
            </w:r>
          </w:p>
        </w:tc>
      </w:tr>
      <w:tr w:rsidR="00F64569" w:rsidRPr="00C34E3C" w:rsidTr="00354BCC">
        <w:trPr>
          <w:trHeight w:val="359"/>
          <w:jc w:val="center"/>
        </w:trPr>
        <w:tc>
          <w:tcPr>
            <w:tcW w:w="9576" w:type="dxa"/>
            <w:gridSpan w:val="5"/>
            <w:vAlign w:val="center"/>
          </w:tcPr>
          <w:p w:rsidR="00F64569" w:rsidRPr="00C34E3C" w:rsidRDefault="00F64569" w:rsidP="00354BCC">
            <w:pPr>
              <w:pStyle w:val="T2"/>
              <w:ind w:left="0"/>
              <w:rPr>
                <w:b w:val="0"/>
                <w:color w:val="000000" w:themeColor="text1"/>
                <w:sz w:val="20"/>
              </w:rPr>
            </w:pPr>
            <w:r w:rsidRPr="00C34E3C">
              <w:rPr>
                <w:color w:val="000000" w:themeColor="text1"/>
                <w:sz w:val="20"/>
              </w:rPr>
              <w:t>Date:</w:t>
            </w:r>
            <w:r w:rsidRPr="00C34E3C">
              <w:rPr>
                <w:b w:val="0"/>
                <w:color w:val="000000" w:themeColor="text1"/>
                <w:sz w:val="20"/>
              </w:rPr>
              <w:t xml:space="preserve">  201</w:t>
            </w:r>
            <w:r w:rsidR="000B4D6C" w:rsidRPr="00C34E3C">
              <w:rPr>
                <w:b w:val="0"/>
                <w:color w:val="000000" w:themeColor="text1"/>
                <w:sz w:val="20"/>
                <w:lang w:eastAsia="ko-KR"/>
              </w:rPr>
              <w:t>2</w:t>
            </w:r>
            <w:r w:rsidRPr="00C34E3C">
              <w:rPr>
                <w:b w:val="0"/>
                <w:color w:val="000000" w:themeColor="text1"/>
                <w:sz w:val="20"/>
              </w:rPr>
              <w:t>-0</w:t>
            </w:r>
            <w:r w:rsidR="000B4D6C" w:rsidRPr="00C34E3C">
              <w:rPr>
                <w:b w:val="0"/>
                <w:color w:val="000000" w:themeColor="text1"/>
                <w:sz w:val="20"/>
                <w:lang w:eastAsia="ko-KR"/>
              </w:rPr>
              <w:t>3</w:t>
            </w:r>
            <w:r w:rsidRPr="00C34E3C">
              <w:rPr>
                <w:b w:val="0"/>
                <w:color w:val="000000" w:themeColor="text1"/>
                <w:sz w:val="20"/>
              </w:rPr>
              <w:t>-</w:t>
            </w:r>
            <w:r w:rsidR="000B4D6C" w:rsidRPr="00C34E3C">
              <w:rPr>
                <w:b w:val="0"/>
                <w:color w:val="000000" w:themeColor="text1"/>
                <w:sz w:val="20"/>
                <w:lang w:eastAsia="ko-KR"/>
              </w:rPr>
              <w:t>0</w:t>
            </w:r>
            <w:r w:rsidR="0073121F">
              <w:rPr>
                <w:b w:val="0"/>
                <w:color w:val="000000" w:themeColor="text1"/>
                <w:sz w:val="20"/>
                <w:lang w:eastAsia="ko-KR"/>
              </w:rPr>
              <w:t>8</w:t>
            </w:r>
          </w:p>
        </w:tc>
      </w:tr>
      <w:tr w:rsidR="00F64569" w:rsidRPr="00C34E3C" w:rsidTr="00354BCC">
        <w:trPr>
          <w:cantSplit/>
          <w:jc w:val="center"/>
        </w:trPr>
        <w:tc>
          <w:tcPr>
            <w:tcW w:w="9576" w:type="dxa"/>
            <w:gridSpan w:val="5"/>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Author(s):</w:t>
            </w:r>
          </w:p>
        </w:tc>
      </w:tr>
      <w:tr w:rsidR="00112806" w:rsidRPr="00C34E3C" w:rsidTr="002B2339">
        <w:trPr>
          <w:jc w:val="center"/>
        </w:trPr>
        <w:tc>
          <w:tcPr>
            <w:tcW w:w="1728" w:type="dxa"/>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Name</w:t>
            </w:r>
          </w:p>
        </w:tc>
        <w:tc>
          <w:tcPr>
            <w:tcW w:w="1530" w:type="dxa"/>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Affiliation</w:t>
            </w:r>
          </w:p>
        </w:tc>
        <w:tc>
          <w:tcPr>
            <w:tcW w:w="2700" w:type="dxa"/>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Address</w:t>
            </w:r>
          </w:p>
        </w:tc>
        <w:tc>
          <w:tcPr>
            <w:tcW w:w="1620" w:type="dxa"/>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Phone</w:t>
            </w:r>
          </w:p>
        </w:tc>
        <w:tc>
          <w:tcPr>
            <w:tcW w:w="1998" w:type="dxa"/>
            <w:vAlign w:val="center"/>
          </w:tcPr>
          <w:p w:rsidR="00F64569" w:rsidRPr="00C34E3C" w:rsidRDefault="00F64569" w:rsidP="00354BCC">
            <w:pPr>
              <w:pStyle w:val="T2"/>
              <w:spacing w:after="0"/>
              <w:ind w:left="0" w:right="0"/>
              <w:jc w:val="left"/>
              <w:rPr>
                <w:color w:val="000000" w:themeColor="text1"/>
                <w:sz w:val="20"/>
              </w:rPr>
            </w:pPr>
            <w:r w:rsidRPr="00C34E3C">
              <w:rPr>
                <w:color w:val="000000" w:themeColor="text1"/>
                <w:sz w:val="20"/>
              </w:rPr>
              <w:t>Email</w:t>
            </w:r>
          </w:p>
        </w:tc>
      </w:tr>
      <w:tr w:rsidR="00112806" w:rsidRPr="00C34E3C" w:rsidTr="002B2339">
        <w:trPr>
          <w:jc w:val="center"/>
        </w:trPr>
        <w:tc>
          <w:tcPr>
            <w:tcW w:w="1728" w:type="dxa"/>
            <w:vAlign w:val="center"/>
          </w:tcPr>
          <w:p w:rsidR="00F64569" w:rsidRPr="00C34E3C" w:rsidRDefault="00F64569" w:rsidP="00354BCC">
            <w:pPr>
              <w:pStyle w:val="T2"/>
              <w:spacing w:after="0"/>
              <w:ind w:left="0" w:right="0"/>
              <w:rPr>
                <w:b w:val="0"/>
                <w:color w:val="000000" w:themeColor="text1"/>
                <w:sz w:val="20"/>
              </w:rPr>
            </w:pPr>
            <w:r w:rsidRPr="00C34E3C">
              <w:rPr>
                <w:b w:val="0"/>
                <w:color w:val="000000" w:themeColor="text1"/>
                <w:sz w:val="20"/>
              </w:rPr>
              <w:t>Simone Merlin</w:t>
            </w:r>
          </w:p>
        </w:tc>
        <w:tc>
          <w:tcPr>
            <w:tcW w:w="1530" w:type="dxa"/>
            <w:vAlign w:val="center"/>
          </w:tcPr>
          <w:p w:rsidR="00F64569" w:rsidRPr="00C34E3C" w:rsidRDefault="00F64569" w:rsidP="00354BCC">
            <w:pPr>
              <w:pStyle w:val="T2"/>
              <w:spacing w:after="0"/>
              <w:ind w:left="0" w:right="0"/>
              <w:rPr>
                <w:b w:val="0"/>
                <w:color w:val="000000" w:themeColor="text1"/>
                <w:sz w:val="20"/>
              </w:rPr>
            </w:pPr>
            <w:r w:rsidRPr="00C34E3C">
              <w:rPr>
                <w:b w:val="0"/>
                <w:color w:val="000000" w:themeColor="text1"/>
                <w:sz w:val="20"/>
              </w:rPr>
              <w:t>Qualcomm Inc</w:t>
            </w:r>
          </w:p>
        </w:tc>
        <w:tc>
          <w:tcPr>
            <w:tcW w:w="2700" w:type="dxa"/>
            <w:vAlign w:val="center"/>
          </w:tcPr>
          <w:p w:rsidR="00F64569" w:rsidRPr="00C34E3C" w:rsidRDefault="00F64569" w:rsidP="00354BCC">
            <w:pPr>
              <w:pStyle w:val="T2"/>
              <w:spacing w:after="0"/>
              <w:ind w:left="0" w:right="0"/>
              <w:rPr>
                <w:b w:val="0"/>
                <w:color w:val="000000" w:themeColor="text1"/>
                <w:sz w:val="20"/>
              </w:rPr>
            </w:pPr>
            <w:r w:rsidRPr="00C34E3C">
              <w:rPr>
                <w:b w:val="0"/>
                <w:color w:val="000000" w:themeColor="text1"/>
                <w:sz w:val="20"/>
              </w:rPr>
              <w:t xml:space="preserve">5775 </w:t>
            </w:r>
            <w:proofErr w:type="spellStart"/>
            <w:r w:rsidRPr="00C34E3C">
              <w:rPr>
                <w:b w:val="0"/>
                <w:color w:val="000000" w:themeColor="text1"/>
                <w:sz w:val="20"/>
              </w:rPr>
              <w:t>Morehouse</w:t>
            </w:r>
            <w:proofErr w:type="spellEnd"/>
            <w:r w:rsidRPr="00C34E3C">
              <w:rPr>
                <w:b w:val="0"/>
                <w:color w:val="000000" w:themeColor="text1"/>
                <w:sz w:val="20"/>
              </w:rPr>
              <w:t xml:space="preserve"> Dr</w:t>
            </w:r>
          </w:p>
          <w:p w:rsidR="00F64569" w:rsidRPr="00C34E3C" w:rsidRDefault="00F64569" w:rsidP="00354BCC">
            <w:pPr>
              <w:pStyle w:val="T2"/>
              <w:spacing w:after="0"/>
              <w:ind w:left="0" w:right="0"/>
              <w:rPr>
                <w:b w:val="0"/>
                <w:color w:val="000000" w:themeColor="text1"/>
                <w:sz w:val="20"/>
              </w:rPr>
            </w:pPr>
            <w:r w:rsidRPr="00C34E3C">
              <w:rPr>
                <w:b w:val="0"/>
                <w:color w:val="000000" w:themeColor="text1"/>
                <w:sz w:val="20"/>
              </w:rPr>
              <w:t>San Diego, CA 92109</w:t>
            </w:r>
          </w:p>
        </w:tc>
        <w:tc>
          <w:tcPr>
            <w:tcW w:w="1620" w:type="dxa"/>
            <w:vAlign w:val="center"/>
          </w:tcPr>
          <w:p w:rsidR="00F64569" w:rsidRPr="00C34E3C" w:rsidRDefault="00F64569" w:rsidP="00354BCC">
            <w:pPr>
              <w:pStyle w:val="T2"/>
              <w:spacing w:after="0"/>
              <w:ind w:left="0" w:right="0"/>
              <w:rPr>
                <w:b w:val="0"/>
                <w:color w:val="000000" w:themeColor="text1"/>
                <w:sz w:val="20"/>
              </w:rPr>
            </w:pPr>
            <w:r w:rsidRPr="00C34E3C">
              <w:rPr>
                <w:b w:val="0"/>
                <w:color w:val="000000" w:themeColor="text1"/>
                <w:sz w:val="20"/>
              </w:rPr>
              <w:t>8588451243</w:t>
            </w:r>
          </w:p>
        </w:tc>
        <w:tc>
          <w:tcPr>
            <w:tcW w:w="1998" w:type="dxa"/>
            <w:vAlign w:val="center"/>
          </w:tcPr>
          <w:p w:rsidR="00F64569" w:rsidRPr="00C34E3C" w:rsidRDefault="00F64569" w:rsidP="00112806">
            <w:pPr>
              <w:pStyle w:val="T2"/>
              <w:spacing w:after="0"/>
              <w:ind w:left="0" w:right="0"/>
              <w:rPr>
                <w:b w:val="0"/>
                <w:color w:val="000000" w:themeColor="text1"/>
                <w:sz w:val="16"/>
              </w:rPr>
            </w:pPr>
            <w:r w:rsidRPr="00C34E3C">
              <w:rPr>
                <w:b w:val="0"/>
                <w:color w:val="000000" w:themeColor="text1"/>
                <w:sz w:val="16"/>
              </w:rPr>
              <w:t>smerlin@</w:t>
            </w:r>
            <w:r w:rsidR="00112806" w:rsidRPr="00C34E3C">
              <w:rPr>
                <w:b w:val="0"/>
                <w:color w:val="000000" w:themeColor="text1"/>
                <w:sz w:val="16"/>
              </w:rPr>
              <w:t>qualcomm</w:t>
            </w:r>
            <w:r w:rsidRPr="00C34E3C">
              <w:rPr>
                <w:b w:val="0"/>
                <w:color w:val="000000" w:themeColor="text1"/>
                <w:sz w:val="16"/>
              </w:rPr>
              <w:t>.com</w:t>
            </w:r>
          </w:p>
        </w:tc>
      </w:tr>
      <w:tr w:rsidR="00112806" w:rsidRPr="00C34E3C" w:rsidTr="002B2339">
        <w:trPr>
          <w:jc w:val="center"/>
        </w:trPr>
        <w:tc>
          <w:tcPr>
            <w:tcW w:w="1728" w:type="dxa"/>
            <w:vAlign w:val="center"/>
          </w:tcPr>
          <w:p w:rsidR="00195979" w:rsidRPr="00C34E3C" w:rsidRDefault="00195979" w:rsidP="00354BCC">
            <w:pPr>
              <w:pStyle w:val="T2"/>
              <w:spacing w:after="0"/>
              <w:ind w:left="0" w:right="0"/>
              <w:rPr>
                <w:b w:val="0"/>
                <w:color w:val="000000" w:themeColor="text1"/>
                <w:sz w:val="20"/>
              </w:rPr>
            </w:pPr>
            <w:r w:rsidRPr="00C34E3C">
              <w:rPr>
                <w:b w:val="0"/>
                <w:color w:val="000000" w:themeColor="text1"/>
                <w:sz w:val="20"/>
              </w:rPr>
              <w:t>Menzo Wentink</w:t>
            </w:r>
          </w:p>
        </w:tc>
        <w:tc>
          <w:tcPr>
            <w:tcW w:w="1530" w:type="dxa"/>
            <w:vAlign w:val="center"/>
          </w:tcPr>
          <w:p w:rsidR="00195979" w:rsidRPr="00C34E3C" w:rsidRDefault="00195979" w:rsidP="00354BCC">
            <w:pPr>
              <w:pStyle w:val="T2"/>
              <w:spacing w:after="0"/>
              <w:ind w:left="0" w:right="0"/>
              <w:rPr>
                <w:b w:val="0"/>
                <w:color w:val="000000" w:themeColor="text1"/>
                <w:sz w:val="20"/>
              </w:rPr>
            </w:pPr>
            <w:r w:rsidRPr="00C34E3C">
              <w:rPr>
                <w:b w:val="0"/>
                <w:color w:val="000000" w:themeColor="text1"/>
                <w:sz w:val="20"/>
              </w:rPr>
              <w:t>Qualcomm</w:t>
            </w:r>
          </w:p>
        </w:tc>
        <w:tc>
          <w:tcPr>
            <w:tcW w:w="2700" w:type="dxa"/>
            <w:vAlign w:val="center"/>
          </w:tcPr>
          <w:p w:rsidR="00195979" w:rsidRPr="00C34E3C" w:rsidRDefault="00195979" w:rsidP="00354BCC">
            <w:pPr>
              <w:pStyle w:val="T2"/>
              <w:spacing w:after="0"/>
              <w:ind w:left="0" w:right="0"/>
              <w:rPr>
                <w:b w:val="0"/>
                <w:color w:val="000000" w:themeColor="text1"/>
                <w:sz w:val="20"/>
              </w:rPr>
            </w:pPr>
            <w:proofErr w:type="spellStart"/>
            <w:r w:rsidRPr="00C34E3C">
              <w:rPr>
                <w:b w:val="0"/>
                <w:color w:val="000000" w:themeColor="text1"/>
                <w:sz w:val="20"/>
              </w:rPr>
              <w:t>Straatweg</w:t>
            </w:r>
            <w:proofErr w:type="spellEnd"/>
            <w:r w:rsidRPr="00C34E3C">
              <w:rPr>
                <w:b w:val="0"/>
                <w:color w:val="000000" w:themeColor="text1"/>
                <w:sz w:val="20"/>
              </w:rPr>
              <w:t xml:space="preserve"> 66-s, </w:t>
            </w:r>
            <w:proofErr w:type="spellStart"/>
            <w:r w:rsidRPr="00C34E3C">
              <w:rPr>
                <w:b w:val="0"/>
                <w:color w:val="000000" w:themeColor="text1"/>
                <w:sz w:val="20"/>
              </w:rPr>
              <w:t>Breukelen</w:t>
            </w:r>
            <w:proofErr w:type="spellEnd"/>
            <w:r w:rsidRPr="00C34E3C">
              <w:rPr>
                <w:b w:val="0"/>
                <w:color w:val="000000" w:themeColor="text1"/>
                <w:sz w:val="20"/>
              </w:rPr>
              <w:t>, The Netherlands</w:t>
            </w:r>
          </w:p>
        </w:tc>
        <w:tc>
          <w:tcPr>
            <w:tcW w:w="1620" w:type="dxa"/>
            <w:vAlign w:val="center"/>
          </w:tcPr>
          <w:p w:rsidR="00195979" w:rsidRPr="00C34E3C" w:rsidRDefault="00195979" w:rsidP="00354BCC">
            <w:pPr>
              <w:pStyle w:val="T2"/>
              <w:spacing w:after="0"/>
              <w:ind w:left="0" w:right="0"/>
              <w:rPr>
                <w:b w:val="0"/>
                <w:color w:val="000000" w:themeColor="text1"/>
                <w:sz w:val="20"/>
              </w:rPr>
            </w:pPr>
            <w:r w:rsidRPr="00C34E3C">
              <w:rPr>
                <w:b w:val="0"/>
                <w:color w:val="000000" w:themeColor="text1"/>
                <w:sz w:val="20"/>
              </w:rPr>
              <w:t>+31 65 183 6231</w:t>
            </w:r>
          </w:p>
        </w:tc>
        <w:tc>
          <w:tcPr>
            <w:tcW w:w="1998" w:type="dxa"/>
            <w:vAlign w:val="center"/>
          </w:tcPr>
          <w:p w:rsidR="00195979" w:rsidRPr="00C34E3C" w:rsidRDefault="00195979" w:rsidP="00354BCC">
            <w:pPr>
              <w:pStyle w:val="T2"/>
              <w:spacing w:after="0"/>
              <w:ind w:left="0" w:right="0"/>
              <w:rPr>
                <w:b w:val="0"/>
                <w:color w:val="000000" w:themeColor="text1"/>
                <w:sz w:val="16"/>
              </w:rPr>
            </w:pPr>
            <w:r w:rsidRPr="00C34E3C">
              <w:rPr>
                <w:b w:val="0"/>
                <w:color w:val="000000" w:themeColor="text1"/>
                <w:sz w:val="16"/>
              </w:rPr>
              <w:t>mwentink@qualcomm.com</w:t>
            </w:r>
          </w:p>
        </w:tc>
      </w:tr>
    </w:tbl>
    <w:p w:rsidR="00672532" w:rsidRPr="00C34E3C" w:rsidRDefault="00672532" w:rsidP="00603DFB">
      <w:pPr>
        <w:pStyle w:val="T1"/>
        <w:spacing w:after="120"/>
        <w:rPr>
          <w:color w:val="000000" w:themeColor="text1"/>
          <w:sz w:val="22"/>
        </w:rPr>
      </w:pPr>
    </w:p>
    <w:p w:rsidR="00F64569" w:rsidRPr="00C34E3C" w:rsidRDefault="00F64569" w:rsidP="00603DFB">
      <w:pPr>
        <w:pStyle w:val="T1"/>
        <w:spacing w:after="120"/>
        <w:rPr>
          <w:color w:val="000000" w:themeColor="text1"/>
          <w:sz w:val="22"/>
        </w:rPr>
      </w:pPr>
      <w:r w:rsidRPr="00C34E3C">
        <w:rPr>
          <w:color w:val="000000" w:themeColor="text1"/>
          <w:sz w:val="22"/>
        </w:rPr>
        <w:t>Abstract</w:t>
      </w:r>
    </w:p>
    <w:p w:rsidR="00F64569" w:rsidRPr="00C34E3C" w:rsidRDefault="00F64569" w:rsidP="00603DFB">
      <w:pPr>
        <w:pStyle w:val="T1"/>
        <w:spacing w:after="120"/>
        <w:jc w:val="left"/>
        <w:rPr>
          <w:b w:val="0"/>
          <w:color w:val="000000" w:themeColor="text1"/>
          <w:sz w:val="22"/>
        </w:rPr>
      </w:pPr>
      <w:r w:rsidRPr="00C34E3C">
        <w:rPr>
          <w:b w:val="0"/>
          <w:color w:val="000000" w:themeColor="text1"/>
          <w:sz w:val="22"/>
        </w:rPr>
        <w:t>This document provides resolution for the comments listed below</w:t>
      </w:r>
    </w:p>
    <w:p w:rsidR="0073121F" w:rsidRPr="009812AA" w:rsidRDefault="0073121F" w:rsidP="0073121F">
      <w:pPr>
        <w:pStyle w:val="T1"/>
        <w:spacing w:after="120"/>
        <w:jc w:val="left"/>
        <w:rPr>
          <w:b w:val="0"/>
          <w:sz w:val="22"/>
        </w:rPr>
      </w:pPr>
      <w:r>
        <w:rPr>
          <w:b w:val="0"/>
          <w:sz w:val="22"/>
        </w:rPr>
        <w:t xml:space="preserve">Comments are from: </w:t>
      </w:r>
      <w:r w:rsidRPr="00CE6034">
        <w:rPr>
          <w:b w:val="0"/>
          <w:sz w:val="22"/>
        </w:rPr>
        <w:t>11-12-0223-03-00ac-lb187-comment-tgac-d2-0.xlsx</w:t>
      </w:r>
    </w:p>
    <w:p w:rsidR="0073121F" w:rsidRPr="009812AA" w:rsidRDefault="0073121F" w:rsidP="0073121F">
      <w:pPr>
        <w:pStyle w:val="T1"/>
        <w:spacing w:after="120"/>
        <w:jc w:val="left"/>
        <w:rPr>
          <w:b w:val="0"/>
          <w:sz w:val="22"/>
        </w:rPr>
      </w:pPr>
      <w:r w:rsidRPr="009812AA">
        <w:rPr>
          <w:b w:val="0"/>
          <w:sz w:val="22"/>
        </w:rPr>
        <w:t>Comments refer to:</w:t>
      </w:r>
      <w:r w:rsidRPr="009812AA">
        <w:rPr>
          <w:b w:val="0"/>
        </w:rPr>
        <w:t xml:space="preserve"> </w:t>
      </w:r>
      <w:r>
        <w:rPr>
          <w:b w:val="0"/>
          <w:sz w:val="22"/>
        </w:rPr>
        <w:t>Draft P802.11ac_D2.0</w:t>
      </w:r>
      <w:r w:rsidRPr="009812AA">
        <w:rPr>
          <w:b w:val="0"/>
          <w:sz w:val="22"/>
        </w:rPr>
        <w:t>.pdf</w:t>
      </w:r>
    </w:p>
    <w:p w:rsidR="0084230C" w:rsidRPr="00C34E3C" w:rsidRDefault="0084230C" w:rsidP="00A3673C">
      <w:pPr>
        <w:jc w:val="center"/>
        <w:rPr>
          <w:rFonts w:ascii="Times New Roman" w:hAnsi="Times New Roman"/>
          <w:b/>
          <w:color w:val="000000" w:themeColor="text1"/>
        </w:rPr>
      </w:pPr>
    </w:p>
    <w:p w:rsidR="00D621AD" w:rsidRPr="00C34E3C" w:rsidRDefault="00F64569" w:rsidP="00D621AD">
      <w:pPr>
        <w:jc w:val="center"/>
        <w:rPr>
          <w:rFonts w:ascii="Times New Roman" w:hAnsi="Times New Roman"/>
          <w:b/>
          <w:color w:val="000000" w:themeColor="text1"/>
        </w:rPr>
      </w:pPr>
      <w:r w:rsidRPr="00C34E3C">
        <w:rPr>
          <w:rFonts w:ascii="Times New Roman" w:hAnsi="Times New Roman"/>
          <w:b/>
          <w:color w:val="000000" w:themeColor="text1"/>
        </w:rPr>
        <w:t>Comments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666"/>
        <w:gridCol w:w="766"/>
        <w:gridCol w:w="2226"/>
        <w:gridCol w:w="4442"/>
        <w:gridCol w:w="761"/>
      </w:tblGrid>
      <w:tr w:rsidR="00D621AD" w:rsidRPr="00C34E3C" w:rsidTr="00D621AD">
        <w:trPr>
          <w:trHeight w:val="1785"/>
        </w:trPr>
        <w:tc>
          <w:tcPr>
            <w:tcW w:w="0" w:type="auto"/>
            <w:shd w:val="clear" w:color="auto" w:fill="auto"/>
            <w:hideMark/>
          </w:tcPr>
          <w:p w:rsidR="00D621AD" w:rsidRPr="00D621AD" w:rsidRDefault="00D621AD" w:rsidP="00D621AD">
            <w:pPr>
              <w:spacing w:after="0" w:line="240" w:lineRule="auto"/>
              <w:jc w:val="right"/>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4366</w:t>
            </w:r>
          </w:p>
        </w:tc>
        <w:tc>
          <w:tcPr>
            <w:tcW w:w="0" w:type="auto"/>
            <w:shd w:val="clear" w:color="auto" w:fill="auto"/>
            <w:hideMark/>
          </w:tcPr>
          <w:p w:rsidR="00D621AD" w:rsidRPr="00D621AD" w:rsidRDefault="00D621AD" w:rsidP="00D621AD">
            <w:pPr>
              <w:spacing w:after="0" w:line="240" w:lineRule="auto"/>
              <w:jc w:val="right"/>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93.35</w:t>
            </w:r>
          </w:p>
        </w:tc>
        <w:tc>
          <w:tcPr>
            <w:tcW w:w="0" w:type="auto"/>
            <w:shd w:val="clear" w:color="auto" w:fill="auto"/>
            <w:hideMark/>
          </w:tcPr>
          <w:p w:rsidR="00D621AD" w:rsidRPr="00D621AD" w:rsidRDefault="00D621AD" w:rsidP="00D621AD">
            <w:pPr>
              <w:spacing w:after="0" w:line="240" w:lineRule="auto"/>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9.3.2.6</w:t>
            </w:r>
          </w:p>
        </w:tc>
        <w:tc>
          <w:tcPr>
            <w:tcW w:w="0" w:type="auto"/>
            <w:shd w:val="clear" w:color="auto" w:fill="auto"/>
            <w:hideMark/>
          </w:tcPr>
          <w:p w:rsidR="00D621AD" w:rsidRPr="00D621AD" w:rsidRDefault="00D621AD" w:rsidP="00D621AD">
            <w:pPr>
              <w:spacing w:after="0" w:line="240" w:lineRule="auto"/>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 xml:space="preserve">So using VHT RTS lack the same </w:t>
            </w:r>
            <w:proofErr w:type="spellStart"/>
            <w:r w:rsidRPr="00D621AD">
              <w:rPr>
                <w:rFonts w:ascii="Times New Roman" w:eastAsia="Times New Roman" w:hAnsi="Times New Roman"/>
                <w:color w:val="000000" w:themeColor="text1"/>
                <w:sz w:val="20"/>
                <w:szCs w:val="20"/>
              </w:rPr>
              <w:t>featureset</w:t>
            </w:r>
            <w:proofErr w:type="spellEnd"/>
            <w:r w:rsidRPr="00D621AD">
              <w:rPr>
                <w:rFonts w:ascii="Times New Roman" w:eastAsia="Times New Roman" w:hAnsi="Times New Roman"/>
                <w:color w:val="000000" w:themeColor="text1"/>
                <w:sz w:val="20"/>
                <w:szCs w:val="20"/>
              </w:rPr>
              <w:t xml:space="preserve"> as non-HT frames - not a good design</w:t>
            </w:r>
          </w:p>
        </w:tc>
        <w:tc>
          <w:tcPr>
            <w:tcW w:w="0" w:type="auto"/>
            <w:shd w:val="clear" w:color="auto" w:fill="auto"/>
            <w:hideMark/>
          </w:tcPr>
          <w:p w:rsidR="00D621AD" w:rsidRPr="00D621AD" w:rsidRDefault="00D621AD" w:rsidP="00D621AD">
            <w:pPr>
              <w:spacing w:after="0" w:line="240" w:lineRule="auto"/>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1) Add a Static/Dynamic indication to an RTS carried in a HT/VHT frame (using the non-HT mechanism or some other), then 2) make HT/VHT RTS frames behave the same as non-HT RTSs</w:t>
            </w:r>
          </w:p>
        </w:tc>
        <w:tc>
          <w:tcPr>
            <w:tcW w:w="0" w:type="auto"/>
            <w:shd w:val="clear" w:color="auto" w:fill="auto"/>
            <w:hideMark/>
          </w:tcPr>
          <w:p w:rsidR="00D621AD" w:rsidRPr="00D621AD" w:rsidRDefault="00D621AD" w:rsidP="00D621AD">
            <w:pPr>
              <w:spacing w:after="0" w:line="240" w:lineRule="auto"/>
              <w:rPr>
                <w:rFonts w:ascii="Times New Roman" w:eastAsia="Times New Roman" w:hAnsi="Times New Roman"/>
                <w:color w:val="000000" w:themeColor="text1"/>
                <w:sz w:val="20"/>
                <w:szCs w:val="20"/>
              </w:rPr>
            </w:pPr>
            <w:r w:rsidRPr="00D621AD">
              <w:rPr>
                <w:rFonts w:ascii="Times New Roman" w:eastAsia="Times New Roman" w:hAnsi="Times New Roman"/>
                <w:color w:val="000000" w:themeColor="text1"/>
                <w:sz w:val="20"/>
                <w:szCs w:val="20"/>
              </w:rPr>
              <w:t>COEX</w:t>
            </w:r>
          </w:p>
        </w:tc>
      </w:tr>
    </w:tbl>
    <w:p w:rsidR="00D621AD" w:rsidRPr="00C34E3C" w:rsidRDefault="00D621AD" w:rsidP="00D621AD">
      <w:pPr>
        <w:rPr>
          <w:rFonts w:ascii="Times New Roman" w:hAnsi="Times New Roman"/>
          <w:color w:val="000000" w:themeColor="text1"/>
        </w:rPr>
      </w:pPr>
      <w:r w:rsidRPr="00C34E3C">
        <w:rPr>
          <w:rFonts w:ascii="Times New Roman" w:hAnsi="Times New Roman"/>
          <w:color w:val="000000" w:themeColor="text1"/>
        </w:rPr>
        <w:t>Proposed resolution: REJECT</w:t>
      </w:r>
    </w:p>
    <w:p w:rsidR="00193FD6" w:rsidRPr="00C34E3C" w:rsidRDefault="00C0437F" w:rsidP="00D621AD">
      <w:pPr>
        <w:rPr>
          <w:rFonts w:ascii="Times New Roman" w:hAnsi="Times New Roman"/>
          <w:color w:val="000000" w:themeColor="text1"/>
        </w:rPr>
      </w:pPr>
      <w:r w:rsidRPr="00C34E3C">
        <w:rPr>
          <w:rFonts w:ascii="Times New Roman" w:hAnsi="Times New Roman"/>
          <w:color w:val="000000" w:themeColor="text1"/>
        </w:rPr>
        <w:t xml:space="preserve">The non-HT dynamic/static BW mechanism is sufficient for achieving the scope for which it was designed. The additional benefit of duplicating the mechanism for VHT </w:t>
      </w:r>
      <w:r w:rsidR="00A12E0F">
        <w:rPr>
          <w:rFonts w:ascii="Times New Roman" w:hAnsi="Times New Roman"/>
          <w:color w:val="000000" w:themeColor="text1"/>
        </w:rPr>
        <w:t>RTS/CTS</w:t>
      </w:r>
      <w:r w:rsidRPr="00C34E3C">
        <w:rPr>
          <w:rFonts w:ascii="Times New Roman" w:hAnsi="Times New Roman"/>
          <w:color w:val="000000" w:themeColor="text1"/>
        </w:rPr>
        <w:t xml:space="preserve"> is not justified. </w:t>
      </w:r>
    </w:p>
    <w:p w:rsidR="00C0437F" w:rsidRPr="00C34E3C" w:rsidRDefault="00C0437F" w:rsidP="00D621AD">
      <w:pPr>
        <w:rPr>
          <w:rFonts w:ascii="Times New Roman" w:hAnsi="Times New Roman"/>
          <w:color w:val="000000" w:themeColor="text1"/>
        </w:rPr>
      </w:pPr>
      <w:r w:rsidRPr="00C34E3C">
        <w:rPr>
          <w:rFonts w:ascii="Times New Roman" w:hAnsi="Times New Roman"/>
          <w:color w:val="000000" w:themeColor="text1"/>
        </w:rPr>
        <w:t>The usefulness of a dynamic BW mechanism implicitly assume</w:t>
      </w:r>
      <w:r w:rsidR="00036DCC">
        <w:rPr>
          <w:rFonts w:ascii="Times New Roman" w:hAnsi="Times New Roman"/>
          <w:color w:val="000000" w:themeColor="text1"/>
        </w:rPr>
        <w:t>s</w:t>
      </w:r>
      <w:r w:rsidRPr="00C34E3C">
        <w:rPr>
          <w:rFonts w:ascii="Times New Roman" w:hAnsi="Times New Roman"/>
          <w:color w:val="000000" w:themeColor="text1"/>
        </w:rPr>
        <w:t xml:space="preserve"> there are interfering STAs operating on channels other than the primary 20Mhz channel. In this case, using VHT RTS/CTS frames is inappropriate as it does not allow distribution of the NAV to interfering STAs.</w:t>
      </w:r>
    </w:p>
    <w:p w:rsidR="00C0437F" w:rsidRPr="00C34E3C" w:rsidRDefault="00C0437F" w:rsidP="00D621AD">
      <w:pPr>
        <w:rPr>
          <w:rFonts w:ascii="Times New Roman" w:hAnsi="Times New Roman"/>
          <w:color w:val="000000" w:themeColor="text1"/>
        </w:rPr>
      </w:pPr>
      <w:r w:rsidRPr="00C34E3C">
        <w:rPr>
          <w:rFonts w:ascii="Times New Roman" w:hAnsi="Times New Roman"/>
          <w:color w:val="000000" w:themeColor="text1"/>
        </w:rPr>
        <w:t>Moreover, in general s</w:t>
      </w:r>
      <w:r w:rsidR="00193FD6" w:rsidRPr="00C34E3C">
        <w:rPr>
          <w:rFonts w:ascii="Times New Roman" w:hAnsi="Times New Roman"/>
          <w:color w:val="000000" w:themeColor="text1"/>
        </w:rPr>
        <w:t>ending RTS/CTS in VHT format does not allow protection against non-VHT STAs, hence defeating the main purpose of RTS/CTS</w:t>
      </w:r>
      <w:r w:rsidRPr="00C34E3C">
        <w:rPr>
          <w:rFonts w:ascii="Times New Roman" w:hAnsi="Times New Roman"/>
          <w:color w:val="000000" w:themeColor="text1"/>
        </w:rPr>
        <w:t xml:space="preserve"> so it is not going to be widely used.</w:t>
      </w:r>
    </w:p>
    <w:p w:rsidR="00C0437F" w:rsidRPr="00C34E3C" w:rsidRDefault="00C0437F" w:rsidP="00D621AD">
      <w:pPr>
        <w:rPr>
          <w:rFonts w:ascii="Times New Roman" w:hAnsi="Times New Roman"/>
          <w:color w:val="000000" w:themeColor="text1"/>
        </w:rPr>
      </w:pPr>
    </w:p>
    <w:p w:rsidR="00C0437F" w:rsidRPr="00C34E3C" w:rsidRDefault="00C0437F" w:rsidP="00D621AD">
      <w:pPr>
        <w:rPr>
          <w:rFonts w:ascii="Times New Roman" w:hAnsi="Times New Roman"/>
          <w:color w:val="000000" w:themeColor="text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7"/>
        <w:gridCol w:w="1113"/>
        <w:gridCol w:w="766"/>
        <w:gridCol w:w="855"/>
        <w:gridCol w:w="3298"/>
        <w:gridCol w:w="2181"/>
        <w:gridCol w:w="761"/>
      </w:tblGrid>
      <w:tr w:rsidR="00E70644" w:rsidRPr="00FE4B00" w:rsidTr="00E70644">
        <w:trPr>
          <w:trHeight w:val="1710"/>
        </w:trPr>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rPr>
            </w:pPr>
            <w:r w:rsidRPr="00FE4B00">
              <w:rPr>
                <w:rFonts w:ascii="Times New Roman" w:hAnsi="Times New Roman"/>
                <w:color w:val="000000" w:themeColor="text1"/>
                <w:sz w:val="20"/>
              </w:rPr>
              <w:lastRenderedPageBreak/>
              <w:t>4573</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rPr>
            </w:pPr>
            <w:proofErr w:type="spellStart"/>
            <w:r w:rsidRPr="00FE4B00">
              <w:rPr>
                <w:rFonts w:ascii="Times New Roman" w:hAnsi="Times New Roman"/>
                <w:color w:val="000000" w:themeColor="text1"/>
                <w:sz w:val="20"/>
              </w:rPr>
              <w:t>Haiguang</w:t>
            </w:r>
            <w:proofErr w:type="spellEnd"/>
            <w:r w:rsidRPr="00FE4B00">
              <w:rPr>
                <w:rFonts w:ascii="Times New Roman" w:hAnsi="Times New Roman"/>
                <w:color w:val="000000" w:themeColor="text1"/>
                <w:sz w:val="20"/>
              </w:rPr>
              <w:t xml:space="preserve"> Wang</w:t>
            </w:r>
          </w:p>
        </w:tc>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rPr>
            </w:pPr>
            <w:r w:rsidRPr="00FE4B00">
              <w:rPr>
                <w:rFonts w:ascii="Times New Roman" w:hAnsi="Times New Roman"/>
                <w:color w:val="000000" w:themeColor="text1"/>
                <w:sz w:val="20"/>
              </w:rPr>
              <w:t>112.38</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rPr>
            </w:pPr>
            <w:r w:rsidRPr="00FE4B00">
              <w:rPr>
                <w:rFonts w:ascii="Times New Roman" w:hAnsi="Times New Roman"/>
                <w:color w:val="000000" w:themeColor="text1"/>
                <w:sz w:val="20"/>
              </w:rPr>
              <w:t>9.3.2.5a</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rPr>
            </w:pPr>
            <w:r w:rsidRPr="00FE4B00">
              <w:rPr>
                <w:rFonts w:ascii="Times New Roman" w:hAnsi="Times New Roman"/>
                <w:color w:val="000000" w:themeColor="text1"/>
                <w:sz w:val="20"/>
              </w:rPr>
              <w:t xml:space="preserve">11ac has introduced MU-MIMO feature. An AP can transmit to multiple STAs </w:t>
            </w:r>
            <w:proofErr w:type="spellStart"/>
            <w:r w:rsidRPr="00FE4B00">
              <w:rPr>
                <w:rFonts w:ascii="Times New Roman" w:hAnsi="Times New Roman"/>
                <w:color w:val="000000" w:themeColor="text1"/>
                <w:sz w:val="20"/>
              </w:rPr>
              <w:t>simulataneously</w:t>
            </w:r>
            <w:proofErr w:type="spellEnd"/>
            <w:r w:rsidRPr="00FE4B00">
              <w:rPr>
                <w:rFonts w:ascii="Times New Roman" w:hAnsi="Times New Roman"/>
                <w:color w:val="000000" w:themeColor="text1"/>
                <w:sz w:val="20"/>
              </w:rPr>
              <w:t xml:space="preserve"> on </w:t>
            </w:r>
            <w:proofErr w:type="spellStart"/>
            <w:r w:rsidRPr="00FE4B00">
              <w:rPr>
                <w:rFonts w:ascii="Times New Roman" w:hAnsi="Times New Roman"/>
                <w:color w:val="000000" w:themeColor="text1"/>
                <w:sz w:val="20"/>
              </w:rPr>
              <w:t>donwlinks</w:t>
            </w:r>
            <w:proofErr w:type="spellEnd"/>
            <w:r w:rsidRPr="00FE4B00">
              <w:rPr>
                <w:rFonts w:ascii="Times New Roman" w:hAnsi="Times New Roman"/>
                <w:color w:val="000000" w:themeColor="text1"/>
                <w:sz w:val="20"/>
              </w:rPr>
              <w:t xml:space="preserve"> (</w:t>
            </w:r>
            <w:proofErr w:type="spellStart"/>
            <w:r w:rsidRPr="00FE4B00">
              <w:rPr>
                <w:rFonts w:ascii="Times New Roman" w:hAnsi="Times New Roman"/>
                <w:color w:val="000000" w:themeColor="text1"/>
                <w:sz w:val="20"/>
              </w:rPr>
              <w:t>eg</w:t>
            </w:r>
            <w:proofErr w:type="spellEnd"/>
            <w:r w:rsidRPr="00FE4B00">
              <w:rPr>
                <w:rFonts w:ascii="Times New Roman" w:hAnsi="Times New Roman"/>
                <w:color w:val="000000" w:themeColor="text1"/>
                <w:sz w:val="20"/>
              </w:rPr>
              <w:t>. description in 9.19.2.2a).  However, the TXOP for MU-MIMO is not sufficiently protected and subject to</w:t>
            </w:r>
            <w:proofErr w:type="gramStart"/>
            <w:r w:rsidRPr="00FE4B00">
              <w:rPr>
                <w:rFonts w:ascii="Times New Roman" w:hAnsi="Times New Roman"/>
                <w:color w:val="000000" w:themeColor="text1"/>
                <w:sz w:val="20"/>
              </w:rPr>
              <w:t>  severe</w:t>
            </w:r>
            <w:proofErr w:type="gramEnd"/>
            <w:r w:rsidRPr="00FE4B00">
              <w:rPr>
                <w:rFonts w:ascii="Times New Roman" w:hAnsi="Times New Roman"/>
                <w:color w:val="000000" w:themeColor="text1"/>
                <w:sz w:val="20"/>
              </w:rPr>
              <w:t xml:space="preserve"> collision, especially when there are overlapped APs and/or legacy STAs. A collision avoidance </w:t>
            </w:r>
            <w:proofErr w:type="spellStart"/>
            <w:r w:rsidRPr="00FE4B00">
              <w:rPr>
                <w:rFonts w:ascii="Times New Roman" w:hAnsi="Times New Roman"/>
                <w:color w:val="000000" w:themeColor="text1"/>
                <w:sz w:val="20"/>
              </w:rPr>
              <w:t>mechansims</w:t>
            </w:r>
            <w:proofErr w:type="spellEnd"/>
            <w:r w:rsidRPr="00FE4B00">
              <w:rPr>
                <w:rFonts w:ascii="Times New Roman" w:hAnsi="Times New Roman"/>
                <w:color w:val="000000" w:themeColor="text1"/>
                <w:sz w:val="20"/>
              </w:rPr>
              <w:t xml:space="preserve"> shall be put in place to protect multiple </w:t>
            </w:r>
            <w:proofErr w:type="gramStart"/>
            <w:r w:rsidRPr="00FE4B00">
              <w:rPr>
                <w:rFonts w:ascii="Times New Roman" w:hAnsi="Times New Roman"/>
                <w:color w:val="000000" w:themeColor="text1"/>
                <w:sz w:val="20"/>
              </w:rPr>
              <w:t>transmission</w:t>
            </w:r>
            <w:proofErr w:type="gramEnd"/>
            <w:r w:rsidRPr="00FE4B00">
              <w:rPr>
                <w:rFonts w:ascii="Times New Roman" w:hAnsi="Times New Roman"/>
                <w:color w:val="000000" w:themeColor="text1"/>
                <w:sz w:val="20"/>
              </w:rPr>
              <w:t>.</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rPr>
            </w:pPr>
            <w:proofErr w:type="gramStart"/>
            <w:r w:rsidRPr="00FE4B00">
              <w:rPr>
                <w:rFonts w:ascii="Times New Roman" w:hAnsi="Times New Roman"/>
                <w:color w:val="000000" w:themeColor="text1"/>
                <w:sz w:val="20"/>
              </w:rPr>
              <w:t>A</w:t>
            </w:r>
            <w:proofErr w:type="gramEnd"/>
            <w:r w:rsidRPr="00FE4B00">
              <w:rPr>
                <w:rFonts w:ascii="Times New Roman" w:hAnsi="Times New Roman"/>
                <w:color w:val="000000" w:themeColor="text1"/>
                <w:sz w:val="20"/>
              </w:rPr>
              <w:t xml:space="preserve"> amendment to VHT-RTS/CTS procedure for protection in MU-MIMO transmission could serve the purpose, e.g., using single RTS multiple CTS to protect the MU-MIMO downlink when transmission duration is very long and the coverage of BSs are overlap to each other.</w:t>
            </w:r>
          </w:p>
        </w:tc>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rPr>
            </w:pPr>
            <w:r w:rsidRPr="00FE4B00">
              <w:rPr>
                <w:rFonts w:ascii="Times New Roman" w:hAnsi="Times New Roman"/>
                <w:color w:val="000000" w:themeColor="text1"/>
                <w:sz w:val="20"/>
              </w:rPr>
              <w:t>COEX</w:t>
            </w:r>
          </w:p>
        </w:tc>
      </w:tr>
      <w:tr w:rsidR="00E70644" w:rsidRPr="00FE4B00" w:rsidTr="00E70644">
        <w:trPr>
          <w:trHeight w:val="1350"/>
        </w:trPr>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4636</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 xml:space="preserve">Joseph </w:t>
            </w:r>
            <w:proofErr w:type="spellStart"/>
            <w:r w:rsidRPr="00FE4B00">
              <w:rPr>
                <w:rFonts w:ascii="Times New Roman" w:hAnsi="Times New Roman"/>
                <w:color w:val="000000" w:themeColor="text1"/>
                <w:sz w:val="20"/>
                <w:szCs w:val="20"/>
              </w:rPr>
              <w:t>Teo</w:t>
            </w:r>
            <w:proofErr w:type="spellEnd"/>
          </w:p>
        </w:tc>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112.38</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9.3.2.5a</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For the MU-MIMO feature in 11ac (description in 9.19.2.2a), the TXOP for MU-MIMO is not sufficiently protected and subject to</w:t>
            </w:r>
            <w:proofErr w:type="gramStart"/>
            <w:r w:rsidRPr="00FE4B00">
              <w:rPr>
                <w:rFonts w:ascii="Times New Roman" w:hAnsi="Times New Roman"/>
                <w:color w:val="000000" w:themeColor="text1"/>
                <w:sz w:val="20"/>
                <w:szCs w:val="20"/>
              </w:rPr>
              <w:t>  severe</w:t>
            </w:r>
            <w:proofErr w:type="gramEnd"/>
            <w:r w:rsidRPr="00FE4B00">
              <w:rPr>
                <w:rFonts w:ascii="Times New Roman" w:hAnsi="Times New Roman"/>
                <w:color w:val="000000" w:themeColor="text1"/>
                <w:sz w:val="20"/>
                <w:szCs w:val="20"/>
              </w:rPr>
              <w:t xml:space="preserve"> collision when there are overlapped APs and/or legacy STAs. A collision avoidance mechanism shall be put in place to protect multiple </w:t>
            </w:r>
            <w:proofErr w:type="gramStart"/>
            <w:r w:rsidRPr="00FE4B00">
              <w:rPr>
                <w:rFonts w:ascii="Times New Roman" w:hAnsi="Times New Roman"/>
                <w:color w:val="000000" w:themeColor="text1"/>
                <w:sz w:val="20"/>
                <w:szCs w:val="20"/>
              </w:rPr>
              <w:t>transmission</w:t>
            </w:r>
            <w:proofErr w:type="gramEnd"/>
            <w:r w:rsidRPr="00FE4B00">
              <w:rPr>
                <w:rFonts w:ascii="Times New Roman" w:hAnsi="Times New Roman"/>
                <w:color w:val="000000" w:themeColor="text1"/>
                <w:sz w:val="20"/>
                <w:szCs w:val="20"/>
              </w:rPr>
              <w:t>.</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 xml:space="preserve">An amendment to VHT-RTS/CTS procedure in order to protect MU-MIMO transmission could serve the purpose, e.g., using single RTS, multiple CTS to protect the MU-MIMO downlink when the coverage of BSs </w:t>
            </w:r>
            <w:proofErr w:type="gramStart"/>
            <w:r w:rsidRPr="00FE4B00">
              <w:rPr>
                <w:rFonts w:ascii="Times New Roman" w:hAnsi="Times New Roman"/>
                <w:color w:val="000000" w:themeColor="text1"/>
                <w:sz w:val="20"/>
                <w:szCs w:val="20"/>
              </w:rPr>
              <w:t>are</w:t>
            </w:r>
            <w:proofErr w:type="gramEnd"/>
            <w:r w:rsidRPr="00FE4B00">
              <w:rPr>
                <w:rFonts w:ascii="Times New Roman" w:hAnsi="Times New Roman"/>
                <w:color w:val="000000" w:themeColor="text1"/>
                <w:sz w:val="20"/>
                <w:szCs w:val="20"/>
              </w:rPr>
              <w:t xml:space="preserve"> overlap to each other.</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imes New Roman" w:hAnsi="Times New Roman"/>
                <w:color w:val="000000" w:themeColor="text1"/>
                <w:sz w:val="20"/>
                <w:szCs w:val="20"/>
              </w:rPr>
            </w:pPr>
            <w:r w:rsidRPr="00FE4B00">
              <w:rPr>
                <w:rFonts w:ascii="Times New Roman" w:hAnsi="Times New Roman"/>
                <w:color w:val="000000" w:themeColor="text1"/>
                <w:sz w:val="20"/>
              </w:rPr>
              <w:t>COEX</w:t>
            </w:r>
          </w:p>
        </w:tc>
      </w:tr>
      <w:tr w:rsidR="00E70644" w:rsidRPr="00FE4B00" w:rsidTr="00E70644">
        <w:trPr>
          <w:trHeight w:val="1440"/>
        </w:trPr>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5490</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proofErr w:type="spellStart"/>
            <w:r w:rsidRPr="00FE4B00">
              <w:rPr>
                <w:rFonts w:ascii="Times New Roman" w:hAnsi="Times New Roman"/>
                <w:color w:val="000000" w:themeColor="text1"/>
                <w:sz w:val="20"/>
                <w:szCs w:val="20"/>
              </w:rPr>
              <w:t>Zhongding</w:t>
            </w:r>
            <w:proofErr w:type="spellEnd"/>
            <w:r w:rsidRPr="00FE4B00">
              <w:rPr>
                <w:rFonts w:ascii="Times New Roman" w:hAnsi="Times New Roman"/>
                <w:color w:val="000000" w:themeColor="text1"/>
                <w:sz w:val="20"/>
                <w:szCs w:val="20"/>
              </w:rPr>
              <w:t xml:space="preserve"> Lei</w:t>
            </w:r>
          </w:p>
        </w:tc>
        <w:tc>
          <w:tcPr>
            <w:tcW w:w="0" w:type="auto"/>
            <w:shd w:val="clear" w:color="auto" w:fill="auto"/>
            <w:tcMar>
              <w:top w:w="0" w:type="dxa"/>
              <w:left w:w="108" w:type="dxa"/>
              <w:bottom w:w="0" w:type="dxa"/>
              <w:right w:w="108" w:type="dxa"/>
            </w:tcMar>
            <w:hideMark/>
          </w:tcPr>
          <w:p w:rsidR="00E70644" w:rsidRPr="00FE4B00" w:rsidRDefault="00E70644">
            <w:pPr>
              <w:jc w:val="right"/>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112.38</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9.3.2.5a</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r w:rsidRPr="00FE4B00">
              <w:rPr>
                <w:rFonts w:ascii="Times New Roman" w:hAnsi="Times New Roman"/>
                <w:color w:val="000000" w:themeColor="text1"/>
                <w:sz w:val="20"/>
                <w:szCs w:val="20"/>
              </w:rPr>
              <w:t>11ac has introduced MU-MIMO feature where an AP can transmit to up to four STAs with a single PPDU in each DL MU-MIMO transmission (</w:t>
            </w:r>
            <w:proofErr w:type="spellStart"/>
            <w:r w:rsidRPr="00FE4B00">
              <w:rPr>
                <w:rFonts w:ascii="Times New Roman" w:hAnsi="Times New Roman"/>
                <w:color w:val="000000" w:themeColor="text1"/>
                <w:sz w:val="20"/>
                <w:szCs w:val="20"/>
              </w:rPr>
              <w:t>eg</w:t>
            </w:r>
            <w:proofErr w:type="spellEnd"/>
            <w:r w:rsidRPr="00FE4B00">
              <w:rPr>
                <w:rFonts w:ascii="Times New Roman" w:hAnsi="Times New Roman"/>
                <w:color w:val="000000" w:themeColor="text1"/>
                <w:sz w:val="20"/>
                <w:szCs w:val="20"/>
              </w:rPr>
              <w:t>. description in 9.19.2.2a).  However, the TXOP for MU-MIMO is not sufficiently protected and subject to</w:t>
            </w:r>
            <w:proofErr w:type="gramStart"/>
            <w:r w:rsidRPr="00FE4B00">
              <w:rPr>
                <w:rFonts w:ascii="Times New Roman" w:hAnsi="Times New Roman"/>
                <w:color w:val="000000" w:themeColor="text1"/>
                <w:sz w:val="20"/>
                <w:szCs w:val="20"/>
              </w:rPr>
              <w:t>  severe</w:t>
            </w:r>
            <w:proofErr w:type="gramEnd"/>
            <w:r w:rsidRPr="00FE4B00">
              <w:rPr>
                <w:rFonts w:ascii="Times New Roman" w:hAnsi="Times New Roman"/>
                <w:color w:val="000000" w:themeColor="text1"/>
                <w:sz w:val="20"/>
                <w:szCs w:val="20"/>
              </w:rPr>
              <w:t xml:space="preserve"> collision, especially when there are overlapped APs and/or legacy STAs. A collision avoidance </w:t>
            </w:r>
            <w:proofErr w:type="spellStart"/>
            <w:r w:rsidRPr="00FE4B00">
              <w:rPr>
                <w:rFonts w:ascii="Times New Roman" w:hAnsi="Times New Roman"/>
                <w:color w:val="000000" w:themeColor="text1"/>
                <w:sz w:val="20"/>
                <w:szCs w:val="20"/>
              </w:rPr>
              <w:t>mechansims</w:t>
            </w:r>
            <w:proofErr w:type="spellEnd"/>
            <w:r w:rsidRPr="00FE4B00">
              <w:rPr>
                <w:rFonts w:ascii="Times New Roman" w:hAnsi="Times New Roman"/>
                <w:color w:val="000000" w:themeColor="text1"/>
                <w:sz w:val="20"/>
                <w:szCs w:val="20"/>
              </w:rPr>
              <w:t xml:space="preserve"> shall be put in place to protect multiple </w:t>
            </w:r>
            <w:proofErr w:type="gramStart"/>
            <w:r w:rsidRPr="00FE4B00">
              <w:rPr>
                <w:rFonts w:ascii="Times New Roman" w:hAnsi="Times New Roman"/>
                <w:color w:val="000000" w:themeColor="text1"/>
                <w:sz w:val="20"/>
                <w:szCs w:val="20"/>
              </w:rPr>
              <w:t>transmission</w:t>
            </w:r>
            <w:proofErr w:type="gramEnd"/>
            <w:r w:rsidRPr="00FE4B00">
              <w:rPr>
                <w:rFonts w:ascii="Times New Roman" w:hAnsi="Times New Roman"/>
                <w:color w:val="000000" w:themeColor="text1"/>
                <w:sz w:val="20"/>
                <w:szCs w:val="20"/>
              </w:rPr>
              <w:t>.</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heme="minorHAnsi" w:hAnsi="Times New Roman"/>
                <w:color w:val="000000" w:themeColor="text1"/>
                <w:sz w:val="20"/>
                <w:szCs w:val="20"/>
              </w:rPr>
            </w:pPr>
            <w:proofErr w:type="gramStart"/>
            <w:r w:rsidRPr="00FE4B00">
              <w:rPr>
                <w:rFonts w:ascii="Times New Roman" w:hAnsi="Times New Roman"/>
                <w:color w:val="000000" w:themeColor="text1"/>
                <w:sz w:val="20"/>
                <w:szCs w:val="20"/>
              </w:rPr>
              <w:t>A</w:t>
            </w:r>
            <w:proofErr w:type="gramEnd"/>
            <w:r w:rsidRPr="00FE4B00">
              <w:rPr>
                <w:rFonts w:ascii="Times New Roman" w:hAnsi="Times New Roman"/>
                <w:color w:val="000000" w:themeColor="text1"/>
                <w:sz w:val="20"/>
                <w:szCs w:val="20"/>
              </w:rPr>
              <w:t xml:space="preserve"> amendment to VHT-RTS/CTS procedure for protection in MU-MIMO transmission could serve the purpose, e.g., using single RTS multiple CTS to protect the MU-MIMO downlink when the coverage of BSs are overlap to each other.</w:t>
            </w:r>
          </w:p>
        </w:tc>
        <w:tc>
          <w:tcPr>
            <w:tcW w:w="0" w:type="auto"/>
            <w:shd w:val="clear" w:color="auto" w:fill="auto"/>
            <w:tcMar>
              <w:top w:w="0" w:type="dxa"/>
              <w:left w:w="108" w:type="dxa"/>
              <w:bottom w:w="0" w:type="dxa"/>
              <w:right w:w="108" w:type="dxa"/>
            </w:tcMar>
            <w:hideMark/>
          </w:tcPr>
          <w:p w:rsidR="00E70644" w:rsidRPr="00FE4B00" w:rsidRDefault="00E70644">
            <w:pPr>
              <w:rPr>
                <w:rFonts w:ascii="Times New Roman" w:eastAsia="Times New Roman" w:hAnsi="Times New Roman"/>
                <w:color w:val="000000" w:themeColor="text1"/>
                <w:sz w:val="20"/>
                <w:szCs w:val="20"/>
              </w:rPr>
            </w:pPr>
            <w:r w:rsidRPr="00FE4B00">
              <w:rPr>
                <w:rFonts w:ascii="Times New Roman" w:hAnsi="Times New Roman"/>
                <w:color w:val="000000" w:themeColor="text1"/>
                <w:sz w:val="20"/>
              </w:rPr>
              <w:t>COEX</w:t>
            </w:r>
          </w:p>
        </w:tc>
      </w:tr>
    </w:tbl>
    <w:p w:rsidR="00FE4B00" w:rsidRPr="00593C3C" w:rsidRDefault="00C0437F" w:rsidP="00A504C3">
      <w:pPr>
        <w:rPr>
          <w:rFonts w:ascii="Times New Roman" w:eastAsiaTheme="minorHAnsi" w:hAnsi="Times New Roman"/>
          <w:color w:val="000000" w:themeColor="text1"/>
        </w:rPr>
      </w:pPr>
      <w:r w:rsidRPr="00C34E3C">
        <w:rPr>
          <w:rFonts w:ascii="Times New Roman" w:eastAsiaTheme="minorHAnsi" w:hAnsi="Times New Roman"/>
          <w:color w:val="000000" w:themeColor="text1"/>
        </w:rPr>
        <w:t>Proposed resolution: REJECT</w:t>
      </w:r>
    </w:p>
    <w:p w:rsidR="003B40EC" w:rsidRPr="00C34E3C" w:rsidRDefault="003B40EC" w:rsidP="00A504C3">
      <w:pPr>
        <w:rPr>
          <w:rFonts w:ascii="Times New Roman" w:hAnsi="Times New Roman"/>
          <w:color w:val="000000" w:themeColor="text1"/>
        </w:rPr>
      </w:pPr>
      <w:r w:rsidRPr="00C34E3C">
        <w:rPr>
          <w:rFonts w:ascii="Times New Roman" w:hAnsi="Times New Roman"/>
          <w:color w:val="000000" w:themeColor="text1"/>
        </w:rPr>
        <w:t>The comment</w:t>
      </w:r>
      <w:r w:rsidR="00593C3C">
        <w:rPr>
          <w:rFonts w:ascii="Times New Roman" w:hAnsi="Times New Roman"/>
          <w:color w:val="000000" w:themeColor="text1"/>
        </w:rPr>
        <w:t>s propose</w:t>
      </w:r>
      <w:r w:rsidRPr="00C34E3C">
        <w:rPr>
          <w:rFonts w:ascii="Times New Roman" w:hAnsi="Times New Roman"/>
          <w:color w:val="000000" w:themeColor="text1"/>
        </w:rPr>
        <w:t xml:space="preserve"> to introduce a new RTS/CTS mechanism for MU-MIMO, where an RTS solicits CTSs from multiple STAs</w:t>
      </w:r>
      <w:r w:rsidR="00A504C3" w:rsidRPr="00C34E3C">
        <w:rPr>
          <w:rFonts w:ascii="Times New Roman" w:hAnsi="Times New Roman"/>
          <w:color w:val="000000" w:themeColor="text1"/>
        </w:rPr>
        <w:t>.</w:t>
      </w:r>
    </w:p>
    <w:p w:rsidR="00A504C3" w:rsidRPr="00C34E3C" w:rsidRDefault="00A504C3" w:rsidP="00A504C3">
      <w:pPr>
        <w:rPr>
          <w:rFonts w:ascii="Times New Roman" w:hAnsi="Times New Roman"/>
          <w:color w:val="000000" w:themeColor="text1"/>
        </w:rPr>
      </w:pPr>
      <w:r w:rsidRPr="00C34E3C">
        <w:rPr>
          <w:rFonts w:ascii="Times New Roman" w:hAnsi="Times New Roman"/>
          <w:color w:val="000000" w:themeColor="text1"/>
        </w:rPr>
        <w:t xml:space="preserve">Comments requesting the introduction of a similar mechanism were </w:t>
      </w:r>
      <w:r w:rsidR="00593C3C">
        <w:rPr>
          <w:rFonts w:ascii="Times New Roman" w:hAnsi="Times New Roman"/>
          <w:color w:val="000000" w:themeColor="text1"/>
        </w:rPr>
        <w:t>addressed</w:t>
      </w:r>
      <w:r w:rsidRPr="00C34E3C">
        <w:rPr>
          <w:rFonts w:ascii="Times New Roman" w:hAnsi="Times New Roman"/>
          <w:color w:val="000000" w:themeColor="text1"/>
        </w:rPr>
        <w:t xml:space="preserve"> in</w:t>
      </w:r>
      <w:r w:rsidR="00297FAF" w:rsidRPr="00C34E3C">
        <w:rPr>
          <w:rFonts w:ascii="Times New Roman" w:hAnsi="Times New Roman"/>
          <w:color w:val="000000" w:themeColor="text1"/>
        </w:rPr>
        <w:t xml:space="preserve"> previous letter ballots and rejected</w:t>
      </w:r>
      <w:r w:rsidR="00A12E0F">
        <w:rPr>
          <w:rFonts w:ascii="Times New Roman" w:hAnsi="Times New Roman"/>
          <w:color w:val="000000" w:themeColor="text1"/>
        </w:rPr>
        <w:t xml:space="preserve"> (</w:t>
      </w:r>
      <w:r w:rsidR="00FE4B00">
        <w:rPr>
          <w:rFonts w:ascii="Times New Roman" w:hAnsi="Times New Roman"/>
          <w:color w:val="000000" w:themeColor="text1"/>
        </w:rPr>
        <w:t>e.g. CID</w:t>
      </w:r>
      <w:r w:rsidR="00A12E0F">
        <w:rPr>
          <w:rFonts w:ascii="Times New Roman" w:hAnsi="Times New Roman"/>
          <w:color w:val="000000" w:themeColor="text1"/>
        </w:rPr>
        <w:t xml:space="preserve"> </w:t>
      </w:r>
      <w:r w:rsidR="00A12E0F" w:rsidRPr="00A12E0F">
        <w:rPr>
          <w:rFonts w:ascii="Times New Roman" w:hAnsi="Times New Roman"/>
          <w:color w:val="000000" w:themeColor="text1"/>
        </w:rPr>
        <w:t>2114</w:t>
      </w:r>
      <w:r w:rsidR="00A12E0F">
        <w:rPr>
          <w:rFonts w:ascii="Times New Roman" w:hAnsi="Times New Roman"/>
          <w:color w:val="000000" w:themeColor="text1"/>
        </w:rPr>
        <w:t xml:space="preserve"> in LB 178)</w:t>
      </w:r>
      <w:r w:rsidR="00593C3C">
        <w:rPr>
          <w:rFonts w:ascii="Times New Roman" w:hAnsi="Times New Roman"/>
          <w:color w:val="000000" w:themeColor="text1"/>
        </w:rPr>
        <w:t xml:space="preserve"> after detailed discussion</w:t>
      </w:r>
      <w:r w:rsidR="00297FAF" w:rsidRPr="00C34E3C">
        <w:rPr>
          <w:rFonts w:ascii="Times New Roman" w:hAnsi="Times New Roman"/>
          <w:color w:val="000000" w:themeColor="text1"/>
        </w:rPr>
        <w:t>; no benefits of such a mechanism were ever shown; below discussion points out limitations and issues that would be associated with such a protocol.</w:t>
      </w:r>
    </w:p>
    <w:p w:rsidR="00FE4B00" w:rsidRPr="00593C3C" w:rsidRDefault="00FE4B00" w:rsidP="00FE4B00">
      <w:pPr>
        <w:rPr>
          <w:rFonts w:ascii="Times New Roman" w:hAnsi="Times New Roman"/>
          <w:color w:val="000000" w:themeColor="text1"/>
          <w:sz w:val="18"/>
        </w:rPr>
      </w:pPr>
      <w:r w:rsidRPr="00593C3C">
        <w:rPr>
          <w:rFonts w:ascii="Times New Roman" w:hAnsi="Times New Roman"/>
          <w:color w:val="000000" w:themeColor="text1"/>
          <w:sz w:val="18"/>
        </w:rPr>
        <w:lastRenderedPageBreak/>
        <w:t>CID 2114</w:t>
      </w:r>
      <w:r w:rsidR="00593C3C" w:rsidRPr="00593C3C">
        <w:rPr>
          <w:rFonts w:ascii="Times New Roman" w:hAnsi="Times New Roman"/>
          <w:color w:val="000000" w:themeColor="text1"/>
          <w:sz w:val="18"/>
        </w:rPr>
        <w:t xml:space="preserve"> in LB 178 </w:t>
      </w:r>
    </w:p>
    <w:tbl>
      <w:tblPr>
        <w:tblW w:w="5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tblGrid>
      <w:tr w:rsidR="00FE4B00" w:rsidRPr="00FE4B00" w:rsidTr="00FE4B00">
        <w:trPr>
          <w:trHeight w:val="2033"/>
        </w:trPr>
        <w:tc>
          <w:tcPr>
            <w:tcW w:w="2700" w:type="dxa"/>
            <w:shd w:val="clear" w:color="auto" w:fill="auto"/>
            <w:hideMark/>
          </w:tcPr>
          <w:p w:rsidR="00FE4B00" w:rsidRPr="00FE4B00" w:rsidRDefault="00FE4B00" w:rsidP="00FE4B00">
            <w:pPr>
              <w:spacing w:after="0" w:line="240" w:lineRule="auto"/>
              <w:rPr>
                <w:rFonts w:ascii="Arial" w:eastAsia="Times New Roman" w:hAnsi="Arial" w:cs="Arial"/>
                <w:i/>
                <w:sz w:val="16"/>
                <w:szCs w:val="20"/>
              </w:rPr>
            </w:pPr>
            <w:r w:rsidRPr="00FE4B00">
              <w:rPr>
                <w:rFonts w:ascii="Arial" w:eastAsia="Times New Roman" w:hAnsi="Arial" w:cs="Arial"/>
                <w:i/>
                <w:sz w:val="16"/>
                <w:szCs w:val="20"/>
              </w:rPr>
              <w:t>Comment:</w:t>
            </w:r>
          </w:p>
          <w:p w:rsidR="00FE4B00" w:rsidRPr="00FE4B00" w:rsidRDefault="00FE4B00" w:rsidP="00FE4B00">
            <w:pPr>
              <w:spacing w:after="0" w:line="240" w:lineRule="auto"/>
              <w:rPr>
                <w:rFonts w:ascii="Arial" w:eastAsia="Times New Roman" w:hAnsi="Arial" w:cs="Arial"/>
                <w:i/>
                <w:sz w:val="16"/>
                <w:szCs w:val="20"/>
              </w:rPr>
            </w:pPr>
            <w:r w:rsidRPr="00FE4B00">
              <w:rPr>
                <w:rFonts w:ascii="Arial" w:eastAsia="Times New Roman" w:hAnsi="Arial" w:cs="Arial"/>
                <w:i/>
                <w:sz w:val="16"/>
                <w:szCs w:val="20"/>
              </w:rPr>
              <w:t xml:space="preserve"> </w:t>
            </w:r>
          </w:p>
          <w:p w:rsidR="00FE4B00" w:rsidRPr="00FE4B00" w:rsidRDefault="00FE4B00" w:rsidP="00FE4B00">
            <w:pPr>
              <w:spacing w:after="0" w:line="240" w:lineRule="auto"/>
              <w:rPr>
                <w:rFonts w:ascii="Arial" w:eastAsia="Times New Roman" w:hAnsi="Arial" w:cs="Arial"/>
                <w:i/>
                <w:sz w:val="16"/>
                <w:szCs w:val="20"/>
              </w:rPr>
            </w:pPr>
            <w:r w:rsidRPr="00FE4B00">
              <w:rPr>
                <w:rFonts w:ascii="Arial" w:eastAsia="Times New Roman" w:hAnsi="Arial" w:cs="Arial"/>
                <w:i/>
                <w:sz w:val="16"/>
                <w:szCs w:val="20"/>
              </w:rPr>
              <w:t xml:space="preserve">In order to protect against all hidden nodes, CTS must be sent by all STAs that are receivers of VHT frames.  To minimize overhead, a VHT RTS frame should be defined that requests all </w:t>
            </w:r>
            <w:proofErr w:type="spellStart"/>
            <w:r w:rsidRPr="00FE4B00">
              <w:rPr>
                <w:rFonts w:ascii="Arial" w:eastAsia="Times New Roman" w:hAnsi="Arial" w:cs="Arial"/>
                <w:i/>
                <w:sz w:val="16"/>
                <w:szCs w:val="20"/>
              </w:rPr>
              <w:t>receiveing</w:t>
            </w:r>
            <w:proofErr w:type="spellEnd"/>
            <w:r w:rsidRPr="00FE4B00">
              <w:rPr>
                <w:rFonts w:ascii="Arial" w:eastAsia="Times New Roman" w:hAnsi="Arial" w:cs="Arial"/>
                <w:i/>
                <w:sz w:val="16"/>
                <w:szCs w:val="20"/>
              </w:rPr>
              <w:t xml:space="preserve"> STAs to sequentially send CTSs.</w:t>
            </w:r>
          </w:p>
        </w:tc>
        <w:tc>
          <w:tcPr>
            <w:tcW w:w="2700" w:type="dxa"/>
            <w:shd w:val="clear" w:color="auto" w:fill="auto"/>
            <w:hideMark/>
          </w:tcPr>
          <w:p w:rsidR="00FE4B00" w:rsidRPr="00FE4B00" w:rsidRDefault="00FE4B00" w:rsidP="00FE4B00">
            <w:pPr>
              <w:spacing w:after="0" w:line="240" w:lineRule="auto"/>
              <w:rPr>
                <w:rFonts w:ascii="Arial" w:eastAsia="Times New Roman" w:hAnsi="Arial" w:cs="Arial"/>
                <w:i/>
                <w:sz w:val="16"/>
                <w:szCs w:val="20"/>
              </w:rPr>
            </w:pPr>
            <w:r w:rsidRPr="00FE4B00">
              <w:rPr>
                <w:rFonts w:ascii="Arial" w:eastAsia="Times New Roman" w:hAnsi="Arial" w:cs="Arial"/>
                <w:i/>
                <w:sz w:val="16"/>
                <w:szCs w:val="20"/>
              </w:rPr>
              <w:t>Proposed resolution</w:t>
            </w:r>
          </w:p>
          <w:p w:rsidR="00FE4B00" w:rsidRPr="00FE4B00" w:rsidRDefault="00FE4B00" w:rsidP="00FE4B00">
            <w:pPr>
              <w:spacing w:after="0" w:line="240" w:lineRule="auto"/>
              <w:rPr>
                <w:rFonts w:ascii="Arial" w:eastAsia="Times New Roman" w:hAnsi="Arial" w:cs="Arial"/>
                <w:i/>
                <w:sz w:val="16"/>
                <w:szCs w:val="20"/>
              </w:rPr>
            </w:pPr>
          </w:p>
          <w:p w:rsidR="00FE4B00" w:rsidRPr="00FE4B00" w:rsidRDefault="00FE4B00" w:rsidP="00FE4B00">
            <w:pPr>
              <w:spacing w:after="0" w:line="240" w:lineRule="auto"/>
              <w:rPr>
                <w:rFonts w:ascii="Arial" w:eastAsia="Times New Roman" w:hAnsi="Arial" w:cs="Arial"/>
                <w:i/>
                <w:sz w:val="16"/>
                <w:szCs w:val="20"/>
              </w:rPr>
            </w:pPr>
            <w:r w:rsidRPr="00FE4B00">
              <w:rPr>
                <w:rFonts w:ascii="Arial" w:eastAsia="Times New Roman" w:hAnsi="Arial" w:cs="Arial"/>
                <w:i/>
                <w:sz w:val="16"/>
                <w:szCs w:val="20"/>
              </w:rPr>
              <w:t>As specified in 11-11-0898-00-00ac.</w:t>
            </w:r>
          </w:p>
        </w:tc>
      </w:tr>
    </w:tbl>
    <w:p w:rsidR="00FE4B00" w:rsidRPr="00FE4B00" w:rsidRDefault="00FE4B00" w:rsidP="00FE4B00">
      <w:pPr>
        <w:rPr>
          <w:rFonts w:ascii="Times New Roman" w:hAnsi="Times New Roman"/>
          <w:i/>
          <w:color w:val="000000" w:themeColor="text1"/>
          <w:sz w:val="18"/>
        </w:rPr>
      </w:pPr>
    </w:p>
    <w:p w:rsidR="00FE4B00" w:rsidRPr="00593C3C" w:rsidRDefault="00FE4B00" w:rsidP="00FE4B00">
      <w:pPr>
        <w:rPr>
          <w:rFonts w:ascii="Times New Roman" w:hAnsi="Times New Roman"/>
          <w:color w:val="000000" w:themeColor="text1"/>
          <w:sz w:val="18"/>
        </w:rPr>
      </w:pPr>
      <w:r>
        <w:rPr>
          <w:rFonts w:ascii="Times New Roman" w:hAnsi="Times New Roman"/>
          <w:color w:val="000000" w:themeColor="text1"/>
        </w:rPr>
        <w:t>Approved resolution</w:t>
      </w:r>
      <w:r w:rsidR="00593C3C">
        <w:rPr>
          <w:rFonts w:ascii="Times New Roman" w:hAnsi="Times New Roman"/>
          <w:color w:val="000000" w:themeColor="text1"/>
        </w:rPr>
        <w:t xml:space="preserve"> to </w:t>
      </w:r>
      <w:r w:rsidR="00593C3C" w:rsidRPr="00593C3C">
        <w:rPr>
          <w:rFonts w:ascii="Times New Roman" w:hAnsi="Times New Roman"/>
          <w:color w:val="000000" w:themeColor="text1"/>
          <w:sz w:val="18"/>
        </w:rPr>
        <w:t>CID 2114 in LB 178</w:t>
      </w:r>
    </w:p>
    <w:p w:rsidR="00FE4B00" w:rsidRPr="00FE4B00" w:rsidRDefault="00FE4B00" w:rsidP="00FE4B00">
      <w:pPr>
        <w:rPr>
          <w:rFonts w:ascii="Times New Roman" w:hAnsi="Times New Roman"/>
          <w:i/>
          <w:color w:val="000000" w:themeColor="text1"/>
          <w:sz w:val="18"/>
        </w:rPr>
      </w:pPr>
      <w:r w:rsidRPr="00FE4B00">
        <w:rPr>
          <w:rFonts w:ascii="Times New Roman" w:hAnsi="Times New Roman"/>
          <w:i/>
          <w:color w:val="000000" w:themeColor="text1"/>
          <w:sz w:val="18"/>
        </w:rPr>
        <w:t>DISAGREE (COEX: 2011-09-14 05:55:27Z)</w:t>
      </w:r>
    </w:p>
    <w:p w:rsidR="00593C3C" w:rsidRDefault="00FE4B00" w:rsidP="0015488B">
      <w:pPr>
        <w:rPr>
          <w:rFonts w:ascii="Times New Roman" w:hAnsi="Times New Roman"/>
          <w:i/>
          <w:color w:val="000000" w:themeColor="text1"/>
          <w:sz w:val="18"/>
        </w:rPr>
      </w:pPr>
      <w:r w:rsidRPr="00FE4B00">
        <w:rPr>
          <w:rFonts w:ascii="Times New Roman" w:hAnsi="Times New Roman"/>
          <w:i/>
          <w:color w:val="000000" w:themeColor="text1"/>
          <w:sz w:val="18"/>
        </w:rPr>
        <w:t>The issue of RTS/CTS for DL MU-MIMO has been considered and debated at length in TGac. Below is a summary of the discussions on this subject</w:t>
      </w:r>
      <w:r w:rsidR="00593C3C">
        <w:rPr>
          <w:rFonts w:ascii="Times New Roman" w:hAnsi="Times New Roman"/>
          <w:i/>
          <w:color w:val="000000" w:themeColor="text1"/>
          <w:sz w:val="18"/>
        </w:rPr>
        <w:t>.</w:t>
      </w:r>
    </w:p>
    <w:p w:rsidR="00593C3C" w:rsidRDefault="00FE4B00" w:rsidP="0015488B">
      <w:pPr>
        <w:rPr>
          <w:rFonts w:ascii="Times New Roman" w:hAnsi="Times New Roman"/>
          <w:i/>
          <w:color w:val="000000" w:themeColor="text1"/>
          <w:sz w:val="18"/>
        </w:rPr>
      </w:pPr>
      <w:r w:rsidRPr="00FE4B00">
        <w:rPr>
          <w:rFonts w:ascii="Times New Roman" w:hAnsi="Times New Roman"/>
          <w:i/>
          <w:color w:val="000000" w:themeColor="text1"/>
          <w:sz w:val="18"/>
        </w:rPr>
        <w:t xml:space="preserve">Regarding the proposed solutions based on multiple sequential CTS frames in response to a single RTS (or modified multiple-RTS), the possibility that RTS might not be responded by CTS by one of the intended clients causes a gap in the sequence of CTSs that might indicate availability of the medium to other clients, hence they might attempt to claim the medium by starting a frame transmission. Error cases such as </w:t>
      </w:r>
      <w:proofErr w:type="gramStart"/>
      <w:r w:rsidRPr="00FE4B00">
        <w:rPr>
          <w:rFonts w:ascii="Times New Roman" w:hAnsi="Times New Roman"/>
          <w:i/>
          <w:color w:val="000000" w:themeColor="text1"/>
          <w:sz w:val="18"/>
        </w:rPr>
        <w:t>this questions</w:t>
      </w:r>
      <w:proofErr w:type="gramEnd"/>
      <w:r w:rsidRPr="00FE4B00">
        <w:rPr>
          <w:rFonts w:ascii="Times New Roman" w:hAnsi="Times New Roman"/>
          <w:i/>
          <w:color w:val="000000" w:themeColor="text1"/>
          <w:sz w:val="18"/>
        </w:rPr>
        <w:t xml:space="preserve"> the resilience of multiple sequential CTSs.</w:t>
      </w:r>
      <w:r w:rsidRPr="00FE4B00">
        <w:rPr>
          <w:rFonts w:ascii="Times New Roman" w:hAnsi="Times New Roman"/>
          <w:i/>
          <w:color w:val="000000" w:themeColor="text1"/>
          <w:sz w:val="18"/>
        </w:rPr>
        <w:cr/>
      </w:r>
    </w:p>
    <w:p w:rsidR="00FE4B00" w:rsidRDefault="00FE4B00" w:rsidP="0015488B">
      <w:pPr>
        <w:rPr>
          <w:rFonts w:ascii="Times New Roman" w:hAnsi="Times New Roman"/>
          <w:i/>
          <w:color w:val="000000" w:themeColor="text1"/>
          <w:sz w:val="18"/>
        </w:rPr>
      </w:pPr>
      <w:r w:rsidRPr="00FE4B00">
        <w:rPr>
          <w:rFonts w:ascii="Times New Roman" w:hAnsi="Times New Roman"/>
          <w:i/>
          <w:color w:val="000000" w:themeColor="text1"/>
          <w:sz w:val="18"/>
        </w:rPr>
        <w:t xml:space="preserve">On the other hand, the current rules allow AP to send multiple RTSs one by one to whatever subset of the clients in the MU group and expect CTS for each of the RTSs. For instance, AP can send RTS to the primary client and after receiving CTS, AP can send RTS to one of the secondary clients and expect CTS in response (see 9.3.2.6a VHT RTS </w:t>
      </w:r>
      <w:proofErr w:type="gramStart"/>
      <w:r w:rsidRPr="00FE4B00">
        <w:rPr>
          <w:rFonts w:ascii="Times New Roman" w:hAnsi="Times New Roman"/>
          <w:i/>
          <w:color w:val="000000" w:themeColor="text1"/>
          <w:sz w:val="18"/>
        </w:rPr>
        <w:t>procedure ,</w:t>
      </w:r>
      <w:proofErr w:type="gramEnd"/>
      <w:r w:rsidRPr="00FE4B00">
        <w:rPr>
          <w:rFonts w:ascii="Times New Roman" w:hAnsi="Times New Roman"/>
          <w:i/>
          <w:color w:val="000000" w:themeColor="text1"/>
          <w:sz w:val="18"/>
        </w:rPr>
        <w:t xml:space="preserve"> 9.3.2.7 CTS procedure and 9.19.2.2 EDCA TXOPs), etc. If the second or subsequent CTS is not sent then the AP can perform a PIFS recovery and for example not include that client in the MU PPDU (see 9.19.2.4 </w:t>
      </w:r>
      <w:proofErr w:type="gramStart"/>
      <w:r w:rsidRPr="00FE4B00">
        <w:rPr>
          <w:rFonts w:ascii="Times New Roman" w:hAnsi="Times New Roman"/>
          <w:i/>
          <w:color w:val="000000" w:themeColor="text1"/>
          <w:sz w:val="18"/>
        </w:rPr>
        <w:t>Multiple</w:t>
      </w:r>
      <w:proofErr w:type="gramEnd"/>
      <w:r w:rsidRPr="00FE4B00">
        <w:rPr>
          <w:rFonts w:ascii="Times New Roman" w:hAnsi="Times New Roman"/>
          <w:i/>
          <w:color w:val="000000" w:themeColor="text1"/>
          <w:sz w:val="18"/>
        </w:rPr>
        <w:t xml:space="preserve"> frame transmission in an EDCA TXOP).</w:t>
      </w:r>
    </w:p>
    <w:p w:rsidR="00FE4B00" w:rsidRPr="00FE4B00" w:rsidRDefault="00FE4B00" w:rsidP="0015488B">
      <w:pPr>
        <w:rPr>
          <w:rFonts w:ascii="Times New Roman" w:hAnsi="Times New Roman"/>
          <w:i/>
          <w:color w:val="000000" w:themeColor="text1"/>
          <w:sz w:val="18"/>
        </w:rPr>
      </w:pPr>
    </w:p>
    <w:p w:rsidR="0015488B" w:rsidRPr="00C34E3C" w:rsidRDefault="00FE4B00" w:rsidP="0015488B">
      <w:pPr>
        <w:rPr>
          <w:rFonts w:ascii="Times New Roman" w:hAnsi="Times New Roman"/>
          <w:color w:val="000000" w:themeColor="text1"/>
        </w:rPr>
      </w:pPr>
      <w:r>
        <w:rPr>
          <w:rFonts w:ascii="Times New Roman" w:hAnsi="Times New Roman"/>
          <w:color w:val="000000" w:themeColor="text1"/>
        </w:rPr>
        <w:t>Moreover, n</w:t>
      </w:r>
      <w:r w:rsidR="0015488B" w:rsidRPr="00C34E3C">
        <w:rPr>
          <w:rFonts w:ascii="Times New Roman" w:hAnsi="Times New Roman"/>
          <w:color w:val="000000" w:themeColor="text1"/>
        </w:rPr>
        <w:t xml:space="preserve">ote that 802.11n rules allow to start a TXOP with RTS/CTS and transmit multiple frames during the TXOP; </w:t>
      </w:r>
      <w:r w:rsidR="00C0437F" w:rsidRPr="00C34E3C">
        <w:rPr>
          <w:rFonts w:ascii="Times New Roman" w:hAnsi="Times New Roman"/>
          <w:color w:val="000000" w:themeColor="text1"/>
        </w:rPr>
        <w:t>t</w:t>
      </w:r>
      <w:r w:rsidR="0015488B" w:rsidRPr="00C34E3C">
        <w:rPr>
          <w:rFonts w:ascii="Times New Roman" w:hAnsi="Times New Roman"/>
          <w:color w:val="000000" w:themeColor="text1"/>
        </w:rPr>
        <w:t xml:space="preserve">he multiple frames can be addressed to different STAs and those STAs may </w:t>
      </w:r>
      <w:r w:rsidR="00593C3C">
        <w:rPr>
          <w:rFonts w:ascii="Times New Roman" w:hAnsi="Times New Roman"/>
          <w:color w:val="000000" w:themeColor="text1"/>
        </w:rPr>
        <w:t xml:space="preserve">send immediate </w:t>
      </w:r>
      <w:r w:rsidR="0015488B" w:rsidRPr="00C34E3C">
        <w:rPr>
          <w:rFonts w:ascii="Times New Roman" w:hAnsi="Times New Roman"/>
          <w:color w:val="000000" w:themeColor="text1"/>
        </w:rPr>
        <w:t xml:space="preserve">reply </w:t>
      </w:r>
      <w:r w:rsidR="00593C3C">
        <w:rPr>
          <w:rFonts w:ascii="Times New Roman" w:hAnsi="Times New Roman"/>
          <w:color w:val="000000" w:themeColor="text1"/>
        </w:rPr>
        <w:t>frames</w:t>
      </w:r>
      <w:r w:rsidR="0015488B" w:rsidRPr="00C34E3C">
        <w:rPr>
          <w:rFonts w:ascii="Times New Roman" w:hAnsi="Times New Roman"/>
          <w:color w:val="000000" w:themeColor="text1"/>
        </w:rPr>
        <w:t xml:space="preserve">; </w:t>
      </w:r>
      <w:r w:rsidR="00C0437F" w:rsidRPr="00C34E3C">
        <w:rPr>
          <w:rFonts w:ascii="Times New Roman" w:hAnsi="Times New Roman"/>
          <w:color w:val="000000" w:themeColor="text1"/>
        </w:rPr>
        <w:t>t</w:t>
      </w:r>
      <w:r w:rsidR="0015488B" w:rsidRPr="00C34E3C">
        <w:rPr>
          <w:rFonts w:ascii="Times New Roman" w:hAnsi="Times New Roman"/>
          <w:color w:val="000000" w:themeColor="text1"/>
        </w:rPr>
        <w:t>hat is no different than a TXOP i</w:t>
      </w:r>
      <w:r w:rsidR="00C0437F" w:rsidRPr="00C34E3C">
        <w:rPr>
          <w:rFonts w:ascii="Times New Roman" w:hAnsi="Times New Roman"/>
          <w:color w:val="000000" w:themeColor="text1"/>
        </w:rPr>
        <w:t>ncluding a MU-MIMO transmission</w:t>
      </w:r>
      <w:r w:rsidR="0015488B" w:rsidRPr="00C34E3C">
        <w:rPr>
          <w:rFonts w:ascii="Times New Roman" w:hAnsi="Times New Roman"/>
          <w:color w:val="000000" w:themeColor="text1"/>
        </w:rPr>
        <w:t>. In fact, in MU-MIMO transmission the PPDU is addressed to multiple STAs, one STA might reply immediately, and then AP may send BAR to a different STA, which replies with a BA, etc…</w:t>
      </w:r>
    </w:p>
    <w:p w:rsidR="00036DCC" w:rsidRPr="00C34E3C" w:rsidRDefault="0015488B" w:rsidP="00FE4B00">
      <w:pPr>
        <w:rPr>
          <w:rFonts w:ascii="Times New Roman" w:hAnsi="Times New Roman"/>
          <w:color w:val="000000" w:themeColor="text1"/>
        </w:rPr>
      </w:pPr>
      <w:r w:rsidRPr="00C34E3C">
        <w:rPr>
          <w:rFonts w:ascii="Times New Roman" w:hAnsi="Times New Roman"/>
          <w:color w:val="000000" w:themeColor="text1"/>
        </w:rPr>
        <w:t xml:space="preserve">The new </w:t>
      </w:r>
      <w:r w:rsidR="00FE4B00">
        <w:rPr>
          <w:rFonts w:ascii="Times New Roman" w:hAnsi="Times New Roman"/>
          <w:color w:val="000000" w:themeColor="text1"/>
        </w:rPr>
        <w:t xml:space="preserve">proposed </w:t>
      </w:r>
      <w:r w:rsidRPr="00C34E3C">
        <w:rPr>
          <w:rFonts w:ascii="Times New Roman" w:hAnsi="Times New Roman"/>
          <w:color w:val="000000" w:themeColor="text1"/>
        </w:rPr>
        <w:t>protocol would imply additional overhead and complexity</w:t>
      </w:r>
      <w:r w:rsidR="00580A83" w:rsidRPr="00C34E3C">
        <w:rPr>
          <w:rFonts w:ascii="Times New Roman" w:hAnsi="Times New Roman"/>
          <w:color w:val="000000" w:themeColor="text1"/>
        </w:rPr>
        <w:t xml:space="preserve"> with no proven </w:t>
      </w:r>
      <w:r w:rsidRPr="00C34E3C">
        <w:rPr>
          <w:rFonts w:ascii="Times New Roman" w:hAnsi="Times New Roman"/>
          <w:color w:val="000000" w:themeColor="text1"/>
        </w:rPr>
        <w:t>benefit for MU-MIMO</w:t>
      </w:r>
      <w:r w:rsidR="00580A83" w:rsidRPr="00C34E3C">
        <w:rPr>
          <w:rFonts w:ascii="Times New Roman" w:hAnsi="Times New Roman"/>
          <w:color w:val="000000" w:themeColor="text1"/>
        </w:rPr>
        <w:t>.</w:t>
      </w:r>
    </w:p>
    <w:sectPr w:rsidR="00036DCC" w:rsidRPr="00C34E3C" w:rsidSect="00F0434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93" w:rsidRDefault="001A1F93" w:rsidP="00570894">
      <w:pPr>
        <w:spacing w:after="0" w:line="240" w:lineRule="auto"/>
      </w:pPr>
      <w:r>
        <w:separator/>
      </w:r>
    </w:p>
  </w:endnote>
  <w:endnote w:type="continuationSeparator" w:id="0">
    <w:p w:rsidR="001A1F93" w:rsidRDefault="001A1F93"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93" w:rsidRDefault="001A1F93" w:rsidP="00570894">
      <w:pPr>
        <w:spacing w:after="0" w:line="240" w:lineRule="auto"/>
      </w:pPr>
      <w:r>
        <w:separator/>
      </w:r>
    </w:p>
  </w:footnote>
  <w:footnote w:type="continuationSeparator" w:id="0">
    <w:p w:rsidR="001A1F93" w:rsidRDefault="001A1F93"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D0" w:rsidRPr="00EA1AFC" w:rsidRDefault="005154D0" w:rsidP="00EA1AFC">
    <w:pPr>
      <w:pStyle w:val="Header"/>
      <w:tabs>
        <w:tab w:val="center" w:pos="4680"/>
        <w:tab w:val="right" w:pos="9360"/>
      </w:tabs>
      <w:jc w:val="both"/>
      <w:rPr>
        <w:rFonts w:ascii="Times New Roman" w:hAnsi="Times New Roman"/>
        <w:sz w:val="28"/>
      </w:rPr>
    </w:pPr>
    <w:r>
      <w:rPr>
        <w:rFonts w:ascii="Times New Roman" w:hAnsi="Times New Roman"/>
        <w:sz w:val="28"/>
        <w:lang w:eastAsia="ko-KR"/>
      </w:rPr>
      <w:t>March</w:t>
    </w:r>
    <w:r>
      <w:rPr>
        <w:rFonts w:ascii="Times New Roman" w:hAnsi="Times New Roman"/>
        <w:sz w:val="28"/>
      </w:rPr>
      <w:t xml:space="preserve"> 201</w:t>
    </w:r>
    <w:r>
      <w:rPr>
        <w:rFonts w:ascii="Times New Roman" w:hAnsi="Times New Roman"/>
        <w:sz w:val="28"/>
        <w:lang w:eastAsia="ko-KR"/>
      </w:rPr>
      <w:t>2</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Pr>
          <w:rFonts w:ascii="Times New Roman" w:hAnsi="Times New Roman"/>
          <w:sz w:val="28"/>
        </w:rPr>
        <w:t>doc.: IEEE 802</w:t>
      </w:r>
      <w:r w:rsidR="00A12E0F">
        <w:rPr>
          <w:rFonts w:ascii="Times New Roman" w:hAnsi="Times New Roman"/>
          <w:sz w:val="28"/>
        </w:rPr>
        <w:t>.11-12</w:t>
      </w:r>
      <w:r>
        <w:rPr>
          <w:rFonts w:ascii="Times New Roman" w:hAnsi="Times New Roman"/>
          <w:sz w:val="28"/>
        </w:rPr>
        <w:t>/</w:t>
      </w:r>
      <w:r>
        <w:rPr>
          <w:rFonts w:ascii="Times New Roman" w:hAnsi="Times New Roman"/>
          <w:sz w:val="28"/>
          <w:lang w:eastAsia="ko-KR"/>
        </w:rPr>
        <w:t>0</w:t>
      </w:r>
      <w:r w:rsidR="00A12E0F">
        <w:rPr>
          <w:rFonts w:ascii="Times New Roman" w:hAnsi="Times New Roman"/>
          <w:sz w:val="28"/>
          <w:lang w:eastAsia="ko-KR"/>
        </w:rPr>
        <w:t>322</w:t>
      </w:r>
      <w:r>
        <w:rPr>
          <w:rFonts w:ascii="Times New Roman" w:hAnsi="Times New Roman"/>
          <w:sz w:val="28"/>
          <w:lang w:eastAsia="ko-KR"/>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86AE0"/>
    <w:multiLevelType w:val="hybridMultilevel"/>
    <w:tmpl w:val="AC4EBA04"/>
    <w:lvl w:ilvl="0" w:tplc="A648A730">
      <w:start w:val="1"/>
      <w:numFmt w:val="bullet"/>
      <w:lvlText w:val="•"/>
      <w:lvlJc w:val="left"/>
      <w:pPr>
        <w:tabs>
          <w:tab w:val="num" w:pos="720"/>
        </w:tabs>
        <w:ind w:left="720" w:hanging="360"/>
      </w:pPr>
      <w:rPr>
        <w:rFonts w:ascii="Times New Roman" w:hAnsi="Times New Roman" w:hint="default"/>
      </w:rPr>
    </w:lvl>
    <w:lvl w:ilvl="1" w:tplc="6B423B3C">
      <w:start w:val="972"/>
      <w:numFmt w:val="bullet"/>
      <w:lvlText w:val="–"/>
      <w:lvlJc w:val="left"/>
      <w:pPr>
        <w:tabs>
          <w:tab w:val="num" w:pos="1440"/>
        </w:tabs>
        <w:ind w:left="1440" w:hanging="360"/>
      </w:pPr>
      <w:rPr>
        <w:rFonts w:ascii="Times New Roman" w:hAnsi="Times New Roman" w:hint="default"/>
      </w:rPr>
    </w:lvl>
    <w:lvl w:ilvl="2" w:tplc="D0AE1AE0" w:tentative="1">
      <w:start w:val="1"/>
      <w:numFmt w:val="bullet"/>
      <w:lvlText w:val="•"/>
      <w:lvlJc w:val="left"/>
      <w:pPr>
        <w:tabs>
          <w:tab w:val="num" w:pos="2160"/>
        </w:tabs>
        <w:ind w:left="2160" w:hanging="360"/>
      </w:pPr>
      <w:rPr>
        <w:rFonts w:ascii="Times New Roman" w:hAnsi="Times New Roman" w:hint="default"/>
      </w:rPr>
    </w:lvl>
    <w:lvl w:ilvl="3" w:tplc="5A7E1BC2" w:tentative="1">
      <w:start w:val="1"/>
      <w:numFmt w:val="bullet"/>
      <w:lvlText w:val="•"/>
      <w:lvlJc w:val="left"/>
      <w:pPr>
        <w:tabs>
          <w:tab w:val="num" w:pos="2880"/>
        </w:tabs>
        <w:ind w:left="2880" w:hanging="360"/>
      </w:pPr>
      <w:rPr>
        <w:rFonts w:ascii="Times New Roman" w:hAnsi="Times New Roman" w:hint="default"/>
      </w:rPr>
    </w:lvl>
    <w:lvl w:ilvl="4" w:tplc="6B2AB2DE" w:tentative="1">
      <w:start w:val="1"/>
      <w:numFmt w:val="bullet"/>
      <w:lvlText w:val="•"/>
      <w:lvlJc w:val="left"/>
      <w:pPr>
        <w:tabs>
          <w:tab w:val="num" w:pos="3600"/>
        </w:tabs>
        <w:ind w:left="3600" w:hanging="360"/>
      </w:pPr>
      <w:rPr>
        <w:rFonts w:ascii="Times New Roman" w:hAnsi="Times New Roman" w:hint="default"/>
      </w:rPr>
    </w:lvl>
    <w:lvl w:ilvl="5" w:tplc="9496C9C8" w:tentative="1">
      <w:start w:val="1"/>
      <w:numFmt w:val="bullet"/>
      <w:lvlText w:val="•"/>
      <w:lvlJc w:val="left"/>
      <w:pPr>
        <w:tabs>
          <w:tab w:val="num" w:pos="4320"/>
        </w:tabs>
        <w:ind w:left="4320" w:hanging="360"/>
      </w:pPr>
      <w:rPr>
        <w:rFonts w:ascii="Times New Roman" w:hAnsi="Times New Roman" w:hint="default"/>
      </w:rPr>
    </w:lvl>
    <w:lvl w:ilvl="6" w:tplc="7C868E3E" w:tentative="1">
      <w:start w:val="1"/>
      <w:numFmt w:val="bullet"/>
      <w:lvlText w:val="•"/>
      <w:lvlJc w:val="left"/>
      <w:pPr>
        <w:tabs>
          <w:tab w:val="num" w:pos="5040"/>
        </w:tabs>
        <w:ind w:left="5040" w:hanging="360"/>
      </w:pPr>
      <w:rPr>
        <w:rFonts w:ascii="Times New Roman" w:hAnsi="Times New Roman" w:hint="default"/>
      </w:rPr>
    </w:lvl>
    <w:lvl w:ilvl="7" w:tplc="68B2DE9C" w:tentative="1">
      <w:start w:val="1"/>
      <w:numFmt w:val="bullet"/>
      <w:lvlText w:val="•"/>
      <w:lvlJc w:val="left"/>
      <w:pPr>
        <w:tabs>
          <w:tab w:val="num" w:pos="5760"/>
        </w:tabs>
        <w:ind w:left="5760" w:hanging="360"/>
      </w:pPr>
      <w:rPr>
        <w:rFonts w:ascii="Times New Roman" w:hAnsi="Times New Roman" w:hint="default"/>
      </w:rPr>
    </w:lvl>
    <w:lvl w:ilvl="8" w:tplc="9BF476E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80D030B"/>
    <w:multiLevelType w:val="hybridMultilevel"/>
    <w:tmpl w:val="F16A2314"/>
    <w:lvl w:ilvl="0" w:tplc="FF0AEC42">
      <w:start w:val="1"/>
      <w:numFmt w:val="bullet"/>
      <w:lvlText w:val="•"/>
      <w:lvlJc w:val="left"/>
      <w:pPr>
        <w:tabs>
          <w:tab w:val="num" w:pos="360"/>
        </w:tabs>
        <w:ind w:left="360" w:hanging="360"/>
      </w:pPr>
      <w:rPr>
        <w:rFonts w:ascii="Times New Roman" w:hAnsi="Times New Roman" w:hint="default"/>
      </w:rPr>
    </w:lvl>
    <w:lvl w:ilvl="1" w:tplc="69042B3E">
      <w:start w:val="1020"/>
      <w:numFmt w:val="bullet"/>
      <w:lvlText w:val="–"/>
      <w:lvlJc w:val="left"/>
      <w:pPr>
        <w:tabs>
          <w:tab w:val="num" w:pos="1080"/>
        </w:tabs>
        <w:ind w:left="1080" w:hanging="360"/>
      </w:pPr>
      <w:rPr>
        <w:rFonts w:ascii="Times New Roman" w:hAnsi="Times New Roman" w:hint="default"/>
      </w:rPr>
    </w:lvl>
    <w:lvl w:ilvl="2" w:tplc="3B78EEE2" w:tentative="1">
      <w:start w:val="1"/>
      <w:numFmt w:val="bullet"/>
      <w:lvlText w:val="•"/>
      <w:lvlJc w:val="left"/>
      <w:pPr>
        <w:tabs>
          <w:tab w:val="num" w:pos="1800"/>
        </w:tabs>
        <w:ind w:left="1800" w:hanging="360"/>
      </w:pPr>
      <w:rPr>
        <w:rFonts w:ascii="Times New Roman" w:hAnsi="Times New Roman" w:hint="default"/>
      </w:rPr>
    </w:lvl>
    <w:lvl w:ilvl="3" w:tplc="D9567A14" w:tentative="1">
      <w:start w:val="1"/>
      <w:numFmt w:val="bullet"/>
      <w:lvlText w:val="•"/>
      <w:lvlJc w:val="left"/>
      <w:pPr>
        <w:tabs>
          <w:tab w:val="num" w:pos="2520"/>
        </w:tabs>
        <w:ind w:left="2520" w:hanging="360"/>
      </w:pPr>
      <w:rPr>
        <w:rFonts w:ascii="Times New Roman" w:hAnsi="Times New Roman" w:hint="default"/>
      </w:rPr>
    </w:lvl>
    <w:lvl w:ilvl="4" w:tplc="E65299E2" w:tentative="1">
      <w:start w:val="1"/>
      <w:numFmt w:val="bullet"/>
      <w:lvlText w:val="•"/>
      <w:lvlJc w:val="left"/>
      <w:pPr>
        <w:tabs>
          <w:tab w:val="num" w:pos="3240"/>
        </w:tabs>
        <w:ind w:left="3240" w:hanging="360"/>
      </w:pPr>
      <w:rPr>
        <w:rFonts w:ascii="Times New Roman" w:hAnsi="Times New Roman" w:hint="default"/>
      </w:rPr>
    </w:lvl>
    <w:lvl w:ilvl="5" w:tplc="E02C7280" w:tentative="1">
      <w:start w:val="1"/>
      <w:numFmt w:val="bullet"/>
      <w:lvlText w:val="•"/>
      <w:lvlJc w:val="left"/>
      <w:pPr>
        <w:tabs>
          <w:tab w:val="num" w:pos="3960"/>
        </w:tabs>
        <w:ind w:left="3960" w:hanging="360"/>
      </w:pPr>
      <w:rPr>
        <w:rFonts w:ascii="Times New Roman" w:hAnsi="Times New Roman" w:hint="default"/>
      </w:rPr>
    </w:lvl>
    <w:lvl w:ilvl="6" w:tplc="F2B6D078" w:tentative="1">
      <w:start w:val="1"/>
      <w:numFmt w:val="bullet"/>
      <w:lvlText w:val="•"/>
      <w:lvlJc w:val="left"/>
      <w:pPr>
        <w:tabs>
          <w:tab w:val="num" w:pos="4680"/>
        </w:tabs>
        <w:ind w:left="4680" w:hanging="360"/>
      </w:pPr>
      <w:rPr>
        <w:rFonts w:ascii="Times New Roman" w:hAnsi="Times New Roman" w:hint="default"/>
      </w:rPr>
    </w:lvl>
    <w:lvl w:ilvl="7" w:tplc="41FCD542" w:tentative="1">
      <w:start w:val="1"/>
      <w:numFmt w:val="bullet"/>
      <w:lvlText w:val="•"/>
      <w:lvlJc w:val="left"/>
      <w:pPr>
        <w:tabs>
          <w:tab w:val="num" w:pos="5400"/>
        </w:tabs>
        <w:ind w:left="5400" w:hanging="360"/>
      </w:pPr>
      <w:rPr>
        <w:rFonts w:ascii="Times New Roman" w:hAnsi="Times New Roman" w:hint="default"/>
      </w:rPr>
    </w:lvl>
    <w:lvl w:ilvl="8" w:tplc="D22A4A1E"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D73E31"/>
    <w:multiLevelType w:val="hybridMultilevel"/>
    <w:tmpl w:val="3B684EF4"/>
    <w:lvl w:ilvl="0" w:tplc="56020CFA">
      <w:start w:val="1"/>
      <w:numFmt w:val="bullet"/>
      <w:lvlText w:val="•"/>
      <w:lvlJc w:val="left"/>
      <w:pPr>
        <w:tabs>
          <w:tab w:val="num" w:pos="360"/>
        </w:tabs>
        <w:ind w:left="360" w:hanging="360"/>
      </w:pPr>
      <w:rPr>
        <w:rFonts w:ascii="Times New Roman" w:hAnsi="Times New Roman" w:hint="default"/>
      </w:rPr>
    </w:lvl>
    <w:lvl w:ilvl="1" w:tplc="40DC9A60">
      <w:start w:val="1025"/>
      <w:numFmt w:val="bullet"/>
      <w:lvlText w:val="–"/>
      <w:lvlJc w:val="left"/>
      <w:pPr>
        <w:tabs>
          <w:tab w:val="num" w:pos="1080"/>
        </w:tabs>
        <w:ind w:left="1080" w:hanging="360"/>
      </w:pPr>
      <w:rPr>
        <w:rFonts w:ascii="Times New Roman" w:hAnsi="Times New Roman" w:hint="default"/>
      </w:rPr>
    </w:lvl>
    <w:lvl w:ilvl="2" w:tplc="BA0CFA60">
      <w:start w:val="1025"/>
      <w:numFmt w:val="bullet"/>
      <w:lvlText w:val="•"/>
      <w:lvlJc w:val="left"/>
      <w:pPr>
        <w:tabs>
          <w:tab w:val="num" w:pos="1800"/>
        </w:tabs>
        <w:ind w:left="1800" w:hanging="360"/>
      </w:pPr>
      <w:rPr>
        <w:rFonts w:ascii="Times New Roman" w:hAnsi="Times New Roman" w:hint="default"/>
      </w:rPr>
    </w:lvl>
    <w:lvl w:ilvl="3" w:tplc="BD52813A" w:tentative="1">
      <w:start w:val="1"/>
      <w:numFmt w:val="bullet"/>
      <w:lvlText w:val="•"/>
      <w:lvlJc w:val="left"/>
      <w:pPr>
        <w:tabs>
          <w:tab w:val="num" w:pos="2520"/>
        </w:tabs>
        <w:ind w:left="2520" w:hanging="360"/>
      </w:pPr>
      <w:rPr>
        <w:rFonts w:ascii="Times New Roman" w:hAnsi="Times New Roman" w:hint="default"/>
      </w:rPr>
    </w:lvl>
    <w:lvl w:ilvl="4" w:tplc="24E03082" w:tentative="1">
      <w:start w:val="1"/>
      <w:numFmt w:val="bullet"/>
      <w:lvlText w:val="•"/>
      <w:lvlJc w:val="left"/>
      <w:pPr>
        <w:tabs>
          <w:tab w:val="num" w:pos="3240"/>
        </w:tabs>
        <w:ind w:left="3240" w:hanging="360"/>
      </w:pPr>
      <w:rPr>
        <w:rFonts w:ascii="Times New Roman" w:hAnsi="Times New Roman" w:hint="default"/>
      </w:rPr>
    </w:lvl>
    <w:lvl w:ilvl="5" w:tplc="443C0256" w:tentative="1">
      <w:start w:val="1"/>
      <w:numFmt w:val="bullet"/>
      <w:lvlText w:val="•"/>
      <w:lvlJc w:val="left"/>
      <w:pPr>
        <w:tabs>
          <w:tab w:val="num" w:pos="3960"/>
        </w:tabs>
        <w:ind w:left="3960" w:hanging="360"/>
      </w:pPr>
      <w:rPr>
        <w:rFonts w:ascii="Times New Roman" w:hAnsi="Times New Roman" w:hint="default"/>
      </w:rPr>
    </w:lvl>
    <w:lvl w:ilvl="6" w:tplc="DE8A046E" w:tentative="1">
      <w:start w:val="1"/>
      <w:numFmt w:val="bullet"/>
      <w:lvlText w:val="•"/>
      <w:lvlJc w:val="left"/>
      <w:pPr>
        <w:tabs>
          <w:tab w:val="num" w:pos="4680"/>
        </w:tabs>
        <w:ind w:left="4680" w:hanging="360"/>
      </w:pPr>
      <w:rPr>
        <w:rFonts w:ascii="Times New Roman" w:hAnsi="Times New Roman" w:hint="default"/>
      </w:rPr>
    </w:lvl>
    <w:lvl w:ilvl="7" w:tplc="30A0E390" w:tentative="1">
      <w:start w:val="1"/>
      <w:numFmt w:val="bullet"/>
      <w:lvlText w:val="•"/>
      <w:lvlJc w:val="left"/>
      <w:pPr>
        <w:tabs>
          <w:tab w:val="num" w:pos="5400"/>
        </w:tabs>
        <w:ind w:left="5400" w:hanging="360"/>
      </w:pPr>
      <w:rPr>
        <w:rFonts w:ascii="Times New Roman" w:hAnsi="Times New Roman" w:hint="default"/>
      </w:rPr>
    </w:lvl>
    <w:lvl w:ilvl="8" w:tplc="B8809FF4" w:tentative="1">
      <w:start w:val="1"/>
      <w:numFmt w:val="bullet"/>
      <w:lvlText w:val="•"/>
      <w:lvlJc w:val="left"/>
      <w:pPr>
        <w:tabs>
          <w:tab w:val="num" w:pos="6120"/>
        </w:tabs>
        <w:ind w:left="6120" w:hanging="360"/>
      </w:pPr>
      <w:rPr>
        <w:rFonts w:ascii="Times New Roman" w:hAnsi="Times New Roman" w:hint="default"/>
      </w:rPr>
    </w:lvl>
  </w:abstractNum>
  <w:abstractNum w:abstractNumId="19">
    <w:nsid w:val="3D9533C4"/>
    <w:multiLevelType w:val="hybridMultilevel"/>
    <w:tmpl w:val="4D9A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63DB4"/>
    <w:multiLevelType w:val="hybridMultilevel"/>
    <w:tmpl w:val="C7F231B2"/>
    <w:lvl w:ilvl="0" w:tplc="0240BC02">
      <w:start w:val="1"/>
      <w:numFmt w:val="bullet"/>
      <w:lvlText w:val="•"/>
      <w:lvlJc w:val="left"/>
      <w:pPr>
        <w:tabs>
          <w:tab w:val="num" w:pos="720"/>
        </w:tabs>
        <w:ind w:left="720" w:hanging="360"/>
      </w:pPr>
      <w:rPr>
        <w:rFonts w:ascii="Times New Roman" w:hAnsi="Times New Roman" w:hint="default"/>
      </w:rPr>
    </w:lvl>
    <w:lvl w:ilvl="1" w:tplc="2E52498C">
      <w:start w:val="972"/>
      <w:numFmt w:val="bullet"/>
      <w:lvlText w:val="–"/>
      <w:lvlJc w:val="left"/>
      <w:pPr>
        <w:tabs>
          <w:tab w:val="num" w:pos="1440"/>
        </w:tabs>
        <w:ind w:left="1440" w:hanging="360"/>
      </w:pPr>
      <w:rPr>
        <w:rFonts w:ascii="Times New Roman" w:hAnsi="Times New Roman" w:hint="default"/>
      </w:rPr>
    </w:lvl>
    <w:lvl w:ilvl="2" w:tplc="02A6161A">
      <w:start w:val="972"/>
      <w:numFmt w:val="bullet"/>
      <w:lvlText w:val="•"/>
      <w:lvlJc w:val="left"/>
      <w:pPr>
        <w:tabs>
          <w:tab w:val="num" w:pos="2160"/>
        </w:tabs>
        <w:ind w:left="2160" w:hanging="360"/>
      </w:pPr>
      <w:rPr>
        <w:rFonts w:ascii="Times New Roman" w:hAnsi="Times New Roman" w:hint="default"/>
      </w:rPr>
    </w:lvl>
    <w:lvl w:ilvl="3" w:tplc="3A262BCA" w:tentative="1">
      <w:start w:val="1"/>
      <w:numFmt w:val="bullet"/>
      <w:lvlText w:val="•"/>
      <w:lvlJc w:val="left"/>
      <w:pPr>
        <w:tabs>
          <w:tab w:val="num" w:pos="2880"/>
        </w:tabs>
        <w:ind w:left="2880" w:hanging="360"/>
      </w:pPr>
      <w:rPr>
        <w:rFonts w:ascii="Times New Roman" w:hAnsi="Times New Roman" w:hint="default"/>
      </w:rPr>
    </w:lvl>
    <w:lvl w:ilvl="4" w:tplc="3D8EE29E" w:tentative="1">
      <w:start w:val="1"/>
      <w:numFmt w:val="bullet"/>
      <w:lvlText w:val="•"/>
      <w:lvlJc w:val="left"/>
      <w:pPr>
        <w:tabs>
          <w:tab w:val="num" w:pos="3600"/>
        </w:tabs>
        <w:ind w:left="3600" w:hanging="360"/>
      </w:pPr>
      <w:rPr>
        <w:rFonts w:ascii="Times New Roman" w:hAnsi="Times New Roman" w:hint="default"/>
      </w:rPr>
    </w:lvl>
    <w:lvl w:ilvl="5" w:tplc="7706C704" w:tentative="1">
      <w:start w:val="1"/>
      <w:numFmt w:val="bullet"/>
      <w:lvlText w:val="•"/>
      <w:lvlJc w:val="left"/>
      <w:pPr>
        <w:tabs>
          <w:tab w:val="num" w:pos="4320"/>
        </w:tabs>
        <w:ind w:left="4320" w:hanging="360"/>
      </w:pPr>
      <w:rPr>
        <w:rFonts w:ascii="Times New Roman" w:hAnsi="Times New Roman" w:hint="default"/>
      </w:rPr>
    </w:lvl>
    <w:lvl w:ilvl="6" w:tplc="58508E02" w:tentative="1">
      <w:start w:val="1"/>
      <w:numFmt w:val="bullet"/>
      <w:lvlText w:val="•"/>
      <w:lvlJc w:val="left"/>
      <w:pPr>
        <w:tabs>
          <w:tab w:val="num" w:pos="5040"/>
        </w:tabs>
        <w:ind w:left="5040" w:hanging="360"/>
      </w:pPr>
      <w:rPr>
        <w:rFonts w:ascii="Times New Roman" w:hAnsi="Times New Roman" w:hint="default"/>
      </w:rPr>
    </w:lvl>
    <w:lvl w:ilvl="7" w:tplc="7A5A5B32" w:tentative="1">
      <w:start w:val="1"/>
      <w:numFmt w:val="bullet"/>
      <w:lvlText w:val="•"/>
      <w:lvlJc w:val="left"/>
      <w:pPr>
        <w:tabs>
          <w:tab w:val="num" w:pos="5760"/>
        </w:tabs>
        <w:ind w:left="5760" w:hanging="360"/>
      </w:pPr>
      <w:rPr>
        <w:rFonts w:ascii="Times New Roman" w:hAnsi="Times New Roman" w:hint="default"/>
      </w:rPr>
    </w:lvl>
    <w:lvl w:ilvl="8" w:tplc="F88EFFB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E02028"/>
    <w:multiLevelType w:val="hybridMultilevel"/>
    <w:tmpl w:val="C1B84A48"/>
    <w:lvl w:ilvl="0" w:tplc="19B6A6E4">
      <w:start w:val="1"/>
      <w:numFmt w:val="bullet"/>
      <w:lvlText w:val="•"/>
      <w:lvlJc w:val="left"/>
      <w:pPr>
        <w:tabs>
          <w:tab w:val="num" w:pos="720"/>
        </w:tabs>
        <w:ind w:left="720" w:hanging="360"/>
      </w:pPr>
      <w:rPr>
        <w:rFonts w:ascii="Times New Roman" w:hAnsi="Times New Roman" w:hint="default"/>
      </w:rPr>
    </w:lvl>
    <w:lvl w:ilvl="1" w:tplc="FC7250F4">
      <w:start w:val="972"/>
      <w:numFmt w:val="bullet"/>
      <w:lvlText w:val="–"/>
      <w:lvlJc w:val="left"/>
      <w:pPr>
        <w:tabs>
          <w:tab w:val="num" w:pos="1440"/>
        </w:tabs>
        <w:ind w:left="1440" w:hanging="360"/>
      </w:pPr>
      <w:rPr>
        <w:rFonts w:ascii="Times New Roman" w:hAnsi="Times New Roman" w:hint="default"/>
      </w:rPr>
    </w:lvl>
    <w:lvl w:ilvl="2" w:tplc="3AE4B530" w:tentative="1">
      <w:start w:val="1"/>
      <w:numFmt w:val="bullet"/>
      <w:lvlText w:val="•"/>
      <w:lvlJc w:val="left"/>
      <w:pPr>
        <w:tabs>
          <w:tab w:val="num" w:pos="2160"/>
        </w:tabs>
        <w:ind w:left="2160" w:hanging="360"/>
      </w:pPr>
      <w:rPr>
        <w:rFonts w:ascii="Times New Roman" w:hAnsi="Times New Roman" w:hint="default"/>
      </w:rPr>
    </w:lvl>
    <w:lvl w:ilvl="3" w:tplc="7C08AA32" w:tentative="1">
      <w:start w:val="1"/>
      <w:numFmt w:val="bullet"/>
      <w:lvlText w:val="•"/>
      <w:lvlJc w:val="left"/>
      <w:pPr>
        <w:tabs>
          <w:tab w:val="num" w:pos="2880"/>
        </w:tabs>
        <w:ind w:left="2880" w:hanging="360"/>
      </w:pPr>
      <w:rPr>
        <w:rFonts w:ascii="Times New Roman" w:hAnsi="Times New Roman" w:hint="default"/>
      </w:rPr>
    </w:lvl>
    <w:lvl w:ilvl="4" w:tplc="BF7A4272" w:tentative="1">
      <w:start w:val="1"/>
      <w:numFmt w:val="bullet"/>
      <w:lvlText w:val="•"/>
      <w:lvlJc w:val="left"/>
      <w:pPr>
        <w:tabs>
          <w:tab w:val="num" w:pos="3600"/>
        </w:tabs>
        <w:ind w:left="3600" w:hanging="360"/>
      </w:pPr>
      <w:rPr>
        <w:rFonts w:ascii="Times New Roman" w:hAnsi="Times New Roman" w:hint="default"/>
      </w:rPr>
    </w:lvl>
    <w:lvl w:ilvl="5" w:tplc="9C0E53D0" w:tentative="1">
      <w:start w:val="1"/>
      <w:numFmt w:val="bullet"/>
      <w:lvlText w:val="•"/>
      <w:lvlJc w:val="left"/>
      <w:pPr>
        <w:tabs>
          <w:tab w:val="num" w:pos="4320"/>
        </w:tabs>
        <w:ind w:left="4320" w:hanging="360"/>
      </w:pPr>
      <w:rPr>
        <w:rFonts w:ascii="Times New Roman" w:hAnsi="Times New Roman" w:hint="default"/>
      </w:rPr>
    </w:lvl>
    <w:lvl w:ilvl="6" w:tplc="B07AD9EC" w:tentative="1">
      <w:start w:val="1"/>
      <w:numFmt w:val="bullet"/>
      <w:lvlText w:val="•"/>
      <w:lvlJc w:val="left"/>
      <w:pPr>
        <w:tabs>
          <w:tab w:val="num" w:pos="5040"/>
        </w:tabs>
        <w:ind w:left="5040" w:hanging="360"/>
      </w:pPr>
      <w:rPr>
        <w:rFonts w:ascii="Times New Roman" w:hAnsi="Times New Roman" w:hint="default"/>
      </w:rPr>
    </w:lvl>
    <w:lvl w:ilvl="7" w:tplc="B74443D8" w:tentative="1">
      <w:start w:val="1"/>
      <w:numFmt w:val="bullet"/>
      <w:lvlText w:val="•"/>
      <w:lvlJc w:val="left"/>
      <w:pPr>
        <w:tabs>
          <w:tab w:val="num" w:pos="5760"/>
        </w:tabs>
        <w:ind w:left="5760" w:hanging="360"/>
      </w:pPr>
      <w:rPr>
        <w:rFonts w:ascii="Times New Roman" w:hAnsi="Times New Roman" w:hint="default"/>
      </w:rPr>
    </w:lvl>
    <w:lvl w:ilvl="8" w:tplc="098C834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916DFD"/>
    <w:multiLevelType w:val="hybridMultilevel"/>
    <w:tmpl w:val="BAAE1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B5161D"/>
    <w:multiLevelType w:val="hybridMultilevel"/>
    <w:tmpl w:val="F45C210C"/>
    <w:lvl w:ilvl="0" w:tplc="53CC50FA">
      <w:start w:val="1"/>
      <w:numFmt w:val="bullet"/>
      <w:lvlText w:val="•"/>
      <w:lvlJc w:val="left"/>
      <w:pPr>
        <w:tabs>
          <w:tab w:val="num" w:pos="720"/>
        </w:tabs>
        <w:ind w:left="720" w:hanging="360"/>
      </w:pPr>
      <w:rPr>
        <w:rFonts w:ascii="Times New Roman" w:hAnsi="Times New Roman" w:hint="default"/>
      </w:rPr>
    </w:lvl>
    <w:lvl w:ilvl="1" w:tplc="2032993E">
      <w:start w:val="972"/>
      <w:numFmt w:val="bullet"/>
      <w:lvlText w:val="–"/>
      <w:lvlJc w:val="left"/>
      <w:pPr>
        <w:tabs>
          <w:tab w:val="num" w:pos="1440"/>
        </w:tabs>
        <w:ind w:left="1440" w:hanging="360"/>
      </w:pPr>
      <w:rPr>
        <w:rFonts w:ascii="Times New Roman" w:hAnsi="Times New Roman" w:hint="default"/>
      </w:rPr>
    </w:lvl>
    <w:lvl w:ilvl="2" w:tplc="8F7E78DC" w:tentative="1">
      <w:start w:val="1"/>
      <w:numFmt w:val="bullet"/>
      <w:lvlText w:val="•"/>
      <w:lvlJc w:val="left"/>
      <w:pPr>
        <w:tabs>
          <w:tab w:val="num" w:pos="2160"/>
        </w:tabs>
        <w:ind w:left="2160" w:hanging="360"/>
      </w:pPr>
      <w:rPr>
        <w:rFonts w:ascii="Times New Roman" w:hAnsi="Times New Roman" w:hint="default"/>
      </w:rPr>
    </w:lvl>
    <w:lvl w:ilvl="3" w:tplc="064AB2FC" w:tentative="1">
      <w:start w:val="1"/>
      <w:numFmt w:val="bullet"/>
      <w:lvlText w:val="•"/>
      <w:lvlJc w:val="left"/>
      <w:pPr>
        <w:tabs>
          <w:tab w:val="num" w:pos="2880"/>
        </w:tabs>
        <w:ind w:left="2880" w:hanging="360"/>
      </w:pPr>
      <w:rPr>
        <w:rFonts w:ascii="Times New Roman" w:hAnsi="Times New Roman" w:hint="default"/>
      </w:rPr>
    </w:lvl>
    <w:lvl w:ilvl="4" w:tplc="1BC00C30" w:tentative="1">
      <w:start w:val="1"/>
      <w:numFmt w:val="bullet"/>
      <w:lvlText w:val="•"/>
      <w:lvlJc w:val="left"/>
      <w:pPr>
        <w:tabs>
          <w:tab w:val="num" w:pos="3600"/>
        </w:tabs>
        <w:ind w:left="3600" w:hanging="360"/>
      </w:pPr>
      <w:rPr>
        <w:rFonts w:ascii="Times New Roman" w:hAnsi="Times New Roman" w:hint="default"/>
      </w:rPr>
    </w:lvl>
    <w:lvl w:ilvl="5" w:tplc="EA6CD994" w:tentative="1">
      <w:start w:val="1"/>
      <w:numFmt w:val="bullet"/>
      <w:lvlText w:val="•"/>
      <w:lvlJc w:val="left"/>
      <w:pPr>
        <w:tabs>
          <w:tab w:val="num" w:pos="4320"/>
        </w:tabs>
        <w:ind w:left="4320" w:hanging="360"/>
      </w:pPr>
      <w:rPr>
        <w:rFonts w:ascii="Times New Roman" w:hAnsi="Times New Roman" w:hint="default"/>
      </w:rPr>
    </w:lvl>
    <w:lvl w:ilvl="6" w:tplc="B69C2C10" w:tentative="1">
      <w:start w:val="1"/>
      <w:numFmt w:val="bullet"/>
      <w:lvlText w:val="•"/>
      <w:lvlJc w:val="left"/>
      <w:pPr>
        <w:tabs>
          <w:tab w:val="num" w:pos="5040"/>
        </w:tabs>
        <w:ind w:left="5040" w:hanging="360"/>
      </w:pPr>
      <w:rPr>
        <w:rFonts w:ascii="Times New Roman" w:hAnsi="Times New Roman" w:hint="default"/>
      </w:rPr>
    </w:lvl>
    <w:lvl w:ilvl="7" w:tplc="C0F4F74A" w:tentative="1">
      <w:start w:val="1"/>
      <w:numFmt w:val="bullet"/>
      <w:lvlText w:val="•"/>
      <w:lvlJc w:val="left"/>
      <w:pPr>
        <w:tabs>
          <w:tab w:val="num" w:pos="5760"/>
        </w:tabs>
        <w:ind w:left="5760" w:hanging="360"/>
      </w:pPr>
      <w:rPr>
        <w:rFonts w:ascii="Times New Roman" w:hAnsi="Times New Roman" w:hint="default"/>
      </w:rPr>
    </w:lvl>
    <w:lvl w:ilvl="8" w:tplc="58BC9C3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5"/>
  </w:num>
  <w:num w:numId="15">
    <w:abstractNumId w:val="14"/>
  </w:num>
  <w:num w:numId="16">
    <w:abstractNumId w:val="24"/>
  </w:num>
  <w:num w:numId="17">
    <w:abstractNumId w:val="21"/>
  </w:num>
  <w:num w:numId="18">
    <w:abstractNumId w:val="12"/>
  </w:num>
  <w:num w:numId="19">
    <w:abstractNumId w:val="19"/>
  </w:num>
  <w:num w:numId="20">
    <w:abstractNumId w:val="23"/>
  </w:num>
  <w:num w:numId="21">
    <w:abstractNumId w:val="18"/>
  </w:num>
  <w:num w:numId="22">
    <w:abstractNumId w:val="20"/>
  </w:num>
  <w:num w:numId="23">
    <w:abstractNumId w:val="22"/>
  </w:num>
  <w:num w:numId="24">
    <w:abstractNumId w:val="17"/>
  </w:num>
  <w:num w:numId="25">
    <w:abstractNumId w:val="16"/>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0C7235"/>
    <w:rsid w:val="00010C58"/>
    <w:rsid w:val="00013E5D"/>
    <w:rsid w:val="000152AD"/>
    <w:rsid w:val="000232B5"/>
    <w:rsid w:val="00024A8D"/>
    <w:rsid w:val="00026E2E"/>
    <w:rsid w:val="00036DCC"/>
    <w:rsid w:val="000406EF"/>
    <w:rsid w:val="00053703"/>
    <w:rsid w:val="00057E73"/>
    <w:rsid w:val="00075DB4"/>
    <w:rsid w:val="00080A60"/>
    <w:rsid w:val="000842F7"/>
    <w:rsid w:val="00085460"/>
    <w:rsid w:val="0008550E"/>
    <w:rsid w:val="000A1E47"/>
    <w:rsid w:val="000A7522"/>
    <w:rsid w:val="000B33D9"/>
    <w:rsid w:val="000B4D6C"/>
    <w:rsid w:val="000B4FB8"/>
    <w:rsid w:val="000B64B6"/>
    <w:rsid w:val="000B6D23"/>
    <w:rsid w:val="000B74EC"/>
    <w:rsid w:val="000C7235"/>
    <w:rsid w:val="000C7539"/>
    <w:rsid w:val="000E0DB7"/>
    <w:rsid w:val="000E557F"/>
    <w:rsid w:val="000F3168"/>
    <w:rsid w:val="00102182"/>
    <w:rsid w:val="00106985"/>
    <w:rsid w:val="001071A0"/>
    <w:rsid w:val="00107D97"/>
    <w:rsid w:val="00111C55"/>
    <w:rsid w:val="00112806"/>
    <w:rsid w:val="0011520D"/>
    <w:rsid w:val="00125A1D"/>
    <w:rsid w:val="00143A19"/>
    <w:rsid w:val="001460F4"/>
    <w:rsid w:val="0015488B"/>
    <w:rsid w:val="00156D69"/>
    <w:rsid w:val="00160EE7"/>
    <w:rsid w:val="001705AF"/>
    <w:rsid w:val="00170631"/>
    <w:rsid w:val="0017171D"/>
    <w:rsid w:val="00173AD0"/>
    <w:rsid w:val="001805AA"/>
    <w:rsid w:val="001825D2"/>
    <w:rsid w:val="001936DD"/>
    <w:rsid w:val="00193FD6"/>
    <w:rsid w:val="00195979"/>
    <w:rsid w:val="001A1F93"/>
    <w:rsid w:val="001A3B84"/>
    <w:rsid w:val="001A7089"/>
    <w:rsid w:val="001B4245"/>
    <w:rsid w:val="001B4C1E"/>
    <w:rsid w:val="001B591C"/>
    <w:rsid w:val="001B60FD"/>
    <w:rsid w:val="001C2593"/>
    <w:rsid w:val="001C70B5"/>
    <w:rsid w:val="001D3024"/>
    <w:rsid w:val="001D59F8"/>
    <w:rsid w:val="001D5A68"/>
    <w:rsid w:val="001D6555"/>
    <w:rsid w:val="001F1597"/>
    <w:rsid w:val="001F243E"/>
    <w:rsid w:val="0020445C"/>
    <w:rsid w:val="0021178E"/>
    <w:rsid w:val="00211F14"/>
    <w:rsid w:val="00211FA9"/>
    <w:rsid w:val="00220227"/>
    <w:rsid w:val="002335BB"/>
    <w:rsid w:val="00257F63"/>
    <w:rsid w:val="00263DBE"/>
    <w:rsid w:val="0026614E"/>
    <w:rsid w:val="00276540"/>
    <w:rsid w:val="00281F60"/>
    <w:rsid w:val="0028304F"/>
    <w:rsid w:val="002832BE"/>
    <w:rsid w:val="002866BF"/>
    <w:rsid w:val="002953AB"/>
    <w:rsid w:val="00295E92"/>
    <w:rsid w:val="00297FAF"/>
    <w:rsid w:val="002B2339"/>
    <w:rsid w:val="002C39B8"/>
    <w:rsid w:val="002D098C"/>
    <w:rsid w:val="002F4F6A"/>
    <w:rsid w:val="0030386C"/>
    <w:rsid w:val="003124D0"/>
    <w:rsid w:val="0031601B"/>
    <w:rsid w:val="0032047A"/>
    <w:rsid w:val="00322CCE"/>
    <w:rsid w:val="00331F7B"/>
    <w:rsid w:val="00344741"/>
    <w:rsid w:val="00354BCC"/>
    <w:rsid w:val="003571B4"/>
    <w:rsid w:val="003638DE"/>
    <w:rsid w:val="003768F2"/>
    <w:rsid w:val="003A4A7D"/>
    <w:rsid w:val="003B40EC"/>
    <w:rsid w:val="003C3A43"/>
    <w:rsid w:val="003C5D6B"/>
    <w:rsid w:val="003C775E"/>
    <w:rsid w:val="003D128E"/>
    <w:rsid w:val="003D6CFA"/>
    <w:rsid w:val="003D6D41"/>
    <w:rsid w:val="003E6D86"/>
    <w:rsid w:val="003E70D6"/>
    <w:rsid w:val="003F46A0"/>
    <w:rsid w:val="00410E1F"/>
    <w:rsid w:val="004113C8"/>
    <w:rsid w:val="00423F99"/>
    <w:rsid w:val="004524CA"/>
    <w:rsid w:val="00461407"/>
    <w:rsid w:val="00462930"/>
    <w:rsid w:val="00465B5E"/>
    <w:rsid w:val="0047083C"/>
    <w:rsid w:val="004724A5"/>
    <w:rsid w:val="00472C9B"/>
    <w:rsid w:val="0047301A"/>
    <w:rsid w:val="0047708F"/>
    <w:rsid w:val="00482762"/>
    <w:rsid w:val="00483B27"/>
    <w:rsid w:val="00494BFE"/>
    <w:rsid w:val="004A5C14"/>
    <w:rsid w:val="004B440B"/>
    <w:rsid w:val="004B4625"/>
    <w:rsid w:val="004C1504"/>
    <w:rsid w:val="004C19A8"/>
    <w:rsid w:val="004E54B2"/>
    <w:rsid w:val="004E7307"/>
    <w:rsid w:val="004F078E"/>
    <w:rsid w:val="00501FC2"/>
    <w:rsid w:val="00506159"/>
    <w:rsid w:val="005154D0"/>
    <w:rsid w:val="005227BC"/>
    <w:rsid w:val="00533083"/>
    <w:rsid w:val="00544647"/>
    <w:rsid w:val="00546719"/>
    <w:rsid w:val="00547B01"/>
    <w:rsid w:val="00552EBB"/>
    <w:rsid w:val="00555EA2"/>
    <w:rsid w:val="00564522"/>
    <w:rsid w:val="0056577C"/>
    <w:rsid w:val="00570894"/>
    <w:rsid w:val="00580A83"/>
    <w:rsid w:val="00583A5A"/>
    <w:rsid w:val="00587887"/>
    <w:rsid w:val="005911CD"/>
    <w:rsid w:val="00593C3C"/>
    <w:rsid w:val="0059776F"/>
    <w:rsid w:val="005A638B"/>
    <w:rsid w:val="005B1350"/>
    <w:rsid w:val="005B46ED"/>
    <w:rsid w:val="005C170B"/>
    <w:rsid w:val="005C2391"/>
    <w:rsid w:val="005C547E"/>
    <w:rsid w:val="005D6B72"/>
    <w:rsid w:val="005F2A42"/>
    <w:rsid w:val="005F4B6F"/>
    <w:rsid w:val="005F7258"/>
    <w:rsid w:val="006011CF"/>
    <w:rsid w:val="0060167E"/>
    <w:rsid w:val="00603DFB"/>
    <w:rsid w:val="00615137"/>
    <w:rsid w:val="00615D75"/>
    <w:rsid w:val="006360AA"/>
    <w:rsid w:val="006408A4"/>
    <w:rsid w:val="00672013"/>
    <w:rsid w:val="00672532"/>
    <w:rsid w:val="0067263B"/>
    <w:rsid w:val="0067474A"/>
    <w:rsid w:val="006831C9"/>
    <w:rsid w:val="00691DF5"/>
    <w:rsid w:val="00693024"/>
    <w:rsid w:val="00694801"/>
    <w:rsid w:val="006953C7"/>
    <w:rsid w:val="006A209E"/>
    <w:rsid w:val="006A62DB"/>
    <w:rsid w:val="006A6D19"/>
    <w:rsid w:val="006B1D69"/>
    <w:rsid w:val="006B4667"/>
    <w:rsid w:val="006C14A1"/>
    <w:rsid w:val="006C23D6"/>
    <w:rsid w:val="006C66E1"/>
    <w:rsid w:val="006D29AD"/>
    <w:rsid w:val="006E13A7"/>
    <w:rsid w:val="006E6138"/>
    <w:rsid w:val="006E648E"/>
    <w:rsid w:val="006F0D42"/>
    <w:rsid w:val="006F4D1A"/>
    <w:rsid w:val="00706E67"/>
    <w:rsid w:val="00720196"/>
    <w:rsid w:val="0072374D"/>
    <w:rsid w:val="0072630C"/>
    <w:rsid w:val="0073121F"/>
    <w:rsid w:val="0073326C"/>
    <w:rsid w:val="0073369D"/>
    <w:rsid w:val="007364A3"/>
    <w:rsid w:val="00737AA7"/>
    <w:rsid w:val="00747014"/>
    <w:rsid w:val="00747EBE"/>
    <w:rsid w:val="0075347D"/>
    <w:rsid w:val="00756CB7"/>
    <w:rsid w:val="00767A93"/>
    <w:rsid w:val="0078369F"/>
    <w:rsid w:val="0079648D"/>
    <w:rsid w:val="007978CA"/>
    <w:rsid w:val="007A3955"/>
    <w:rsid w:val="007A40ED"/>
    <w:rsid w:val="007A54B0"/>
    <w:rsid w:val="007A7242"/>
    <w:rsid w:val="007D0FA6"/>
    <w:rsid w:val="007E0076"/>
    <w:rsid w:val="007E1EDD"/>
    <w:rsid w:val="007F7160"/>
    <w:rsid w:val="0081359A"/>
    <w:rsid w:val="008142AC"/>
    <w:rsid w:val="00814BF6"/>
    <w:rsid w:val="008218D1"/>
    <w:rsid w:val="008235FA"/>
    <w:rsid w:val="00832242"/>
    <w:rsid w:val="0083231A"/>
    <w:rsid w:val="00834145"/>
    <w:rsid w:val="0083681D"/>
    <w:rsid w:val="0084230C"/>
    <w:rsid w:val="008456D7"/>
    <w:rsid w:val="008459F7"/>
    <w:rsid w:val="00850ADC"/>
    <w:rsid w:val="008531E1"/>
    <w:rsid w:val="008531EC"/>
    <w:rsid w:val="008658EF"/>
    <w:rsid w:val="008839EE"/>
    <w:rsid w:val="00886A6F"/>
    <w:rsid w:val="008A1449"/>
    <w:rsid w:val="008A2136"/>
    <w:rsid w:val="008A52A9"/>
    <w:rsid w:val="008A5B17"/>
    <w:rsid w:val="008B490D"/>
    <w:rsid w:val="008B5CB4"/>
    <w:rsid w:val="008C2B31"/>
    <w:rsid w:val="008C2F32"/>
    <w:rsid w:val="008C70C8"/>
    <w:rsid w:val="008D43F2"/>
    <w:rsid w:val="008E13C8"/>
    <w:rsid w:val="008E19A4"/>
    <w:rsid w:val="008E279D"/>
    <w:rsid w:val="008E4194"/>
    <w:rsid w:val="00903A1A"/>
    <w:rsid w:val="009071CB"/>
    <w:rsid w:val="009128DD"/>
    <w:rsid w:val="00913235"/>
    <w:rsid w:val="00915927"/>
    <w:rsid w:val="0091592E"/>
    <w:rsid w:val="0093652B"/>
    <w:rsid w:val="00942D8E"/>
    <w:rsid w:val="00955AE4"/>
    <w:rsid w:val="00960223"/>
    <w:rsid w:val="00963718"/>
    <w:rsid w:val="00964BFB"/>
    <w:rsid w:val="00966B55"/>
    <w:rsid w:val="00970CDC"/>
    <w:rsid w:val="00980585"/>
    <w:rsid w:val="009812AA"/>
    <w:rsid w:val="009818AE"/>
    <w:rsid w:val="009853D0"/>
    <w:rsid w:val="009907A9"/>
    <w:rsid w:val="009914F6"/>
    <w:rsid w:val="009B3F7E"/>
    <w:rsid w:val="009C5A46"/>
    <w:rsid w:val="009E3413"/>
    <w:rsid w:val="009E4ABC"/>
    <w:rsid w:val="009E7434"/>
    <w:rsid w:val="00A03DD8"/>
    <w:rsid w:val="00A046E4"/>
    <w:rsid w:val="00A12E0F"/>
    <w:rsid w:val="00A158F1"/>
    <w:rsid w:val="00A169DB"/>
    <w:rsid w:val="00A24D03"/>
    <w:rsid w:val="00A35078"/>
    <w:rsid w:val="00A3606E"/>
    <w:rsid w:val="00A3673C"/>
    <w:rsid w:val="00A500BB"/>
    <w:rsid w:val="00A504C3"/>
    <w:rsid w:val="00A613DB"/>
    <w:rsid w:val="00A6495B"/>
    <w:rsid w:val="00A65552"/>
    <w:rsid w:val="00A704D8"/>
    <w:rsid w:val="00A71650"/>
    <w:rsid w:val="00A73290"/>
    <w:rsid w:val="00A86023"/>
    <w:rsid w:val="00A90660"/>
    <w:rsid w:val="00A91947"/>
    <w:rsid w:val="00A95A84"/>
    <w:rsid w:val="00AB1B45"/>
    <w:rsid w:val="00AB21B8"/>
    <w:rsid w:val="00AB4FA1"/>
    <w:rsid w:val="00AD1979"/>
    <w:rsid w:val="00AD446A"/>
    <w:rsid w:val="00AE1EA5"/>
    <w:rsid w:val="00AF2806"/>
    <w:rsid w:val="00AF2FBC"/>
    <w:rsid w:val="00AF7ED9"/>
    <w:rsid w:val="00B107D6"/>
    <w:rsid w:val="00B1386B"/>
    <w:rsid w:val="00B20688"/>
    <w:rsid w:val="00B212AC"/>
    <w:rsid w:val="00B21F13"/>
    <w:rsid w:val="00B2769F"/>
    <w:rsid w:val="00B33C15"/>
    <w:rsid w:val="00B42105"/>
    <w:rsid w:val="00B630EA"/>
    <w:rsid w:val="00B65621"/>
    <w:rsid w:val="00B70BD8"/>
    <w:rsid w:val="00B7258A"/>
    <w:rsid w:val="00B732F7"/>
    <w:rsid w:val="00B73B12"/>
    <w:rsid w:val="00B92464"/>
    <w:rsid w:val="00BA4ED6"/>
    <w:rsid w:val="00BA6B9C"/>
    <w:rsid w:val="00BB09AA"/>
    <w:rsid w:val="00BB0CAF"/>
    <w:rsid w:val="00BB2C2F"/>
    <w:rsid w:val="00BC22A4"/>
    <w:rsid w:val="00BD3CB6"/>
    <w:rsid w:val="00BD4443"/>
    <w:rsid w:val="00BD6032"/>
    <w:rsid w:val="00BD687B"/>
    <w:rsid w:val="00BE10E0"/>
    <w:rsid w:val="00BE3487"/>
    <w:rsid w:val="00BF209C"/>
    <w:rsid w:val="00BF29CF"/>
    <w:rsid w:val="00C0437F"/>
    <w:rsid w:val="00C12EE2"/>
    <w:rsid w:val="00C164C2"/>
    <w:rsid w:val="00C20366"/>
    <w:rsid w:val="00C218B6"/>
    <w:rsid w:val="00C27FE4"/>
    <w:rsid w:val="00C34E3C"/>
    <w:rsid w:val="00C40FB3"/>
    <w:rsid w:val="00C5021E"/>
    <w:rsid w:val="00C53CAC"/>
    <w:rsid w:val="00C57AE9"/>
    <w:rsid w:val="00C618F4"/>
    <w:rsid w:val="00C6747F"/>
    <w:rsid w:val="00C74825"/>
    <w:rsid w:val="00C7547E"/>
    <w:rsid w:val="00C75F89"/>
    <w:rsid w:val="00C81757"/>
    <w:rsid w:val="00C83EB2"/>
    <w:rsid w:val="00C849F8"/>
    <w:rsid w:val="00C902F7"/>
    <w:rsid w:val="00C9436C"/>
    <w:rsid w:val="00C97754"/>
    <w:rsid w:val="00CA429A"/>
    <w:rsid w:val="00CB10B3"/>
    <w:rsid w:val="00CB1C6A"/>
    <w:rsid w:val="00CB7694"/>
    <w:rsid w:val="00CC2F08"/>
    <w:rsid w:val="00CE5373"/>
    <w:rsid w:val="00CE6C52"/>
    <w:rsid w:val="00CE7085"/>
    <w:rsid w:val="00CF24AB"/>
    <w:rsid w:val="00CF4437"/>
    <w:rsid w:val="00D0045F"/>
    <w:rsid w:val="00D040F1"/>
    <w:rsid w:val="00D21E4A"/>
    <w:rsid w:val="00D35292"/>
    <w:rsid w:val="00D40974"/>
    <w:rsid w:val="00D44157"/>
    <w:rsid w:val="00D45A4E"/>
    <w:rsid w:val="00D46A95"/>
    <w:rsid w:val="00D52650"/>
    <w:rsid w:val="00D56F9C"/>
    <w:rsid w:val="00D609BA"/>
    <w:rsid w:val="00D609F9"/>
    <w:rsid w:val="00D6101A"/>
    <w:rsid w:val="00D621AD"/>
    <w:rsid w:val="00D62410"/>
    <w:rsid w:val="00D73F89"/>
    <w:rsid w:val="00D77F00"/>
    <w:rsid w:val="00D90D13"/>
    <w:rsid w:val="00D92C2C"/>
    <w:rsid w:val="00D92E40"/>
    <w:rsid w:val="00D944D9"/>
    <w:rsid w:val="00DB79A5"/>
    <w:rsid w:val="00DC3439"/>
    <w:rsid w:val="00DC5DB6"/>
    <w:rsid w:val="00DD6C25"/>
    <w:rsid w:val="00DF02FC"/>
    <w:rsid w:val="00DF4A28"/>
    <w:rsid w:val="00DF7248"/>
    <w:rsid w:val="00E02C84"/>
    <w:rsid w:val="00E138DA"/>
    <w:rsid w:val="00E2086C"/>
    <w:rsid w:val="00E225C7"/>
    <w:rsid w:val="00E339CC"/>
    <w:rsid w:val="00E36A9B"/>
    <w:rsid w:val="00E46C2F"/>
    <w:rsid w:val="00E47411"/>
    <w:rsid w:val="00E53178"/>
    <w:rsid w:val="00E55A01"/>
    <w:rsid w:val="00E61B48"/>
    <w:rsid w:val="00E70644"/>
    <w:rsid w:val="00E80801"/>
    <w:rsid w:val="00E961EF"/>
    <w:rsid w:val="00E97FF8"/>
    <w:rsid w:val="00EA17A5"/>
    <w:rsid w:val="00EA1AFC"/>
    <w:rsid w:val="00EA21F5"/>
    <w:rsid w:val="00EA32C6"/>
    <w:rsid w:val="00EB041F"/>
    <w:rsid w:val="00EB7BCC"/>
    <w:rsid w:val="00EC13F3"/>
    <w:rsid w:val="00EC1E0D"/>
    <w:rsid w:val="00ED7C63"/>
    <w:rsid w:val="00EE096D"/>
    <w:rsid w:val="00EF0A8B"/>
    <w:rsid w:val="00EF15E6"/>
    <w:rsid w:val="00EF1E0E"/>
    <w:rsid w:val="00EF2CE3"/>
    <w:rsid w:val="00EF6947"/>
    <w:rsid w:val="00EF74FB"/>
    <w:rsid w:val="00EF7B3A"/>
    <w:rsid w:val="00EF7C30"/>
    <w:rsid w:val="00F0434C"/>
    <w:rsid w:val="00F05C07"/>
    <w:rsid w:val="00F07E2B"/>
    <w:rsid w:val="00F22F4C"/>
    <w:rsid w:val="00F31DFA"/>
    <w:rsid w:val="00F354EC"/>
    <w:rsid w:val="00F35D47"/>
    <w:rsid w:val="00F36B24"/>
    <w:rsid w:val="00F375DB"/>
    <w:rsid w:val="00F422E7"/>
    <w:rsid w:val="00F43DBF"/>
    <w:rsid w:val="00F551C6"/>
    <w:rsid w:val="00F62895"/>
    <w:rsid w:val="00F62A15"/>
    <w:rsid w:val="00F638AF"/>
    <w:rsid w:val="00F64569"/>
    <w:rsid w:val="00F67FA9"/>
    <w:rsid w:val="00F702A7"/>
    <w:rsid w:val="00F821D6"/>
    <w:rsid w:val="00F83883"/>
    <w:rsid w:val="00F92E8B"/>
    <w:rsid w:val="00F94526"/>
    <w:rsid w:val="00FA2F83"/>
    <w:rsid w:val="00FA3621"/>
    <w:rsid w:val="00FA4210"/>
    <w:rsid w:val="00FC535F"/>
    <w:rsid w:val="00FE4B00"/>
    <w:rsid w:val="00FE798F"/>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4055754">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185605219">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397940760">
      <w:bodyDiv w:val="1"/>
      <w:marLeft w:val="0"/>
      <w:marRight w:val="0"/>
      <w:marTop w:val="0"/>
      <w:marBottom w:val="0"/>
      <w:divBdr>
        <w:top w:val="none" w:sz="0" w:space="0" w:color="auto"/>
        <w:left w:val="none" w:sz="0" w:space="0" w:color="auto"/>
        <w:bottom w:val="none" w:sz="0" w:space="0" w:color="auto"/>
        <w:right w:val="none" w:sz="0" w:space="0" w:color="auto"/>
      </w:divBdr>
      <w:divsChild>
        <w:div w:id="1486438131">
          <w:marLeft w:val="547"/>
          <w:marRight w:val="0"/>
          <w:marTop w:val="86"/>
          <w:marBottom w:val="0"/>
          <w:divBdr>
            <w:top w:val="none" w:sz="0" w:space="0" w:color="auto"/>
            <w:left w:val="none" w:sz="0" w:space="0" w:color="auto"/>
            <w:bottom w:val="none" w:sz="0" w:space="0" w:color="auto"/>
            <w:right w:val="none" w:sz="0" w:space="0" w:color="auto"/>
          </w:divBdr>
        </w:div>
        <w:div w:id="2045903522">
          <w:marLeft w:val="547"/>
          <w:marRight w:val="0"/>
          <w:marTop w:val="86"/>
          <w:marBottom w:val="0"/>
          <w:divBdr>
            <w:top w:val="none" w:sz="0" w:space="0" w:color="auto"/>
            <w:left w:val="none" w:sz="0" w:space="0" w:color="auto"/>
            <w:bottom w:val="none" w:sz="0" w:space="0" w:color="auto"/>
            <w:right w:val="none" w:sz="0" w:space="0" w:color="auto"/>
          </w:divBdr>
        </w:div>
        <w:div w:id="431050287">
          <w:marLeft w:val="1166"/>
          <w:marRight w:val="0"/>
          <w:marTop w:val="86"/>
          <w:marBottom w:val="0"/>
          <w:divBdr>
            <w:top w:val="none" w:sz="0" w:space="0" w:color="auto"/>
            <w:left w:val="none" w:sz="0" w:space="0" w:color="auto"/>
            <w:bottom w:val="none" w:sz="0" w:space="0" w:color="auto"/>
            <w:right w:val="none" w:sz="0" w:space="0" w:color="auto"/>
          </w:divBdr>
        </w:div>
        <w:div w:id="2052804060">
          <w:marLeft w:val="547"/>
          <w:marRight w:val="0"/>
          <w:marTop w:val="86"/>
          <w:marBottom w:val="0"/>
          <w:divBdr>
            <w:top w:val="none" w:sz="0" w:space="0" w:color="auto"/>
            <w:left w:val="none" w:sz="0" w:space="0" w:color="auto"/>
            <w:bottom w:val="none" w:sz="0" w:space="0" w:color="auto"/>
            <w:right w:val="none" w:sz="0" w:space="0" w:color="auto"/>
          </w:divBdr>
        </w:div>
        <w:div w:id="577640963">
          <w:marLeft w:val="547"/>
          <w:marRight w:val="0"/>
          <w:marTop w:val="86"/>
          <w:marBottom w:val="0"/>
          <w:divBdr>
            <w:top w:val="none" w:sz="0" w:space="0" w:color="auto"/>
            <w:left w:val="none" w:sz="0" w:space="0" w:color="auto"/>
            <w:bottom w:val="none" w:sz="0" w:space="0" w:color="auto"/>
            <w:right w:val="none" w:sz="0" w:space="0" w:color="auto"/>
          </w:divBdr>
        </w:div>
        <w:div w:id="1841656787">
          <w:marLeft w:val="1166"/>
          <w:marRight w:val="0"/>
          <w:marTop w:val="86"/>
          <w:marBottom w:val="0"/>
          <w:divBdr>
            <w:top w:val="none" w:sz="0" w:space="0" w:color="auto"/>
            <w:left w:val="none" w:sz="0" w:space="0" w:color="auto"/>
            <w:bottom w:val="none" w:sz="0" w:space="0" w:color="auto"/>
            <w:right w:val="none" w:sz="0" w:space="0" w:color="auto"/>
          </w:divBdr>
        </w:div>
      </w:divsChild>
    </w:div>
    <w:div w:id="576480295">
      <w:bodyDiv w:val="1"/>
      <w:marLeft w:val="0"/>
      <w:marRight w:val="0"/>
      <w:marTop w:val="0"/>
      <w:marBottom w:val="0"/>
      <w:divBdr>
        <w:top w:val="none" w:sz="0" w:space="0" w:color="auto"/>
        <w:left w:val="none" w:sz="0" w:space="0" w:color="auto"/>
        <w:bottom w:val="none" w:sz="0" w:space="0" w:color="auto"/>
        <w:right w:val="none" w:sz="0" w:space="0" w:color="auto"/>
      </w:divBdr>
      <w:divsChild>
        <w:div w:id="1501192516">
          <w:marLeft w:val="547"/>
          <w:marRight w:val="0"/>
          <w:marTop w:val="67"/>
          <w:marBottom w:val="0"/>
          <w:divBdr>
            <w:top w:val="none" w:sz="0" w:space="0" w:color="auto"/>
            <w:left w:val="none" w:sz="0" w:space="0" w:color="auto"/>
            <w:bottom w:val="none" w:sz="0" w:space="0" w:color="auto"/>
            <w:right w:val="none" w:sz="0" w:space="0" w:color="auto"/>
          </w:divBdr>
        </w:div>
        <w:div w:id="543519980">
          <w:marLeft w:val="547"/>
          <w:marRight w:val="0"/>
          <w:marTop w:val="67"/>
          <w:marBottom w:val="0"/>
          <w:divBdr>
            <w:top w:val="none" w:sz="0" w:space="0" w:color="auto"/>
            <w:left w:val="none" w:sz="0" w:space="0" w:color="auto"/>
            <w:bottom w:val="none" w:sz="0" w:space="0" w:color="auto"/>
            <w:right w:val="none" w:sz="0" w:space="0" w:color="auto"/>
          </w:divBdr>
        </w:div>
        <w:div w:id="464471160">
          <w:marLeft w:val="547"/>
          <w:marRight w:val="0"/>
          <w:marTop w:val="67"/>
          <w:marBottom w:val="0"/>
          <w:divBdr>
            <w:top w:val="none" w:sz="0" w:space="0" w:color="auto"/>
            <w:left w:val="none" w:sz="0" w:space="0" w:color="auto"/>
            <w:bottom w:val="none" w:sz="0" w:space="0" w:color="auto"/>
            <w:right w:val="none" w:sz="0" w:space="0" w:color="auto"/>
          </w:divBdr>
        </w:div>
        <w:div w:id="1085568675">
          <w:marLeft w:val="1166"/>
          <w:marRight w:val="0"/>
          <w:marTop w:val="77"/>
          <w:marBottom w:val="0"/>
          <w:divBdr>
            <w:top w:val="none" w:sz="0" w:space="0" w:color="auto"/>
            <w:left w:val="none" w:sz="0" w:space="0" w:color="auto"/>
            <w:bottom w:val="none" w:sz="0" w:space="0" w:color="auto"/>
            <w:right w:val="none" w:sz="0" w:space="0" w:color="auto"/>
          </w:divBdr>
        </w:div>
        <w:div w:id="1945724816">
          <w:marLeft w:val="1166"/>
          <w:marRight w:val="0"/>
          <w:marTop w:val="77"/>
          <w:marBottom w:val="0"/>
          <w:divBdr>
            <w:top w:val="none" w:sz="0" w:space="0" w:color="auto"/>
            <w:left w:val="none" w:sz="0" w:space="0" w:color="auto"/>
            <w:bottom w:val="none" w:sz="0" w:space="0" w:color="auto"/>
            <w:right w:val="none" w:sz="0" w:space="0" w:color="auto"/>
          </w:divBdr>
        </w:div>
        <w:div w:id="495920440">
          <w:marLeft w:val="1714"/>
          <w:marRight w:val="0"/>
          <w:marTop w:val="67"/>
          <w:marBottom w:val="0"/>
          <w:divBdr>
            <w:top w:val="none" w:sz="0" w:space="0" w:color="auto"/>
            <w:left w:val="none" w:sz="0" w:space="0" w:color="auto"/>
            <w:bottom w:val="none" w:sz="0" w:space="0" w:color="auto"/>
            <w:right w:val="none" w:sz="0" w:space="0" w:color="auto"/>
          </w:divBdr>
        </w:div>
        <w:div w:id="1810977464">
          <w:marLeft w:val="1714"/>
          <w:marRight w:val="0"/>
          <w:marTop w:val="67"/>
          <w:marBottom w:val="0"/>
          <w:divBdr>
            <w:top w:val="none" w:sz="0" w:space="0" w:color="auto"/>
            <w:left w:val="none" w:sz="0" w:space="0" w:color="auto"/>
            <w:bottom w:val="none" w:sz="0" w:space="0" w:color="auto"/>
            <w:right w:val="none" w:sz="0" w:space="0" w:color="auto"/>
          </w:divBdr>
        </w:div>
        <w:div w:id="81412507">
          <w:marLeft w:val="547"/>
          <w:marRight w:val="0"/>
          <w:marTop w:val="67"/>
          <w:marBottom w:val="0"/>
          <w:divBdr>
            <w:top w:val="none" w:sz="0" w:space="0" w:color="auto"/>
            <w:left w:val="none" w:sz="0" w:space="0" w:color="auto"/>
            <w:bottom w:val="none" w:sz="0" w:space="0" w:color="auto"/>
            <w:right w:val="none" w:sz="0" w:space="0" w:color="auto"/>
          </w:divBdr>
        </w:div>
        <w:div w:id="1696735272">
          <w:marLeft w:val="547"/>
          <w:marRight w:val="0"/>
          <w:marTop w:val="77"/>
          <w:marBottom w:val="0"/>
          <w:divBdr>
            <w:top w:val="none" w:sz="0" w:space="0" w:color="auto"/>
            <w:left w:val="none" w:sz="0" w:space="0" w:color="auto"/>
            <w:bottom w:val="none" w:sz="0" w:space="0" w:color="auto"/>
            <w:right w:val="none" w:sz="0" w:space="0" w:color="auto"/>
          </w:divBdr>
        </w:div>
      </w:divsChild>
    </w:div>
    <w:div w:id="594633902">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 w:id="1359506521">
      <w:bodyDiv w:val="1"/>
      <w:marLeft w:val="0"/>
      <w:marRight w:val="0"/>
      <w:marTop w:val="0"/>
      <w:marBottom w:val="0"/>
      <w:divBdr>
        <w:top w:val="none" w:sz="0" w:space="0" w:color="auto"/>
        <w:left w:val="none" w:sz="0" w:space="0" w:color="auto"/>
        <w:bottom w:val="none" w:sz="0" w:space="0" w:color="auto"/>
        <w:right w:val="none" w:sz="0" w:space="0" w:color="auto"/>
      </w:divBdr>
      <w:divsChild>
        <w:div w:id="2060394604">
          <w:marLeft w:val="547"/>
          <w:marRight w:val="0"/>
          <w:marTop w:val="96"/>
          <w:marBottom w:val="0"/>
          <w:divBdr>
            <w:top w:val="none" w:sz="0" w:space="0" w:color="auto"/>
            <w:left w:val="none" w:sz="0" w:space="0" w:color="auto"/>
            <w:bottom w:val="none" w:sz="0" w:space="0" w:color="auto"/>
            <w:right w:val="none" w:sz="0" w:space="0" w:color="auto"/>
          </w:divBdr>
        </w:div>
        <w:div w:id="1858541800">
          <w:marLeft w:val="1166"/>
          <w:marRight w:val="0"/>
          <w:marTop w:val="86"/>
          <w:marBottom w:val="0"/>
          <w:divBdr>
            <w:top w:val="none" w:sz="0" w:space="0" w:color="auto"/>
            <w:left w:val="none" w:sz="0" w:space="0" w:color="auto"/>
            <w:bottom w:val="none" w:sz="0" w:space="0" w:color="auto"/>
            <w:right w:val="none" w:sz="0" w:space="0" w:color="auto"/>
          </w:divBdr>
        </w:div>
        <w:div w:id="429013237">
          <w:marLeft w:val="1166"/>
          <w:marRight w:val="0"/>
          <w:marTop w:val="86"/>
          <w:marBottom w:val="0"/>
          <w:divBdr>
            <w:top w:val="none" w:sz="0" w:space="0" w:color="auto"/>
            <w:left w:val="none" w:sz="0" w:space="0" w:color="auto"/>
            <w:bottom w:val="none" w:sz="0" w:space="0" w:color="auto"/>
            <w:right w:val="none" w:sz="0" w:space="0" w:color="auto"/>
          </w:divBdr>
        </w:div>
        <w:div w:id="913971994">
          <w:marLeft w:val="1714"/>
          <w:marRight w:val="0"/>
          <w:marTop w:val="86"/>
          <w:marBottom w:val="0"/>
          <w:divBdr>
            <w:top w:val="none" w:sz="0" w:space="0" w:color="auto"/>
            <w:left w:val="none" w:sz="0" w:space="0" w:color="auto"/>
            <w:bottom w:val="none" w:sz="0" w:space="0" w:color="auto"/>
            <w:right w:val="none" w:sz="0" w:space="0" w:color="auto"/>
          </w:divBdr>
        </w:div>
      </w:divsChild>
    </w:div>
    <w:div w:id="1478185011">
      <w:bodyDiv w:val="1"/>
      <w:marLeft w:val="0"/>
      <w:marRight w:val="0"/>
      <w:marTop w:val="0"/>
      <w:marBottom w:val="0"/>
      <w:divBdr>
        <w:top w:val="none" w:sz="0" w:space="0" w:color="auto"/>
        <w:left w:val="none" w:sz="0" w:space="0" w:color="auto"/>
        <w:bottom w:val="none" w:sz="0" w:space="0" w:color="auto"/>
        <w:right w:val="none" w:sz="0" w:space="0" w:color="auto"/>
      </w:divBdr>
    </w:div>
    <w:div w:id="1488017207">
      <w:bodyDiv w:val="1"/>
      <w:marLeft w:val="0"/>
      <w:marRight w:val="0"/>
      <w:marTop w:val="0"/>
      <w:marBottom w:val="0"/>
      <w:divBdr>
        <w:top w:val="none" w:sz="0" w:space="0" w:color="auto"/>
        <w:left w:val="none" w:sz="0" w:space="0" w:color="auto"/>
        <w:bottom w:val="none" w:sz="0" w:space="0" w:color="auto"/>
        <w:right w:val="none" w:sz="0" w:space="0" w:color="auto"/>
      </w:divBdr>
      <w:divsChild>
        <w:div w:id="1850094655">
          <w:marLeft w:val="547"/>
          <w:marRight w:val="0"/>
          <w:marTop w:val="96"/>
          <w:marBottom w:val="0"/>
          <w:divBdr>
            <w:top w:val="none" w:sz="0" w:space="0" w:color="auto"/>
            <w:left w:val="none" w:sz="0" w:space="0" w:color="auto"/>
            <w:bottom w:val="none" w:sz="0" w:space="0" w:color="auto"/>
            <w:right w:val="none" w:sz="0" w:space="0" w:color="auto"/>
          </w:divBdr>
        </w:div>
        <w:div w:id="1816988512">
          <w:marLeft w:val="1166"/>
          <w:marRight w:val="0"/>
          <w:marTop w:val="77"/>
          <w:marBottom w:val="0"/>
          <w:divBdr>
            <w:top w:val="none" w:sz="0" w:space="0" w:color="auto"/>
            <w:left w:val="none" w:sz="0" w:space="0" w:color="auto"/>
            <w:bottom w:val="none" w:sz="0" w:space="0" w:color="auto"/>
            <w:right w:val="none" w:sz="0" w:space="0" w:color="auto"/>
          </w:divBdr>
        </w:div>
        <w:div w:id="1683429726">
          <w:marLeft w:val="1166"/>
          <w:marRight w:val="0"/>
          <w:marTop w:val="77"/>
          <w:marBottom w:val="0"/>
          <w:divBdr>
            <w:top w:val="none" w:sz="0" w:space="0" w:color="auto"/>
            <w:left w:val="none" w:sz="0" w:space="0" w:color="auto"/>
            <w:bottom w:val="none" w:sz="0" w:space="0" w:color="auto"/>
            <w:right w:val="none" w:sz="0" w:space="0" w:color="auto"/>
          </w:divBdr>
        </w:div>
        <w:div w:id="1213541457">
          <w:marLeft w:val="1166"/>
          <w:marRight w:val="0"/>
          <w:marTop w:val="77"/>
          <w:marBottom w:val="0"/>
          <w:divBdr>
            <w:top w:val="none" w:sz="0" w:space="0" w:color="auto"/>
            <w:left w:val="none" w:sz="0" w:space="0" w:color="auto"/>
            <w:bottom w:val="none" w:sz="0" w:space="0" w:color="auto"/>
            <w:right w:val="none" w:sz="0" w:space="0" w:color="auto"/>
          </w:divBdr>
        </w:div>
        <w:div w:id="641544258">
          <w:marLeft w:val="547"/>
          <w:marRight w:val="0"/>
          <w:marTop w:val="96"/>
          <w:marBottom w:val="0"/>
          <w:divBdr>
            <w:top w:val="none" w:sz="0" w:space="0" w:color="auto"/>
            <w:left w:val="none" w:sz="0" w:space="0" w:color="auto"/>
            <w:bottom w:val="none" w:sz="0" w:space="0" w:color="auto"/>
            <w:right w:val="none" w:sz="0" w:space="0" w:color="auto"/>
          </w:divBdr>
        </w:div>
      </w:divsChild>
    </w:div>
    <w:div w:id="1868250931">
      <w:bodyDiv w:val="1"/>
      <w:marLeft w:val="0"/>
      <w:marRight w:val="0"/>
      <w:marTop w:val="0"/>
      <w:marBottom w:val="0"/>
      <w:divBdr>
        <w:top w:val="none" w:sz="0" w:space="0" w:color="auto"/>
        <w:left w:val="none" w:sz="0" w:space="0" w:color="auto"/>
        <w:bottom w:val="none" w:sz="0" w:space="0" w:color="auto"/>
        <w:right w:val="none" w:sz="0" w:space="0" w:color="auto"/>
      </w:divBdr>
      <w:divsChild>
        <w:div w:id="1514150321">
          <w:marLeft w:val="547"/>
          <w:marRight w:val="0"/>
          <w:marTop w:val="86"/>
          <w:marBottom w:val="0"/>
          <w:divBdr>
            <w:top w:val="none" w:sz="0" w:space="0" w:color="auto"/>
            <w:left w:val="none" w:sz="0" w:space="0" w:color="auto"/>
            <w:bottom w:val="none" w:sz="0" w:space="0" w:color="auto"/>
            <w:right w:val="none" w:sz="0" w:space="0" w:color="auto"/>
          </w:divBdr>
        </w:div>
        <w:div w:id="493423018">
          <w:marLeft w:val="547"/>
          <w:marRight w:val="0"/>
          <w:marTop w:val="86"/>
          <w:marBottom w:val="0"/>
          <w:divBdr>
            <w:top w:val="none" w:sz="0" w:space="0" w:color="auto"/>
            <w:left w:val="none" w:sz="0" w:space="0" w:color="auto"/>
            <w:bottom w:val="none" w:sz="0" w:space="0" w:color="auto"/>
            <w:right w:val="none" w:sz="0" w:space="0" w:color="auto"/>
          </w:divBdr>
        </w:div>
        <w:div w:id="929003715">
          <w:marLeft w:val="547"/>
          <w:marRight w:val="0"/>
          <w:marTop w:val="86"/>
          <w:marBottom w:val="0"/>
          <w:divBdr>
            <w:top w:val="none" w:sz="0" w:space="0" w:color="auto"/>
            <w:left w:val="none" w:sz="0" w:space="0" w:color="auto"/>
            <w:bottom w:val="none" w:sz="0" w:space="0" w:color="auto"/>
            <w:right w:val="none" w:sz="0" w:space="0" w:color="auto"/>
          </w:divBdr>
        </w:div>
        <w:div w:id="237904315">
          <w:marLeft w:val="1166"/>
          <w:marRight w:val="0"/>
          <w:marTop w:val="77"/>
          <w:marBottom w:val="0"/>
          <w:divBdr>
            <w:top w:val="none" w:sz="0" w:space="0" w:color="auto"/>
            <w:left w:val="none" w:sz="0" w:space="0" w:color="auto"/>
            <w:bottom w:val="none" w:sz="0" w:space="0" w:color="auto"/>
            <w:right w:val="none" w:sz="0" w:space="0" w:color="auto"/>
          </w:divBdr>
        </w:div>
        <w:div w:id="285888795">
          <w:marLeft w:val="547"/>
          <w:marRight w:val="0"/>
          <w:marTop w:val="86"/>
          <w:marBottom w:val="0"/>
          <w:divBdr>
            <w:top w:val="none" w:sz="0" w:space="0" w:color="auto"/>
            <w:left w:val="none" w:sz="0" w:space="0" w:color="auto"/>
            <w:bottom w:val="none" w:sz="0" w:space="0" w:color="auto"/>
            <w:right w:val="none" w:sz="0" w:space="0" w:color="auto"/>
          </w:divBdr>
        </w:div>
        <w:div w:id="502084611">
          <w:marLeft w:val="1166"/>
          <w:marRight w:val="0"/>
          <w:marTop w:val="67"/>
          <w:marBottom w:val="0"/>
          <w:divBdr>
            <w:top w:val="none" w:sz="0" w:space="0" w:color="auto"/>
            <w:left w:val="none" w:sz="0" w:space="0" w:color="auto"/>
            <w:bottom w:val="none" w:sz="0" w:space="0" w:color="auto"/>
            <w:right w:val="none" w:sz="0" w:space="0" w:color="auto"/>
          </w:divBdr>
        </w:div>
        <w:div w:id="1956211736">
          <w:marLeft w:val="1166"/>
          <w:marRight w:val="0"/>
          <w:marTop w:val="67"/>
          <w:marBottom w:val="0"/>
          <w:divBdr>
            <w:top w:val="none" w:sz="0" w:space="0" w:color="auto"/>
            <w:left w:val="none" w:sz="0" w:space="0" w:color="auto"/>
            <w:bottom w:val="none" w:sz="0" w:space="0" w:color="auto"/>
            <w:right w:val="none" w:sz="0" w:space="0" w:color="auto"/>
          </w:divBdr>
        </w:div>
        <w:div w:id="198515637">
          <w:marLeft w:val="547"/>
          <w:marRight w:val="0"/>
          <w:marTop w:val="96"/>
          <w:marBottom w:val="0"/>
          <w:divBdr>
            <w:top w:val="none" w:sz="0" w:space="0" w:color="auto"/>
            <w:left w:val="none" w:sz="0" w:space="0" w:color="auto"/>
            <w:bottom w:val="none" w:sz="0" w:space="0" w:color="auto"/>
            <w:right w:val="none" w:sz="0" w:space="0" w:color="auto"/>
          </w:divBdr>
        </w:div>
      </w:divsChild>
    </w:div>
    <w:div w:id="2053116042">
      <w:bodyDiv w:val="1"/>
      <w:marLeft w:val="0"/>
      <w:marRight w:val="0"/>
      <w:marTop w:val="0"/>
      <w:marBottom w:val="0"/>
      <w:divBdr>
        <w:top w:val="none" w:sz="0" w:space="0" w:color="auto"/>
        <w:left w:val="none" w:sz="0" w:space="0" w:color="auto"/>
        <w:bottom w:val="none" w:sz="0" w:space="0" w:color="auto"/>
        <w:right w:val="none" w:sz="0" w:space="0" w:color="auto"/>
      </w:divBdr>
    </w:div>
    <w:div w:id="2106680903">
      <w:bodyDiv w:val="1"/>
      <w:marLeft w:val="0"/>
      <w:marRight w:val="0"/>
      <w:marTop w:val="0"/>
      <w:marBottom w:val="0"/>
      <w:divBdr>
        <w:top w:val="none" w:sz="0" w:space="0" w:color="auto"/>
        <w:left w:val="none" w:sz="0" w:space="0" w:color="auto"/>
        <w:bottom w:val="none" w:sz="0" w:space="0" w:color="auto"/>
        <w:right w:val="none" w:sz="0" w:space="0" w:color="auto"/>
      </w:divBdr>
      <w:divsChild>
        <w:div w:id="1438410763">
          <w:marLeft w:val="547"/>
          <w:marRight w:val="0"/>
          <w:marTop w:val="106"/>
          <w:marBottom w:val="0"/>
          <w:divBdr>
            <w:top w:val="none" w:sz="0" w:space="0" w:color="auto"/>
            <w:left w:val="none" w:sz="0" w:space="0" w:color="auto"/>
            <w:bottom w:val="none" w:sz="0" w:space="0" w:color="auto"/>
            <w:right w:val="none" w:sz="0" w:space="0" w:color="auto"/>
          </w:divBdr>
        </w:div>
        <w:div w:id="605237476">
          <w:marLeft w:val="547"/>
          <w:marRight w:val="0"/>
          <w:marTop w:val="106"/>
          <w:marBottom w:val="0"/>
          <w:divBdr>
            <w:top w:val="none" w:sz="0" w:space="0" w:color="auto"/>
            <w:left w:val="none" w:sz="0" w:space="0" w:color="auto"/>
            <w:bottom w:val="none" w:sz="0" w:space="0" w:color="auto"/>
            <w:right w:val="none" w:sz="0" w:space="0" w:color="auto"/>
          </w:divBdr>
        </w:div>
        <w:div w:id="893927782">
          <w:marLeft w:val="1166"/>
          <w:marRight w:val="0"/>
          <w:marTop w:val="67"/>
          <w:marBottom w:val="0"/>
          <w:divBdr>
            <w:top w:val="none" w:sz="0" w:space="0" w:color="auto"/>
            <w:left w:val="none" w:sz="0" w:space="0" w:color="auto"/>
            <w:bottom w:val="none" w:sz="0" w:space="0" w:color="auto"/>
            <w:right w:val="none" w:sz="0" w:space="0" w:color="auto"/>
          </w:divBdr>
        </w:div>
        <w:div w:id="1903321222">
          <w:marLeft w:val="547"/>
          <w:marRight w:val="0"/>
          <w:marTop w:val="86"/>
          <w:marBottom w:val="0"/>
          <w:divBdr>
            <w:top w:val="none" w:sz="0" w:space="0" w:color="auto"/>
            <w:left w:val="none" w:sz="0" w:space="0" w:color="auto"/>
            <w:bottom w:val="none" w:sz="0" w:space="0" w:color="auto"/>
            <w:right w:val="none" w:sz="0" w:space="0" w:color="auto"/>
          </w:divBdr>
        </w:div>
        <w:div w:id="53786305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1167-ED35-4E91-B1E9-89822CE6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8</cp:revision>
  <dcterms:created xsi:type="dcterms:W3CDTF">2012-03-08T19:09:00Z</dcterms:created>
  <dcterms:modified xsi:type="dcterms:W3CDTF">2012-03-08T21:12:00Z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690703914</vt:i4>
  </property>
  <property fmtid="{D5CDD505-2E9C-101B-9397-08002B2CF9AE}" pid="3" name="_NewReviewCycle">
    <vt:lpwstr/>
  </property>
  <property fmtid="{D5CDD505-2E9C-101B-9397-08002B2CF9AE}" pid="4" name="_EmailSubject">
    <vt:lpwstr>Comments on PAID</vt:lpwstr>
  </property>
  <property fmtid="{D5CDD505-2E9C-101B-9397-08002B2CF9AE}" pid="5" name="_AuthorEmail">
    <vt:lpwstr>smerlin@qualcomm.com</vt:lpwstr>
  </property>
  <property fmtid="{D5CDD505-2E9C-101B-9397-08002B2CF9AE}" pid="6" name="_AuthorEmailDisplayName">
    <vt:lpwstr>Merlin, Simone</vt:lpwstr>
  </property>
</Properties>
</file>