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C24115">
            <w:pPr>
              <w:pStyle w:val="T2"/>
            </w:pPr>
            <w:r>
              <w:t>Resolutions to Comments on Clause 22.5</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C24115">
              <w:rPr>
                <w:b w:val="0"/>
                <w:sz w:val="20"/>
              </w:rPr>
              <w:t>2012-03-05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24115">
        <w:trPr>
          <w:jc w:val="center"/>
        </w:trPr>
        <w:tc>
          <w:tcPr>
            <w:tcW w:w="1336" w:type="dxa"/>
            <w:vAlign w:val="center"/>
          </w:tcPr>
          <w:p w:rsidR="00C24115" w:rsidRDefault="00C24115" w:rsidP="00FE53C5">
            <w:pPr>
              <w:pStyle w:val="T2"/>
              <w:spacing w:after="0"/>
              <w:ind w:left="0" w:right="0"/>
              <w:rPr>
                <w:b w:val="0"/>
                <w:sz w:val="20"/>
              </w:rPr>
            </w:pPr>
            <w:r>
              <w:rPr>
                <w:b w:val="0"/>
                <w:sz w:val="20"/>
              </w:rPr>
              <w:t>Allert van Zelst</w:t>
            </w:r>
          </w:p>
        </w:tc>
        <w:tc>
          <w:tcPr>
            <w:tcW w:w="2064" w:type="dxa"/>
            <w:vAlign w:val="center"/>
          </w:tcPr>
          <w:p w:rsidR="00C24115" w:rsidRDefault="00C24115" w:rsidP="00FE53C5">
            <w:pPr>
              <w:pStyle w:val="T2"/>
              <w:spacing w:after="0"/>
              <w:ind w:left="0" w:right="0"/>
              <w:rPr>
                <w:b w:val="0"/>
                <w:sz w:val="20"/>
              </w:rPr>
            </w:pPr>
            <w:r>
              <w:rPr>
                <w:b w:val="0"/>
                <w:sz w:val="20"/>
              </w:rPr>
              <w:t>Qualcomm</w:t>
            </w:r>
          </w:p>
        </w:tc>
        <w:tc>
          <w:tcPr>
            <w:tcW w:w="2814" w:type="dxa"/>
            <w:vAlign w:val="center"/>
          </w:tcPr>
          <w:p w:rsidR="00C24115" w:rsidRDefault="00C24115" w:rsidP="00FE53C5">
            <w:pPr>
              <w:pStyle w:val="T2"/>
              <w:spacing w:after="0"/>
              <w:ind w:left="0" w:right="0"/>
              <w:rPr>
                <w:b w:val="0"/>
                <w:sz w:val="20"/>
              </w:rPr>
            </w:pPr>
            <w:proofErr w:type="spellStart"/>
            <w:r>
              <w:rPr>
                <w:b w:val="0"/>
                <w:sz w:val="20"/>
              </w:rPr>
              <w:t>Straatweg</w:t>
            </w:r>
            <w:proofErr w:type="spellEnd"/>
            <w:r>
              <w:rPr>
                <w:b w:val="0"/>
                <w:sz w:val="20"/>
              </w:rPr>
              <w:t xml:space="preserve"> 66-S</w:t>
            </w:r>
          </w:p>
        </w:tc>
        <w:tc>
          <w:tcPr>
            <w:tcW w:w="1715" w:type="dxa"/>
            <w:vAlign w:val="center"/>
          </w:tcPr>
          <w:p w:rsidR="00C24115" w:rsidRDefault="00C24115" w:rsidP="00FE53C5">
            <w:pPr>
              <w:pStyle w:val="T2"/>
              <w:spacing w:after="0"/>
              <w:ind w:left="0" w:right="0"/>
              <w:rPr>
                <w:b w:val="0"/>
                <w:sz w:val="20"/>
              </w:rPr>
            </w:pPr>
            <w:r>
              <w:rPr>
                <w:b w:val="0"/>
                <w:sz w:val="20"/>
              </w:rPr>
              <w:t>+31 346 259663</w:t>
            </w:r>
          </w:p>
        </w:tc>
        <w:tc>
          <w:tcPr>
            <w:tcW w:w="1647" w:type="dxa"/>
            <w:vAlign w:val="center"/>
          </w:tcPr>
          <w:p w:rsidR="00C24115" w:rsidRDefault="00381E9D" w:rsidP="00FE53C5">
            <w:pPr>
              <w:pStyle w:val="T2"/>
              <w:spacing w:after="0"/>
              <w:ind w:left="0" w:right="0"/>
              <w:rPr>
                <w:b w:val="0"/>
                <w:sz w:val="16"/>
              </w:rPr>
            </w:pPr>
            <w:hyperlink r:id="rId6" w:history="1">
              <w:r w:rsidR="00C24115" w:rsidRPr="00D81F43">
                <w:rPr>
                  <w:rStyle w:val="Hyperlink"/>
                  <w:b w:val="0"/>
                  <w:sz w:val="16"/>
                </w:rPr>
                <w:t>allert@qaulcomm.com</w:t>
              </w:r>
            </w:hyperlink>
          </w:p>
        </w:tc>
      </w:tr>
      <w:tr w:rsidR="00C24115">
        <w:trPr>
          <w:jc w:val="center"/>
        </w:trPr>
        <w:tc>
          <w:tcPr>
            <w:tcW w:w="1336" w:type="dxa"/>
            <w:vAlign w:val="center"/>
          </w:tcPr>
          <w:p w:rsidR="00C24115" w:rsidRDefault="00C24115" w:rsidP="00FE53C5">
            <w:pPr>
              <w:pStyle w:val="T2"/>
              <w:spacing w:after="0"/>
              <w:ind w:left="0" w:right="0"/>
              <w:rPr>
                <w:b w:val="0"/>
                <w:sz w:val="20"/>
                <w:lang w:eastAsia="ko-KR"/>
              </w:rPr>
            </w:pPr>
            <w:r>
              <w:rPr>
                <w:rFonts w:hint="eastAsia"/>
                <w:b w:val="0"/>
                <w:sz w:val="20"/>
                <w:lang w:eastAsia="ko-KR"/>
              </w:rPr>
              <w:t>Youhan Kim</w:t>
            </w:r>
          </w:p>
        </w:tc>
        <w:tc>
          <w:tcPr>
            <w:tcW w:w="2064" w:type="dxa"/>
            <w:vAlign w:val="center"/>
          </w:tcPr>
          <w:p w:rsidR="00C24115" w:rsidRDefault="00C24115" w:rsidP="00FE53C5">
            <w:pPr>
              <w:pStyle w:val="T2"/>
              <w:spacing w:after="0"/>
              <w:ind w:left="0" w:right="0"/>
              <w:rPr>
                <w:b w:val="0"/>
                <w:sz w:val="20"/>
                <w:lang w:eastAsia="ko-KR"/>
              </w:rPr>
            </w:pPr>
            <w:r>
              <w:rPr>
                <w:rFonts w:hint="eastAsia"/>
                <w:b w:val="0"/>
                <w:sz w:val="20"/>
                <w:lang w:eastAsia="ko-KR"/>
              </w:rPr>
              <w:t>Qualcomm</w:t>
            </w:r>
          </w:p>
        </w:tc>
        <w:tc>
          <w:tcPr>
            <w:tcW w:w="2814" w:type="dxa"/>
            <w:vAlign w:val="center"/>
          </w:tcPr>
          <w:p w:rsidR="00C24115" w:rsidRDefault="00C24115" w:rsidP="00FE53C5">
            <w:pPr>
              <w:pStyle w:val="T2"/>
              <w:spacing w:after="0"/>
              <w:ind w:left="0" w:right="0"/>
              <w:jc w:val="left"/>
              <w:rPr>
                <w:b w:val="0"/>
                <w:sz w:val="20"/>
                <w:lang w:eastAsia="ko-KR"/>
              </w:rPr>
            </w:pPr>
            <w:r>
              <w:rPr>
                <w:rFonts w:hint="eastAsia"/>
                <w:b w:val="0"/>
                <w:sz w:val="20"/>
                <w:lang w:eastAsia="ko-KR"/>
              </w:rPr>
              <w:t>1700 Technology Drive</w:t>
            </w:r>
          </w:p>
          <w:p w:rsidR="00C24115" w:rsidRDefault="00C24115" w:rsidP="00FE53C5">
            <w:pPr>
              <w:pStyle w:val="T2"/>
              <w:spacing w:after="0"/>
              <w:ind w:left="0" w:right="0"/>
              <w:jc w:val="left"/>
              <w:rPr>
                <w:b w:val="0"/>
                <w:sz w:val="20"/>
                <w:lang w:eastAsia="ko-KR"/>
              </w:rPr>
            </w:pPr>
            <w:r>
              <w:rPr>
                <w:rFonts w:hint="eastAsia"/>
                <w:b w:val="0"/>
                <w:sz w:val="20"/>
                <w:lang w:eastAsia="ko-KR"/>
              </w:rPr>
              <w:t>San Jose, CA 95110</w:t>
            </w:r>
          </w:p>
        </w:tc>
        <w:tc>
          <w:tcPr>
            <w:tcW w:w="1715" w:type="dxa"/>
            <w:vAlign w:val="center"/>
          </w:tcPr>
          <w:p w:rsidR="00C24115" w:rsidRDefault="00C24115" w:rsidP="00FE53C5">
            <w:pPr>
              <w:pStyle w:val="T2"/>
              <w:spacing w:after="0"/>
              <w:ind w:left="0" w:right="0"/>
              <w:rPr>
                <w:b w:val="0"/>
                <w:sz w:val="20"/>
              </w:rPr>
            </w:pPr>
          </w:p>
        </w:tc>
        <w:tc>
          <w:tcPr>
            <w:tcW w:w="1647" w:type="dxa"/>
            <w:vAlign w:val="center"/>
          </w:tcPr>
          <w:p w:rsidR="00C24115" w:rsidRDefault="00381E9D" w:rsidP="00FE53C5">
            <w:pPr>
              <w:pStyle w:val="T2"/>
              <w:spacing w:after="0"/>
              <w:ind w:left="0" w:right="0"/>
              <w:rPr>
                <w:b w:val="0"/>
                <w:sz w:val="16"/>
                <w:lang w:eastAsia="ko-KR"/>
              </w:rPr>
            </w:pPr>
            <w:hyperlink r:id="rId7" w:history="1">
              <w:r w:rsidR="00C24115" w:rsidRPr="00C62552">
                <w:rPr>
                  <w:rStyle w:val="Hyperlink"/>
                  <w:rFonts w:hint="eastAsia"/>
                  <w:b w:val="0"/>
                  <w:sz w:val="16"/>
                  <w:lang w:eastAsia="ko-KR"/>
                </w:rPr>
                <w:t>youhan.kim@qca.qualcomm.com</w:t>
              </w:r>
            </w:hyperlink>
          </w:p>
        </w:tc>
      </w:tr>
      <w:tr w:rsidR="00C24115">
        <w:trPr>
          <w:jc w:val="center"/>
        </w:trPr>
        <w:tc>
          <w:tcPr>
            <w:tcW w:w="1336" w:type="dxa"/>
            <w:vAlign w:val="center"/>
          </w:tcPr>
          <w:p w:rsidR="00C24115" w:rsidRDefault="00C24115">
            <w:pPr>
              <w:pStyle w:val="T2"/>
              <w:spacing w:after="0"/>
              <w:ind w:left="0" w:right="0"/>
              <w:rPr>
                <w:b w:val="0"/>
                <w:sz w:val="20"/>
              </w:rPr>
            </w:pPr>
          </w:p>
        </w:tc>
        <w:tc>
          <w:tcPr>
            <w:tcW w:w="2064" w:type="dxa"/>
            <w:vAlign w:val="center"/>
          </w:tcPr>
          <w:p w:rsidR="00C24115" w:rsidRDefault="00C24115">
            <w:pPr>
              <w:pStyle w:val="T2"/>
              <w:spacing w:after="0"/>
              <w:ind w:left="0" w:right="0"/>
              <w:rPr>
                <w:b w:val="0"/>
                <w:sz w:val="20"/>
              </w:rPr>
            </w:pPr>
          </w:p>
        </w:tc>
        <w:tc>
          <w:tcPr>
            <w:tcW w:w="2814" w:type="dxa"/>
            <w:vAlign w:val="center"/>
          </w:tcPr>
          <w:p w:rsidR="00C24115" w:rsidRDefault="00C24115">
            <w:pPr>
              <w:pStyle w:val="T2"/>
              <w:spacing w:after="0"/>
              <w:ind w:left="0" w:right="0"/>
              <w:rPr>
                <w:b w:val="0"/>
                <w:sz w:val="20"/>
              </w:rPr>
            </w:pPr>
          </w:p>
        </w:tc>
        <w:tc>
          <w:tcPr>
            <w:tcW w:w="1715" w:type="dxa"/>
            <w:vAlign w:val="center"/>
          </w:tcPr>
          <w:p w:rsidR="00C24115" w:rsidRDefault="00C24115">
            <w:pPr>
              <w:pStyle w:val="T2"/>
              <w:spacing w:after="0"/>
              <w:ind w:left="0" w:right="0"/>
              <w:rPr>
                <w:b w:val="0"/>
                <w:sz w:val="20"/>
              </w:rPr>
            </w:pPr>
          </w:p>
        </w:tc>
        <w:tc>
          <w:tcPr>
            <w:tcW w:w="1647" w:type="dxa"/>
            <w:vAlign w:val="center"/>
          </w:tcPr>
          <w:p w:rsidR="00C24115" w:rsidRDefault="00C24115">
            <w:pPr>
              <w:pStyle w:val="T2"/>
              <w:spacing w:after="0"/>
              <w:ind w:left="0" w:right="0"/>
              <w:rPr>
                <w:b w:val="0"/>
                <w:sz w:val="16"/>
              </w:rPr>
            </w:pPr>
          </w:p>
        </w:tc>
      </w:tr>
    </w:tbl>
    <w:p w:rsidR="00CA09B2" w:rsidRDefault="00381E9D">
      <w:pPr>
        <w:pStyle w:val="T1"/>
        <w:spacing w:after="120"/>
        <w:rPr>
          <w:sz w:val="22"/>
        </w:rPr>
      </w:pPr>
      <w:r w:rsidRPr="00381E9D">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C24115" w:rsidP="00C24115">
                  <w:pPr>
                    <w:jc w:val="both"/>
                  </w:pPr>
                  <w:r>
                    <w:t>This document proposes resolutions to CIDs 4214 and 5393</w:t>
                  </w:r>
                  <w:r w:rsidR="00CD6119">
                    <w:t xml:space="preserve"> of WG Letter Ballot 187</w:t>
                  </w:r>
                  <w:r>
                    <w:t>.</w:t>
                  </w:r>
                </w:p>
                <w:p w:rsidR="00C24115" w:rsidRDefault="00C24115" w:rsidP="00C24115">
                  <w:pPr>
                    <w:jc w:val="both"/>
                  </w:pPr>
                </w:p>
                <w:p w:rsidR="00C24115" w:rsidRDefault="00C24115" w:rsidP="00C24115">
                  <w:pPr>
                    <w:jc w:val="both"/>
                  </w:pPr>
                  <w:r>
                    <w:t xml:space="preserve">The comments are copied from IEEE </w:t>
                  </w:r>
                  <w:r w:rsidR="00CD6119">
                    <w:t>12/0223r2.</w:t>
                  </w:r>
                </w:p>
              </w:txbxContent>
            </v:textbox>
          </v:shape>
        </w:pict>
      </w:r>
    </w:p>
    <w:p w:rsidR="005F3CCC" w:rsidRDefault="00CA09B2">
      <w:r>
        <w:br w:type="page"/>
      </w:r>
    </w:p>
    <w:tbl>
      <w:tblPr>
        <w:tblW w:w="94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904"/>
        <w:gridCol w:w="789"/>
        <w:gridCol w:w="910"/>
        <w:gridCol w:w="2483"/>
        <w:gridCol w:w="2479"/>
        <w:gridCol w:w="1250"/>
      </w:tblGrid>
      <w:tr w:rsidR="005F3CCC" w:rsidRPr="005F3CCC" w:rsidTr="005F3CCC">
        <w:trPr>
          <w:trHeight w:val="765"/>
        </w:trPr>
        <w:tc>
          <w:tcPr>
            <w:tcW w:w="661" w:type="dxa"/>
            <w:shd w:val="clear" w:color="auto" w:fill="auto"/>
            <w:hideMark/>
          </w:tcPr>
          <w:p w:rsidR="005F3CCC" w:rsidRPr="005F3CCC" w:rsidRDefault="005F3CCC" w:rsidP="005F3CCC">
            <w:pPr>
              <w:rPr>
                <w:rFonts w:ascii="Arial" w:hAnsi="Arial" w:cs="Arial"/>
                <w:b/>
                <w:bCs/>
                <w:sz w:val="20"/>
                <w:lang w:val="en-US"/>
              </w:rPr>
            </w:pPr>
            <w:r w:rsidRPr="005F3CCC">
              <w:rPr>
                <w:rFonts w:ascii="Arial" w:hAnsi="Arial" w:cs="Arial"/>
                <w:b/>
                <w:bCs/>
                <w:sz w:val="20"/>
                <w:lang w:val="en-US"/>
              </w:rPr>
              <w:lastRenderedPageBreak/>
              <w:t>CID</w:t>
            </w:r>
          </w:p>
        </w:tc>
        <w:tc>
          <w:tcPr>
            <w:tcW w:w="904" w:type="dxa"/>
            <w:shd w:val="clear" w:color="auto" w:fill="auto"/>
            <w:hideMark/>
          </w:tcPr>
          <w:p w:rsidR="005F3CCC" w:rsidRPr="005F3CCC" w:rsidRDefault="005F3CCC" w:rsidP="005F3CCC">
            <w:pPr>
              <w:rPr>
                <w:rFonts w:ascii="Arial" w:hAnsi="Arial" w:cs="Arial"/>
                <w:b/>
                <w:bCs/>
                <w:sz w:val="20"/>
                <w:lang w:val="en-US"/>
              </w:rPr>
            </w:pPr>
            <w:r w:rsidRPr="005F3CCC">
              <w:rPr>
                <w:rFonts w:ascii="Arial" w:hAnsi="Arial" w:cs="Arial"/>
                <w:b/>
                <w:bCs/>
                <w:sz w:val="20"/>
                <w:lang w:val="en-US"/>
              </w:rPr>
              <w:t>Page</w:t>
            </w:r>
          </w:p>
        </w:tc>
        <w:tc>
          <w:tcPr>
            <w:tcW w:w="789" w:type="dxa"/>
            <w:shd w:val="clear" w:color="auto" w:fill="auto"/>
            <w:hideMark/>
          </w:tcPr>
          <w:p w:rsidR="005F3CCC" w:rsidRPr="005F3CCC" w:rsidRDefault="005F3CCC" w:rsidP="005F3CCC">
            <w:pPr>
              <w:rPr>
                <w:rFonts w:ascii="Arial" w:hAnsi="Arial" w:cs="Arial"/>
                <w:b/>
                <w:bCs/>
                <w:sz w:val="20"/>
                <w:lang w:val="en-US"/>
              </w:rPr>
            </w:pPr>
            <w:r w:rsidRPr="005F3CCC">
              <w:rPr>
                <w:rFonts w:ascii="Arial" w:hAnsi="Arial" w:cs="Arial"/>
                <w:b/>
                <w:bCs/>
                <w:sz w:val="20"/>
                <w:lang w:val="en-US"/>
              </w:rPr>
              <w:t>Line</w:t>
            </w:r>
          </w:p>
        </w:tc>
        <w:tc>
          <w:tcPr>
            <w:tcW w:w="910" w:type="dxa"/>
            <w:shd w:val="clear" w:color="auto" w:fill="auto"/>
            <w:hideMark/>
          </w:tcPr>
          <w:p w:rsidR="005F3CCC" w:rsidRPr="005F3CCC" w:rsidRDefault="005F3CCC" w:rsidP="005F3CCC">
            <w:pPr>
              <w:rPr>
                <w:rFonts w:ascii="Arial" w:hAnsi="Arial" w:cs="Arial"/>
                <w:b/>
                <w:bCs/>
                <w:sz w:val="20"/>
                <w:lang w:val="en-US"/>
              </w:rPr>
            </w:pPr>
            <w:r w:rsidRPr="005F3CCC">
              <w:rPr>
                <w:rFonts w:ascii="Arial" w:hAnsi="Arial" w:cs="Arial"/>
                <w:b/>
                <w:bCs/>
                <w:sz w:val="20"/>
                <w:lang w:val="en-US"/>
              </w:rPr>
              <w:t>Clause</w:t>
            </w:r>
          </w:p>
        </w:tc>
        <w:tc>
          <w:tcPr>
            <w:tcW w:w="2483" w:type="dxa"/>
            <w:shd w:val="clear" w:color="auto" w:fill="auto"/>
            <w:hideMark/>
          </w:tcPr>
          <w:p w:rsidR="005F3CCC" w:rsidRPr="005F3CCC" w:rsidRDefault="005F3CCC" w:rsidP="005F3CCC">
            <w:pPr>
              <w:rPr>
                <w:rFonts w:ascii="Arial" w:hAnsi="Arial" w:cs="Arial"/>
                <w:b/>
                <w:bCs/>
                <w:sz w:val="20"/>
                <w:lang w:val="en-US"/>
              </w:rPr>
            </w:pPr>
            <w:r w:rsidRPr="005F3CCC">
              <w:rPr>
                <w:rFonts w:ascii="Arial" w:hAnsi="Arial" w:cs="Arial"/>
                <w:b/>
                <w:bCs/>
                <w:sz w:val="20"/>
                <w:lang w:val="en-US"/>
              </w:rPr>
              <w:t>Comment</w:t>
            </w:r>
          </w:p>
        </w:tc>
        <w:tc>
          <w:tcPr>
            <w:tcW w:w="2479" w:type="dxa"/>
            <w:shd w:val="clear" w:color="auto" w:fill="auto"/>
            <w:hideMark/>
          </w:tcPr>
          <w:p w:rsidR="005F3CCC" w:rsidRPr="005F3CCC" w:rsidRDefault="005F3CCC" w:rsidP="005F3CCC">
            <w:pPr>
              <w:rPr>
                <w:rFonts w:ascii="Arial" w:hAnsi="Arial" w:cs="Arial"/>
                <w:b/>
                <w:bCs/>
                <w:sz w:val="20"/>
                <w:lang w:val="en-US"/>
              </w:rPr>
            </w:pPr>
            <w:r w:rsidRPr="005F3CCC">
              <w:rPr>
                <w:rFonts w:ascii="Arial" w:hAnsi="Arial" w:cs="Arial"/>
                <w:b/>
                <w:bCs/>
                <w:sz w:val="20"/>
                <w:lang w:val="en-US"/>
              </w:rPr>
              <w:t>Proposed Change</w:t>
            </w:r>
          </w:p>
        </w:tc>
        <w:tc>
          <w:tcPr>
            <w:tcW w:w="1250" w:type="dxa"/>
            <w:shd w:val="clear" w:color="auto" w:fill="auto"/>
            <w:hideMark/>
          </w:tcPr>
          <w:p w:rsidR="005F3CCC" w:rsidRPr="005F3CCC" w:rsidRDefault="005F3CCC" w:rsidP="005F3CCC">
            <w:pPr>
              <w:rPr>
                <w:rFonts w:ascii="Arial" w:hAnsi="Arial" w:cs="Arial"/>
                <w:b/>
                <w:bCs/>
                <w:sz w:val="20"/>
                <w:lang w:val="en-US"/>
              </w:rPr>
            </w:pPr>
            <w:r w:rsidRPr="005F3CCC">
              <w:rPr>
                <w:rFonts w:ascii="Arial" w:hAnsi="Arial" w:cs="Arial"/>
                <w:b/>
                <w:bCs/>
                <w:sz w:val="20"/>
                <w:lang w:val="en-US"/>
              </w:rPr>
              <w:t>Resolution</w:t>
            </w:r>
          </w:p>
        </w:tc>
      </w:tr>
      <w:tr w:rsidR="005F3CCC" w:rsidRPr="005F3CCC" w:rsidTr="005F3CCC">
        <w:trPr>
          <w:trHeight w:val="3060"/>
        </w:trPr>
        <w:tc>
          <w:tcPr>
            <w:tcW w:w="661" w:type="dxa"/>
            <w:shd w:val="clear" w:color="auto" w:fill="auto"/>
            <w:hideMark/>
          </w:tcPr>
          <w:p w:rsidR="005F3CCC" w:rsidRPr="005F3CCC" w:rsidRDefault="005F3CCC" w:rsidP="005F3CCC">
            <w:pPr>
              <w:jc w:val="right"/>
              <w:rPr>
                <w:rFonts w:ascii="Arial" w:hAnsi="Arial" w:cs="Arial"/>
                <w:sz w:val="20"/>
                <w:lang w:val="en-US"/>
              </w:rPr>
            </w:pPr>
            <w:r w:rsidRPr="005F3CCC">
              <w:rPr>
                <w:rFonts w:ascii="Arial" w:hAnsi="Arial" w:cs="Arial"/>
                <w:sz w:val="20"/>
                <w:lang w:val="en-US"/>
              </w:rPr>
              <w:t>4214</w:t>
            </w:r>
          </w:p>
        </w:tc>
        <w:tc>
          <w:tcPr>
            <w:tcW w:w="904" w:type="dxa"/>
            <w:shd w:val="clear" w:color="auto" w:fill="auto"/>
            <w:hideMark/>
          </w:tcPr>
          <w:p w:rsidR="005F3CCC" w:rsidRPr="005F3CCC" w:rsidRDefault="005F3CCC" w:rsidP="005F3CCC">
            <w:pPr>
              <w:jc w:val="right"/>
              <w:rPr>
                <w:rFonts w:ascii="Arial" w:hAnsi="Arial" w:cs="Arial"/>
                <w:sz w:val="20"/>
                <w:lang w:val="en-US"/>
              </w:rPr>
            </w:pPr>
            <w:r w:rsidRPr="005F3CCC">
              <w:rPr>
                <w:rFonts w:ascii="Arial" w:hAnsi="Arial" w:cs="Arial"/>
                <w:sz w:val="20"/>
                <w:lang w:val="en-US"/>
              </w:rPr>
              <w:t>274.22</w:t>
            </w:r>
          </w:p>
        </w:tc>
        <w:tc>
          <w:tcPr>
            <w:tcW w:w="789" w:type="dxa"/>
            <w:shd w:val="clear" w:color="auto" w:fill="auto"/>
            <w:hideMark/>
          </w:tcPr>
          <w:p w:rsidR="005F3CCC" w:rsidRPr="005F3CCC" w:rsidRDefault="005F3CCC" w:rsidP="005F3CCC">
            <w:pPr>
              <w:rPr>
                <w:rFonts w:ascii="Arial" w:hAnsi="Arial" w:cs="Arial"/>
                <w:sz w:val="20"/>
                <w:lang w:val="en-US"/>
              </w:rPr>
            </w:pPr>
            <w:r w:rsidRPr="005F3CCC">
              <w:rPr>
                <w:rFonts w:ascii="Arial" w:hAnsi="Arial" w:cs="Arial"/>
                <w:sz w:val="20"/>
                <w:lang w:val="en-US"/>
              </w:rPr>
              <w:t>22</w:t>
            </w:r>
          </w:p>
        </w:tc>
        <w:tc>
          <w:tcPr>
            <w:tcW w:w="910" w:type="dxa"/>
            <w:shd w:val="clear" w:color="auto" w:fill="auto"/>
            <w:hideMark/>
          </w:tcPr>
          <w:p w:rsidR="005F3CCC" w:rsidRPr="005F3CCC" w:rsidRDefault="005F3CCC" w:rsidP="005F3CCC">
            <w:pPr>
              <w:rPr>
                <w:rFonts w:ascii="Arial" w:hAnsi="Arial" w:cs="Arial"/>
                <w:sz w:val="20"/>
                <w:lang w:val="en-US"/>
              </w:rPr>
            </w:pPr>
            <w:r w:rsidRPr="005F3CCC">
              <w:rPr>
                <w:rFonts w:ascii="Arial" w:hAnsi="Arial" w:cs="Arial"/>
                <w:sz w:val="20"/>
                <w:lang w:val="en-US"/>
              </w:rPr>
              <w:t>22.5</w:t>
            </w:r>
          </w:p>
        </w:tc>
        <w:tc>
          <w:tcPr>
            <w:tcW w:w="2483" w:type="dxa"/>
            <w:shd w:val="clear" w:color="auto" w:fill="auto"/>
            <w:hideMark/>
          </w:tcPr>
          <w:p w:rsidR="005F3CCC" w:rsidRPr="005F3CCC" w:rsidRDefault="005F3CCC" w:rsidP="005F3CCC">
            <w:pPr>
              <w:rPr>
                <w:rFonts w:ascii="Arial" w:hAnsi="Arial" w:cs="Arial"/>
                <w:sz w:val="20"/>
                <w:lang w:val="en-US"/>
              </w:rPr>
            </w:pPr>
            <w:r w:rsidRPr="005F3CCC">
              <w:rPr>
                <w:rFonts w:ascii="Arial" w:hAnsi="Arial" w:cs="Arial"/>
                <w:sz w:val="20"/>
                <w:lang w:val="en-US"/>
              </w:rPr>
              <w:t>The selection of N_ES in the tables of Section 22.5 is not always intuitive and deserves some explanation (see, e.g., the confusion of Mark Rison in his email to the 11ac reflector on Dec. 1, 2012)</w:t>
            </w:r>
          </w:p>
        </w:tc>
        <w:tc>
          <w:tcPr>
            <w:tcW w:w="2479" w:type="dxa"/>
            <w:shd w:val="clear" w:color="auto" w:fill="auto"/>
            <w:hideMark/>
          </w:tcPr>
          <w:p w:rsidR="005F3CCC" w:rsidRPr="005F3CCC" w:rsidRDefault="005F3CCC" w:rsidP="005F3CCC">
            <w:pPr>
              <w:rPr>
                <w:rFonts w:ascii="Arial" w:hAnsi="Arial" w:cs="Arial"/>
                <w:sz w:val="20"/>
                <w:lang w:val="en-US"/>
              </w:rPr>
            </w:pPr>
            <w:r w:rsidRPr="005F3CCC">
              <w:rPr>
                <w:rFonts w:ascii="Arial" w:hAnsi="Arial" w:cs="Arial"/>
                <w:sz w:val="20"/>
                <w:lang w:val="en-US"/>
              </w:rPr>
              <w:t>Please clarify. If I'm not mistaken the rule is something like add an extra BCC encoder every 600 Mbps, but if this results in a non-integer number of punctured blocks per encoder per OFDM symbol, pick the next best option provided the complexity increase is limited (cf. 11/0577r1).</w:t>
            </w:r>
          </w:p>
        </w:tc>
        <w:tc>
          <w:tcPr>
            <w:tcW w:w="1250" w:type="dxa"/>
            <w:shd w:val="clear" w:color="auto" w:fill="auto"/>
            <w:hideMark/>
          </w:tcPr>
          <w:p w:rsidR="005F3CCC" w:rsidRPr="005F3CCC" w:rsidRDefault="002D0852" w:rsidP="005F3CCC">
            <w:pPr>
              <w:rPr>
                <w:rFonts w:ascii="Arial" w:hAnsi="Arial" w:cs="Arial"/>
                <w:sz w:val="20"/>
                <w:lang w:val="en-US"/>
              </w:rPr>
            </w:pPr>
            <w:r>
              <w:rPr>
                <w:rFonts w:ascii="Arial" w:hAnsi="Arial" w:cs="Arial" w:hint="eastAsia"/>
                <w:sz w:val="20"/>
                <w:lang w:val="en-US" w:eastAsia="ko-KR"/>
              </w:rPr>
              <w:t>REVISED</w:t>
            </w:r>
            <w:r w:rsidR="008F0510">
              <w:rPr>
                <w:rFonts w:ascii="Arial" w:hAnsi="Arial" w:cs="Arial"/>
                <w:sz w:val="20"/>
                <w:lang w:val="en-US" w:eastAsia="ko-KR"/>
              </w:rPr>
              <w:t>, a clarification on how the N_ES values were selected is included</w:t>
            </w:r>
            <w:r w:rsidR="00DA1CDA">
              <w:rPr>
                <w:rFonts w:ascii="Arial" w:hAnsi="Arial" w:cs="Arial"/>
                <w:sz w:val="20"/>
                <w:lang w:val="en-US"/>
              </w:rPr>
              <w:t xml:space="preserve"> – see </w:t>
            </w:r>
            <w:r w:rsidR="00426B36">
              <w:rPr>
                <w:rFonts w:ascii="Arial" w:hAnsi="Arial" w:cs="Arial"/>
                <w:sz w:val="20"/>
                <w:lang w:val="en-US"/>
              </w:rPr>
              <w:t>12/0301</w:t>
            </w:r>
            <w:r w:rsidR="00DA1CDA">
              <w:rPr>
                <w:rFonts w:ascii="Arial" w:hAnsi="Arial" w:cs="Arial"/>
                <w:sz w:val="20"/>
                <w:lang w:val="en-US"/>
              </w:rPr>
              <w:t>r0</w:t>
            </w:r>
          </w:p>
        </w:tc>
      </w:tr>
      <w:tr w:rsidR="005F3CCC" w:rsidRPr="005F3CCC" w:rsidTr="005F3CCC">
        <w:trPr>
          <w:trHeight w:val="1020"/>
        </w:trPr>
        <w:tc>
          <w:tcPr>
            <w:tcW w:w="661" w:type="dxa"/>
            <w:shd w:val="clear" w:color="auto" w:fill="auto"/>
            <w:hideMark/>
          </w:tcPr>
          <w:p w:rsidR="005F3CCC" w:rsidRPr="005F3CCC" w:rsidRDefault="005F3CCC" w:rsidP="005F3CCC">
            <w:pPr>
              <w:jc w:val="right"/>
              <w:rPr>
                <w:rFonts w:ascii="Arial" w:hAnsi="Arial" w:cs="Arial"/>
                <w:sz w:val="20"/>
                <w:lang w:val="en-US"/>
              </w:rPr>
            </w:pPr>
            <w:r w:rsidRPr="005F3CCC">
              <w:rPr>
                <w:rFonts w:ascii="Arial" w:hAnsi="Arial" w:cs="Arial"/>
                <w:sz w:val="20"/>
                <w:lang w:val="en-US"/>
              </w:rPr>
              <w:t>5393</w:t>
            </w:r>
          </w:p>
        </w:tc>
        <w:tc>
          <w:tcPr>
            <w:tcW w:w="904" w:type="dxa"/>
            <w:shd w:val="clear" w:color="auto" w:fill="auto"/>
            <w:hideMark/>
          </w:tcPr>
          <w:p w:rsidR="005F3CCC" w:rsidRPr="005F3CCC" w:rsidRDefault="005F3CCC" w:rsidP="005F3CCC">
            <w:pPr>
              <w:jc w:val="right"/>
              <w:rPr>
                <w:rFonts w:ascii="Arial" w:hAnsi="Arial" w:cs="Arial"/>
                <w:sz w:val="20"/>
                <w:lang w:val="en-US"/>
              </w:rPr>
            </w:pPr>
            <w:r w:rsidRPr="005F3CCC">
              <w:rPr>
                <w:rFonts w:ascii="Arial" w:hAnsi="Arial" w:cs="Arial"/>
                <w:sz w:val="20"/>
                <w:lang w:val="en-US"/>
              </w:rPr>
              <w:t>274.22</w:t>
            </w:r>
          </w:p>
        </w:tc>
        <w:tc>
          <w:tcPr>
            <w:tcW w:w="789" w:type="dxa"/>
            <w:shd w:val="clear" w:color="auto" w:fill="auto"/>
            <w:hideMark/>
          </w:tcPr>
          <w:p w:rsidR="005F3CCC" w:rsidRPr="005F3CCC" w:rsidRDefault="005F3CCC" w:rsidP="005F3CCC">
            <w:pPr>
              <w:rPr>
                <w:rFonts w:ascii="Arial" w:hAnsi="Arial" w:cs="Arial"/>
                <w:sz w:val="20"/>
                <w:lang w:val="en-US"/>
              </w:rPr>
            </w:pPr>
            <w:r w:rsidRPr="005F3CCC">
              <w:rPr>
                <w:rFonts w:ascii="Arial" w:hAnsi="Arial" w:cs="Arial"/>
                <w:sz w:val="20"/>
                <w:lang w:val="en-US"/>
              </w:rPr>
              <w:t>22</w:t>
            </w:r>
          </w:p>
        </w:tc>
        <w:tc>
          <w:tcPr>
            <w:tcW w:w="910" w:type="dxa"/>
            <w:shd w:val="clear" w:color="auto" w:fill="auto"/>
            <w:hideMark/>
          </w:tcPr>
          <w:p w:rsidR="005F3CCC" w:rsidRPr="005F3CCC" w:rsidRDefault="005F3CCC" w:rsidP="005F3CCC">
            <w:pPr>
              <w:rPr>
                <w:rFonts w:ascii="Arial" w:hAnsi="Arial" w:cs="Arial"/>
                <w:sz w:val="20"/>
                <w:lang w:val="en-US"/>
              </w:rPr>
            </w:pPr>
            <w:r w:rsidRPr="005F3CCC">
              <w:rPr>
                <w:rFonts w:ascii="Arial" w:hAnsi="Arial" w:cs="Arial"/>
                <w:sz w:val="20"/>
                <w:lang w:val="en-US"/>
              </w:rPr>
              <w:t>22.5</w:t>
            </w:r>
          </w:p>
        </w:tc>
        <w:tc>
          <w:tcPr>
            <w:tcW w:w="2483" w:type="dxa"/>
            <w:shd w:val="clear" w:color="auto" w:fill="auto"/>
            <w:hideMark/>
          </w:tcPr>
          <w:p w:rsidR="005F3CCC" w:rsidRPr="005F3CCC" w:rsidRDefault="005F3CCC" w:rsidP="005F3CCC">
            <w:pPr>
              <w:rPr>
                <w:rFonts w:ascii="Arial" w:hAnsi="Arial" w:cs="Arial"/>
                <w:sz w:val="20"/>
                <w:lang w:val="en-US"/>
              </w:rPr>
            </w:pPr>
            <w:r w:rsidRPr="005F3CCC">
              <w:rPr>
                <w:rFonts w:ascii="Arial" w:hAnsi="Arial" w:cs="Arial"/>
                <w:sz w:val="20"/>
                <w:lang w:val="en-US"/>
              </w:rPr>
              <w:t>Lack of explanation on how N_ES values were selected in 22.5 is soliciting comments for clarification.</w:t>
            </w:r>
          </w:p>
        </w:tc>
        <w:tc>
          <w:tcPr>
            <w:tcW w:w="2479" w:type="dxa"/>
            <w:shd w:val="clear" w:color="auto" w:fill="auto"/>
            <w:hideMark/>
          </w:tcPr>
          <w:p w:rsidR="005F3CCC" w:rsidRPr="005F3CCC" w:rsidRDefault="005F3CCC" w:rsidP="005F3CCC">
            <w:pPr>
              <w:rPr>
                <w:rFonts w:ascii="Arial" w:hAnsi="Arial" w:cs="Arial"/>
                <w:sz w:val="20"/>
                <w:lang w:val="en-US"/>
              </w:rPr>
            </w:pPr>
            <w:r w:rsidRPr="005F3CCC">
              <w:rPr>
                <w:rFonts w:ascii="Arial" w:hAnsi="Arial" w:cs="Arial"/>
                <w:sz w:val="20"/>
                <w:lang w:val="en-US"/>
              </w:rPr>
              <w:t>Provide a brief explanation on how N_ES values were chosen.</w:t>
            </w:r>
          </w:p>
        </w:tc>
        <w:tc>
          <w:tcPr>
            <w:tcW w:w="1250" w:type="dxa"/>
            <w:shd w:val="clear" w:color="auto" w:fill="auto"/>
            <w:hideMark/>
          </w:tcPr>
          <w:p w:rsidR="005F3CCC" w:rsidRPr="005F3CCC" w:rsidRDefault="002D0852" w:rsidP="005F3CCC">
            <w:pPr>
              <w:rPr>
                <w:rFonts w:ascii="Arial" w:hAnsi="Arial" w:cs="Arial"/>
                <w:sz w:val="20"/>
                <w:lang w:val="en-US"/>
              </w:rPr>
            </w:pPr>
            <w:r>
              <w:rPr>
                <w:rFonts w:ascii="Arial" w:hAnsi="Arial" w:cs="Arial" w:hint="eastAsia"/>
                <w:sz w:val="20"/>
                <w:lang w:val="en-US" w:eastAsia="ko-KR"/>
              </w:rPr>
              <w:t>REVISED</w:t>
            </w:r>
            <w:bookmarkStart w:id="0" w:name="_GoBack"/>
            <w:bookmarkEnd w:id="0"/>
            <w:r w:rsidR="00DA1CDA">
              <w:rPr>
                <w:rFonts w:ascii="Arial" w:hAnsi="Arial" w:cs="Arial"/>
                <w:sz w:val="20"/>
                <w:lang w:val="en-US"/>
              </w:rPr>
              <w:t xml:space="preserve"> </w:t>
            </w:r>
            <w:r w:rsidR="008F0510">
              <w:rPr>
                <w:rFonts w:ascii="Arial" w:hAnsi="Arial" w:cs="Arial"/>
                <w:sz w:val="20"/>
                <w:lang w:val="en-US" w:eastAsia="ko-KR"/>
              </w:rPr>
              <w:t>a clarification on how the N_ES values were selected is included</w:t>
            </w:r>
            <w:r w:rsidR="008F0510">
              <w:rPr>
                <w:rFonts w:ascii="Arial" w:hAnsi="Arial" w:cs="Arial"/>
                <w:sz w:val="20"/>
                <w:lang w:val="en-US"/>
              </w:rPr>
              <w:t xml:space="preserve"> </w:t>
            </w:r>
            <w:r w:rsidR="00DA1CDA">
              <w:rPr>
                <w:rFonts w:ascii="Arial" w:hAnsi="Arial" w:cs="Arial"/>
                <w:sz w:val="20"/>
                <w:lang w:val="en-US"/>
              </w:rPr>
              <w:t xml:space="preserve">– see </w:t>
            </w:r>
            <w:r w:rsidR="00426B36">
              <w:rPr>
                <w:rFonts w:ascii="Arial" w:hAnsi="Arial" w:cs="Arial"/>
                <w:sz w:val="20"/>
                <w:lang w:val="en-US"/>
              </w:rPr>
              <w:t>12/0301</w:t>
            </w:r>
            <w:r w:rsidR="00DA1CDA">
              <w:rPr>
                <w:rFonts w:ascii="Arial" w:hAnsi="Arial" w:cs="Arial"/>
                <w:sz w:val="20"/>
                <w:lang w:val="en-US"/>
              </w:rPr>
              <w:t>r0</w:t>
            </w:r>
          </w:p>
        </w:tc>
      </w:tr>
    </w:tbl>
    <w:p w:rsidR="005F3CCC" w:rsidRDefault="005F3CCC"/>
    <w:p w:rsidR="005F3CCC" w:rsidRDefault="005F3CCC">
      <w:pPr>
        <w:rPr>
          <w:b/>
        </w:rPr>
      </w:pPr>
      <w:r>
        <w:rPr>
          <w:b/>
        </w:rPr>
        <w:t>Discussion</w:t>
      </w:r>
    </w:p>
    <w:p w:rsidR="005F3CCC" w:rsidRDefault="005F3CCC">
      <w:pPr>
        <w:rPr>
          <w:b/>
        </w:rPr>
      </w:pPr>
    </w:p>
    <w:p w:rsidR="005F3CCC" w:rsidRDefault="005F3CCC">
      <w:r>
        <w:t xml:space="preserve">The selection of N_ES in the MCS tables of Section 22.5 seems to follow </w:t>
      </w:r>
      <w:r w:rsidR="000C788E">
        <w:t xml:space="preserve">some </w:t>
      </w:r>
      <w:r>
        <w:t>logic, but some entries seem a bit arbitrarily</w:t>
      </w:r>
      <w:r w:rsidR="000C788E">
        <w:t xml:space="preserve">, for instance N_ES = 3 for MCS 2 in Table 22-51. This </w:t>
      </w:r>
      <w:r>
        <w:t>may result in some confusion</w:t>
      </w:r>
      <w:r w:rsidR="000C788E">
        <w:t xml:space="preserve">, for instance in an email sent to the </w:t>
      </w:r>
      <w:proofErr w:type="spellStart"/>
      <w:r w:rsidR="000C788E">
        <w:t>TGac</w:t>
      </w:r>
      <w:proofErr w:type="spellEnd"/>
      <w:r w:rsidR="000C788E">
        <w:t xml:space="preserve"> email reflector on Dec 1, 2012:</w:t>
      </w:r>
    </w:p>
    <w:p w:rsidR="000C788E" w:rsidRDefault="000C788E"/>
    <w:p w:rsidR="000C788E" w:rsidRDefault="000C788E" w:rsidP="000C788E">
      <w:pPr>
        <w:pStyle w:val="PlainText"/>
        <w:ind w:firstLine="720"/>
      </w:pPr>
      <w:r>
        <w:t>“By the way, MCS 2 in Table 22-51 of D1.4 has got to be wrong for</w:t>
      </w:r>
    </w:p>
    <w:p w:rsidR="000C788E" w:rsidRPr="005F3CCC" w:rsidRDefault="000C788E" w:rsidP="000C788E">
      <w:pPr>
        <w:ind w:firstLine="720"/>
      </w:pPr>
      <w:r>
        <w:t xml:space="preserve">  N_ES (should be 2, surely).”</w:t>
      </w:r>
    </w:p>
    <w:p w:rsidR="005F3CCC" w:rsidRDefault="005F3CCC"/>
    <w:p w:rsidR="000C788E" w:rsidRDefault="000C788E">
      <w:r>
        <w:t>The proposal is to add a clarifying statement, knowing that an exact formulation is hard to capture (see e.g. 11/0577r1</w:t>
      </w:r>
      <w:r w:rsidR="00DA1CDA">
        <w:t>)</w:t>
      </w:r>
      <w:r>
        <w:t>.</w:t>
      </w:r>
    </w:p>
    <w:p w:rsidR="000C788E" w:rsidRDefault="000C788E"/>
    <w:p w:rsidR="00DA1CDA" w:rsidRDefault="00DA1CDA">
      <w:pPr>
        <w:rPr>
          <w:b/>
        </w:rPr>
      </w:pPr>
      <w:r>
        <w:rPr>
          <w:b/>
        </w:rPr>
        <w:t>Resolution</w:t>
      </w:r>
    </w:p>
    <w:p w:rsidR="00DA1CDA" w:rsidRDefault="00DA1CDA">
      <w:pPr>
        <w:rPr>
          <w:b/>
        </w:rPr>
      </w:pPr>
    </w:p>
    <w:p w:rsidR="00DA1CDA" w:rsidRDefault="00DA1CDA">
      <w:pPr>
        <w:rPr>
          <w:i/>
        </w:rPr>
      </w:pPr>
      <w:r>
        <w:rPr>
          <w:i/>
        </w:rPr>
        <w:t xml:space="preserve">Editor, please add the following </w:t>
      </w:r>
      <w:r w:rsidR="004D5F05">
        <w:rPr>
          <w:i/>
        </w:rPr>
        <w:t>line</w:t>
      </w:r>
      <w:r>
        <w:rPr>
          <w:i/>
        </w:rPr>
        <w:t xml:space="preserve"> just before the tables in Clause 22.5:</w:t>
      </w:r>
    </w:p>
    <w:p w:rsidR="00DA1CDA" w:rsidRDefault="00DA1CDA"/>
    <w:p w:rsidR="002829E6" w:rsidRPr="002829E6" w:rsidRDefault="002829E6">
      <w:pPr>
        <w:rPr>
          <w:color w:val="000000" w:themeColor="text1"/>
        </w:rPr>
      </w:pPr>
      <w:r w:rsidRPr="002829E6">
        <w:rPr>
          <w:i/>
          <w:color w:val="000000" w:themeColor="text1"/>
        </w:rPr>
        <w:t>N</w:t>
      </w:r>
      <w:r w:rsidRPr="002829E6">
        <w:rPr>
          <w:i/>
          <w:color w:val="000000" w:themeColor="text1"/>
          <w:vertAlign w:val="subscript"/>
        </w:rPr>
        <w:t>ES</w:t>
      </w:r>
      <w:r w:rsidRPr="002829E6">
        <w:rPr>
          <w:color w:val="000000" w:themeColor="text1"/>
        </w:rPr>
        <w:t xml:space="preserve"> values were chosen to yield an integer number of punctured blocks per OFDM symbol</w:t>
      </w:r>
      <w:r>
        <w:rPr>
          <w:color w:val="000000" w:themeColor="text1"/>
        </w:rPr>
        <w:t>.</w:t>
      </w:r>
    </w:p>
    <w:sectPr w:rsidR="002829E6" w:rsidRPr="002829E6" w:rsidSect="005F3CCC">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1F5" w:rsidRDefault="009C31F5">
      <w:r>
        <w:separator/>
      </w:r>
    </w:p>
  </w:endnote>
  <w:endnote w:type="continuationSeparator" w:id="0">
    <w:p w:rsidR="009C31F5" w:rsidRDefault="009C3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381E9D">
    <w:pPr>
      <w:pStyle w:val="Footer"/>
      <w:tabs>
        <w:tab w:val="clear" w:pos="6480"/>
        <w:tab w:val="center" w:pos="4680"/>
        <w:tab w:val="right" w:pos="9360"/>
      </w:tabs>
    </w:pPr>
    <w:fldSimple w:instr=" SUBJECT  \* MERGEFORMAT ">
      <w:r w:rsidR="00C24115">
        <w:t>Submission</w:t>
      </w:r>
    </w:fldSimple>
    <w:r w:rsidR="0029020B">
      <w:tab/>
      <w:t xml:space="preserve">page </w:t>
    </w:r>
    <w:r>
      <w:fldChar w:fldCharType="begin"/>
    </w:r>
    <w:r w:rsidR="000130B9">
      <w:instrText xml:space="preserve">page </w:instrText>
    </w:r>
    <w:r>
      <w:fldChar w:fldCharType="separate"/>
    </w:r>
    <w:r w:rsidR="008F0510">
      <w:rPr>
        <w:noProof/>
      </w:rPr>
      <w:t>2</w:t>
    </w:r>
    <w:r>
      <w:rPr>
        <w:noProof/>
      </w:rPr>
      <w:fldChar w:fldCharType="end"/>
    </w:r>
    <w:r w:rsidR="0029020B">
      <w:tab/>
    </w:r>
    <w:fldSimple w:instr=" COMMENTS  \* MERGEFORMAT ">
      <w:r w:rsidR="00C24115">
        <w:t>Allert van Zelst, Qualcomm</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1F5" w:rsidRDefault="009C31F5">
      <w:r>
        <w:separator/>
      </w:r>
    </w:p>
  </w:footnote>
  <w:footnote w:type="continuationSeparator" w:id="0">
    <w:p w:rsidR="009C31F5" w:rsidRDefault="009C3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381E9D">
    <w:pPr>
      <w:pStyle w:val="Header"/>
      <w:tabs>
        <w:tab w:val="clear" w:pos="6480"/>
        <w:tab w:val="center" w:pos="4680"/>
        <w:tab w:val="right" w:pos="9360"/>
      </w:tabs>
    </w:pPr>
    <w:fldSimple w:instr=" KEYWORDS  \* MERGEFORMAT ">
      <w:r w:rsidR="00426B36">
        <w:t>March 2012</w:t>
      </w:r>
    </w:fldSimple>
    <w:r w:rsidR="0029020B">
      <w:tab/>
    </w:r>
    <w:r w:rsidR="0029020B">
      <w:tab/>
    </w:r>
    <w:fldSimple w:instr=" TITLE  \* MERGEFORMAT ">
      <w:r w:rsidR="00426B36">
        <w:t>doc.: IEEE 802.11-12/0301r0</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CD6119"/>
    <w:rsid w:val="00001796"/>
    <w:rsid w:val="000130B9"/>
    <w:rsid w:val="000C788E"/>
    <w:rsid w:val="001763A1"/>
    <w:rsid w:val="001D723B"/>
    <w:rsid w:val="002829E6"/>
    <w:rsid w:val="0029020B"/>
    <w:rsid w:val="002D0852"/>
    <w:rsid w:val="002D44BE"/>
    <w:rsid w:val="00381E9D"/>
    <w:rsid w:val="00426B36"/>
    <w:rsid w:val="00442037"/>
    <w:rsid w:val="004D5F05"/>
    <w:rsid w:val="005F3CCC"/>
    <w:rsid w:val="0062440B"/>
    <w:rsid w:val="00636710"/>
    <w:rsid w:val="006C0727"/>
    <w:rsid w:val="006E145F"/>
    <w:rsid w:val="006E345C"/>
    <w:rsid w:val="00770572"/>
    <w:rsid w:val="008F0510"/>
    <w:rsid w:val="00946196"/>
    <w:rsid w:val="009C31F5"/>
    <w:rsid w:val="00A01207"/>
    <w:rsid w:val="00AA427C"/>
    <w:rsid w:val="00BE68C2"/>
    <w:rsid w:val="00C24115"/>
    <w:rsid w:val="00CA09B2"/>
    <w:rsid w:val="00CD1010"/>
    <w:rsid w:val="00CD6119"/>
    <w:rsid w:val="00D13520"/>
    <w:rsid w:val="00DA1CDA"/>
    <w:rsid w:val="00DC5A7B"/>
    <w:rsid w:val="00EF0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010"/>
    <w:rPr>
      <w:sz w:val="22"/>
      <w:lang w:val="en-GB"/>
    </w:rPr>
  </w:style>
  <w:style w:type="paragraph" w:styleId="Heading1">
    <w:name w:val="heading 1"/>
    <w:basedOn w:val="Normal"/>
    <w:next w:val="Normal"/>
    <w:qFormat/>
    <w:rsid w:val="00CD1010"/>
    <w:pPr>
      <w:keepNext/>
      <w:keepLines/>
      <w:spacing w:before="320"/>
      <w:outlineLvl w:val="0"/>
    </w:pPr>
    <w:rPr>
      <w:rFonts w:ascii="Arial" w:hAnsi="Arial"/>
      <w:b/>
      <w:sz w:val="32"/>
      <w:u w:val="single"/>
    </w:rPr>
  </w:style>
  <w:style w:type="paragraph" w:styleId="Heading2">
    <w:name w:val="heading 2"/>
    <w:basedOn w:val="Normal"/>
    <w:next w:val="Normal"/>
    <w:qFormat/>
    <w:rsid w:val="00CD1010"/>
    <w:pPr>
      <w:keepNext/>
      <w:keepLines/>
      <w:spacing w:before="280"/>
      <w:outlineLvl w:val="1"/>
    </w:pPr>
    <w:rPr>
      <w:rFonts w:ascii="Arial" w:hAnsi="Arial"/>
      <w:b/>
      <w:sz w:val="28"/>
      <w:u w:val="single"/>
    </w:rPr>
  </w:style>
  <w:style w:type="paragraph" w:styleId="Heading3">
    <w:name w:val="heading 3"/>
    <w:basedOn w:val="Normal"/>
    <w:next w:val="Normal"/>
    <w:qFormat/>
    <w:rsid w:val="00CD1010"/>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1010"/>
    <w:pPr>
      <w:pBdr>
        <w:top w:val="single" w:sz="6" w:space="1" w:color="auto"/>
      </w:pBdr>
      <w:tabs>
        <w:tab w:val="center" w:pos="6480"/>
        <w:tab w:val="right" w:pos="12960"/>
      </w:tabs>
    </w:pPr>
    <w:rPr>
      <w:sz w:val="24"/>
    </w:rPr>
  </w:style>
  <w:style w:type="paragraph" w:styleId="Header">
    <w:name w:val="header"/>
    <w:basedOn w:val="Normal"/>
    <w:rsid w:val="00CD1010"/>
    <w:pPr>
      <w:pBdr>
        <w:bottom w:val="single" w:sz="6" w:space="2" w:color="auto"/>
      </w:pBdr>
      <w:tabs>
        <w:tab w:val="center" w:pos="6480"/>
        <w:tab w:val="right" w:pos="12960"/>
      </w:tabs>
    </w:pPr>
    <w:rPr>
      <w:b/>
      <w:sz w:val="28"/>
    </w:rPr>
  </w:style>
  <w:style w:type="paragraph" w:customStyle="1" w:styleId="T1">
    <w:name w:val="T1"/>
    <w:basedOn w:val="Normal"/>
    <w:rsid w:val="00CD1010"/>
    <w:pPr>
      <w:jc w:val="center"/>
    </w:pPr>
    <w:rPr>
      <w:b/>
      <w:sz w:val="28"/>
    </w:rPr>
  </w:style>
  <w:style w:type="paragraph" w:customStyle="1" w:styleId="T2">
    <w:name w:val="T2"/>
    <w:basedOn w:val="T1"/>
    <w:rsid w:val="00CD1010"/>
    <w:pPr>
      <w:spacing w:after="240"/>
      <w:ind w:left="720" w:right="720"/>
    </w:pPr>
  </w:style>
  <w:style w:type="paragraph" w:customStyle="1" w:styleId="T3">
    <w:name w:val="T3"/>
    <w:basedOn w:val="T1"/>
    <w:rsid w:val="00CD1010"/>
    <w:pPr>
      <w:pBdr>
        <w:bottom w:val="single" w:sz="6" w:space="1" w:color="auto"/>
      </w:pBdr>
      <w:tabs>
        <w:tab w:val="center" w:pos="4680"/>
      </w:tabs>
      <w:spacing w:after="240"/>
      <w:jc w:val="left"/>
    </w:pPr>
    <w:rPr>
      <w:b w:val="0"/>
      <w:sz w:val="24"/>
    </w:rPr>
  </w:style>
  <w:style w:type="paragraph" w:styleId="BodyTextIndent">
    <w:name w:val="Body Text Indent"/>
    <w:basedOn w:val="Normal"/>
    <w:rsid w:val="00CD1010"/>
    <w:pPr>
      <w:ind w:left="720" w:hanging="720"/>
    </w:pPr>
  </w:style>
  <w:style w:type="character" w:styleId="Hyperlink">
    <w:name w:val="Hyperlink"/>
    <w:basedOn w:val="DefaultParagraphFont"/>
    <w:rsid w:val="00CD1010"/>
    <w:rPr>
      <w:color w:val="0000FF"/>
      <w:u w:val="single"/>
    </w:rPr>
  </w:style>
  <w:style w:type="paragraph" w:styleId="PlainText">
    <w:name w:val="Plain Text"/>
    <w:basedOn w:val="Normal"/>
    <w:link w:val="PlainTextChar"/>
    <w:uiPriority w:val="99"/>
    <w:unhideWhenUsed/>
    <w:rsid w:val="000C788E"/>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0C788E"/>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PlainText">
    <w:name w:val="Plain Text"/>
    <w:basedOn w:val="Normal"/>
    <w:link w:val="PlainTextChar"/>
    <w:uiPriority w:val="99"/>
    <w:unhideWhenUsed/>
    <w:rsid w:val="000C788E"/>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0C788E"/>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41179807">
      <w:bodyDiv w:val="1"/>
      <w:marLeft w:val="0"/>
      <w:marRight w:val="0"/>
      <w:marTop w:val="0"/>
      <w:marBottom w:val="0"/>
      <w:divBdr>
        <w:top w:val="none" w:sz="0" w:space="0" w:color="auto"/>
        <w:left w:val="none" w:sz="0" w:space="0" w:color="auto"/>
        <w:bottom w:val="none" w:sz="0" w:space="0" w:color="auto"/>
        <w:right w:val="none" w:sz="0" w:space="0" w:color="auto"/>
      </w:divBdr>
    </w:div>
    <w:div w:id="76708944">
      <w:bodyDiv w:val="1"/>
      <w:marLeft w:val="0"/>
      <w:marRight w:val="0"/>
      <w:marTop w:val="0"/>
      <w:marBottom w:val="0"/>
      <w:divBdr>
        <w:top w:val="none" w:sz="0" w:space="0" w:color="auto"/>
        <w:left w:val="none" w:sz="0" w:space="0" w:color="auto"/>
        <w:bottom w:val="none" w:sz="0" w:space="0" w:color="auto"/>
        <w:right w:val="none" w:sz="0" w:space="0" w:color="auto"/>
      </w:divBdr>
    </w:div>
    <w:div w:id="330449460">
      <w:bodyDiv w:val="1"/>
      <w:marLeft w:val="0"/>
      <w:marRight w:val="0"/>
      <w:marTop w:val="0"/>
      <w:marBottom w:val="0"/>
      <w:divBdr>
        <w:top w:val="none" w:sz="0" w:space="0" w:color="auto"/>
        <w:left w:val="none" w:sz="0" w:space="0" w:color="auto"/>
        <w:bottom w:val="none" w:sz="0" w:space="0" w:color="auto"/>
        <w:right w:val="none" w:sz="0" w:space="0" w:color="auto"/>
      </w:divBdr>
    </w:div>
    <w:div w:id="452868552">
      <w:bodyDiv w:val="1"/>
      <w:marLeft w:val="0"/>
      <w:marRight w:val="0"/>
      <w:marTop w:val="0"/>
      <w:marBottom w:val="0"/>
      <w:divBdr>
        <w:top w:val="none" w:sz="0" w:space="0" w:color="auto"/>
        <w:left w:val="none" w:sz="0" w:space="0" w:color="auto"/>
        <w:bottom w:val="none" w:sz="0" w:space="0" w:color="auto"/>
        <w:right w:val="none" w:sz="0" w:space="0" w:color="auto"/>
      </w:divBdr>
    </w:div>
    <w:div w:id="514462493">
      <w:bodyDiv w:val="1"/>
      <w:marLeft w:val="0"/>
      <w:marRight w:val="0"/>
      <w:marTop w:val="0"/>
      <w:marBottom w:val="0"/>
      <w:divBdr>
        <w:top w:val="none" w:sz="0" w:space="0" w:color="auto"/>
        <w:left w:val="none" w:sz="0" w:space="0" w:color="auto"/>
        <w:bottom w:val="none" w:sz="0" w:space="0" w:color="auto"/>
        <w:right w:val="none" w:sz="0" w:space="0" w:color="auto"/>
      </w:divBdr>
    </w:div>
    <w:div w:id="651568248">
      <w:bodyDiv w:val="1"/>
      <w:marLeft w:val="0"/>
      <w:marRight w:val="0"/>
      <w:marTop w:val="0"/>
      <w:marBottom w:val="0"/>
      <w:divBdr>
        <w:top w:val="none" w:sz="0" w:space="0" w:color="auto"/>
        <w:left w:val="none" w:sz="0" w:space="0" w:color="auto"/>
        <w:bottom w:val="none" w:sz="0" w:space="0" w:color="auto"/>
        <w:right w:val="none" w:sz="0" w:space="0" w:color="auto"/>
      </w:divBdr>
    </w:div>
    <w:div w:id="1624842376">
      <w:bodyDiv w:val="1"/>
      <w:marLeft w:val="0"/>
      <w:marRight w:val="0"/>
      <w:marTop w:val="0"/>
      <w:marBottom w:val="0"/>
      <w:divBdr>
        <w:top w:val="none" w:sz="0" w:space="0" w:color="auto"/>
        <w:left w:val="none" w:sz="0" w:space="0" w:color="auto"/>
        <w:bottom w:val="none" w:sz="0" w:space="0" w:color="auto"/>
        <w:right w:val="none" w:sz="0" w:space="0" w:color="auto"/>
      </w:divBdr>
    </w:div>
    <w:div w:id="17733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youhan.kim@qca.qualcomm.com"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lert@qaulcom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rt\Documents\IEEE\Submiss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30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802.11-12/0301r0</dc:title>
  <dc:subject>Submission</dc:subject>
  <dc:creator>Allert van Zelst</dc:creator>
  <cp:keywords>March 2012</cp:keywords>
  <dc:description>Allert van Zelst, Qualcomm</dc:description>
  <cp:lastModifiedBy>Allert van Zelst</cp:lastModifiedBy>
  <cp:revision>5</cp:revision>
  <cp:lastPrinted>2012-03-05T15:18:00Z</cp:lastPrinted>
  <dcterms:created xsi:type="dcterms:W3CDTF">2012-03-07T09:16:00Z</dcterms:created>
  <dcterms:modified xsi:type="dcterms:W3CDTF">2012-03-09T15:27:00Z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