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45C13">
            <w:pPr>
              <w:pStyle w:val="T2"/>
            </w:pPr>
            <w:r>
              <w:t xml:space="preserve">December </w:t>
            </w:r>
            <w:r w:rsidR="00F31574">
              <w:t>6</w:t>
            </w:r>
            <w:r>
              <w:t xml:space="preserve">, 2010 </w:t>
            </w:r>
            <w:proofErr w:type="spellStart"/>
            <w:r>
              <w:t>TGah</w:t>
            </w:r>
            <w:proofErr w:type="spellEnd"/>
            <w:r w:rsidR="002B2993">
              <w:t xml:space="preserve"> Teleconference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745C13">
              <w:rPr>
                <w:b w:val="0"/>
                <w:sz w:val="20"/>
              </w:rPr>
              <w:t xml:space="preserve">  2010-12</w:t>
            </w:r>
            <w:r w:rsidR="002B2993">
              <w:rPr>
                <w:b w:val="0"/>
                <w:sz w:val="20"/>
              </w:rPr>
              <w:t>-</w:t>
            </w:r>
            <w:r w:rsidR="00745C13">
              <w:rPr>
                <w:b w:val="0"/>
                <w:sz w:val="20"/>
              </w:rPr>
              <w:t>07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B2993">
        <w:trPr>
          <w:jc w:val="center"/>
        </w:trPr>
        <w:tc>
          <w:tcPr>
            <w:tcW w:w="1336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Halasz</w:t>
            </w:r>
          </w:p>
        </w:tc>
        <w:tc>
          <w:tcPr>
            <w:tcW w:w="2064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Aclara</w:t>
            </w:r>
            <w:proofErr w:type="spellEnd"/>
          </w:p>
        </w:tc>
        <w:tc>
          <w:tcPr>
            <w:tcW w:w="2814" w:type="dxa"/>
            <w:vAlign w:val="center"/>
          </w:tcPr>
          <w:p w:rsidR="002B2993" w:rsidRPr="00745C13" w:rsidRDefault="00745C13" w:rsidP="00745C13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2315 W. 9</w:t>
            </w:r>
            <w:r w:rsidRPr="00745C13">
              <w:rPr>
                <w:b w:val="0"/>
                <w:sz w:val="20"/>
                <w:vertAlign w:val="superscript"/>
                <w:lang w:val="en-US"/>
              </w:rPr>
              <w:t>th</w:t>
            </w:r>
            <w:r>
              <w:rPr>
                <w:b w:val="0"/>
                <w:sz w:val="20"/>
                <w:lang w:val="en-US"/>
              </w:rPr>
              <w:t xml:space="preserve"> Street Austin, TX 78703</w:t>
            </w:r>
          </w:p>
        </w:tc>
        <w:tc>
          <w:tcPr>
            <w:tcW w:w="1715" w:type="dxa"/>
            <w:vAlign w:val="center"/>
          </w:tcPr>
          <w:p w:rsidR="002B2993" w:rsidRPr="001A3272" w:rsidRDefault="00745C13" w:rsidP="0013712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330-283-2715</w:t>
            </w:r>
          </w:p>
        </w:tc>
        <w:tc>
          <w:tcPr>
            <w:tcW w:w="1647" w:type="dxa"/>
            <w:vAlign w:val="center"/>
          </w:tcPr>
          <w:p w:rsidR="002B2993" w:rsidRDefault="00745C1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  <w:lang w:val="en-US"/>
              </w:rPr>
              <w:t>dave.halasz@oaktreewireless</w:t>
            </w:r>
            <w:r w:rsidR="002B2993" w:rsidRPr="001A3272">
              <w:rPr>
                <w:b w:val="0"/>
                <w:sz w:val="16"/>
                <w:lang w:val="en-US"/>
              </w:rPr>
              <w:t>.com</w:t>
            </w:r>
          </w:p>
        </w:tc>
      </w:tr>
      <w:tr w:rsidR="002B2993">
        <w:trPr>
          <w:jc w:val="center"/>
        </w:trPr>
        <w:tc>
          <w:tcPr>
            <w:tcW w:w="1336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B2993" w:rsidRDefault="002B299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D0541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2B2993">
                  <w:pPr>
                    <w:jc w:val="both"/>
                  </w:pPr>
                  <w:r>
                    <w:t xml:space="preserve">This </w:t>
                  </w:r>
                  <w:r w:rsidR="00745C13">
                    <w:t>document contains minutes of IEEE 802.11ah Task</w:t>
                  </w:r>
                  <w:r>
                    <w:t xml:space="preserve"> Group teleco</w:t>
                  </w:r>
                  <w:r w:rsidR="00745C13">
                    <w:t xml:space="preserve">nference meeting on Monday December </w:t>
                  </w:r>
                  <w:r w:rsidR="00F31574">
                    <w:t>6</w:t>
                  </w:r>
                  <w:r>
                    <w:t>, 2010.</w:t>
                  </w:r>
                </w:p>
              </w:txbxContent>
            </v:textbox>
          </v:shape>
        </w:pict>
      </w:r>
    </w:p>
    <w:p w:rsidR="002B2993" w:rsidRPr="00FF2069" w:rsidRDefault="00CA09B2" w:rsidP="002B2993">
      <w:pPr>
        <w:pStyle w:val="NormalWeb"/>
        <w:spacing w:before="0" w:beforeAutospacing="0" w:after="0" w:afterAutospacing="0"/>
        <w:rPr>
          <w:b/>
          <w:szCs w:val="22"/>
        </w:rPr>
      </w:pPr>
      <w:r>
        <w:br w:type="page"/>
      </w:r>
      <w:r w:rsidR="002B2993" w:rsidRPr="00FF2069">
        <w:rPr>
          <w:b/>
          <w:szCs w:val="22"/>
        </w:rPr>
        <w:lastRenderedPageBreak/>
        <w:t>Agenda:</w:t>
      </w:r>
    </w:p>
    <w:p w:rsidR="00827706" w:rsidRPr="005D313D" w:rsidRDefault="002B2993" w:rsidP="005D313D">
      <w:pPr>
        <w:rPr>
          <w:rFonts w:ascii="Calibri" w:hAnsi="Calibri"/>
          <w:szCs w:val="22"/>
          <w:lang w:val="en-US"/>
        </w:rPr>
      </w:pPr>
      <w:r w:rsidRPr="005242BF">
        <w:rPr>
          <w:rFonts w:ascii="Calibri" w:hAnsi="Calibri"/>
          <w:szCs w:val="22"/>
          <w:lang w:val="en-US"/>
        </w:rPr>
        <w:t> </w:t>
      </w:r>
    </w:p>
    <w:p w:rsidR="00827706" w:rsidRDefault="00827706" w:rsidP="00827706">
      <w:pPr>
        <w:pStyle w:val="ListParagraph"/>
        <w:numPr>
          <w:ilvl w:val="0"/>
          <w:numId w:val="4"/>
        </w:numPr>
      </w:pPr>
      <w:r>
        <w:t>IPR and other relevant IEEE policies (see pointers below)</w:t>
      </w:r>
    </w:p>
    <w:p w:rsidR="00827706" w:rsidRDefault="005D313D" w:rsidP="00827706">
      <w:pPr>
        <w:pStyle w:val="ListParagraph"/>
        <w:numPr>
          <w:ilvl w:val="0"/>
          <w:numId w:val="4"/>
        </w:numPr>
      </w:pPr>
      <w:r>
        <w:t>Review November meeting</w:t>
      </w:r>
    </w:p>
    <w:p w:rsidR="00827706" w:rsidRDefault="005D313D" w:rsidP="00827706">
      <w:pPr>
        <w:pStyle w:val="ListParagraph"/>
        <w:numPr>
          <w:ilvl w:val="0"/>
          <w:numId w:val="4"/>
        </w:numPr>
      </w:pPr>
      <w:r>
        <w:t>Submissions update</w:t>
      </w:r>
    </w:p>
    <w:p w:rsidR="00827706" w:rsidRDefault="00FD0541" w:rsidP="005D313D">
      <w:pPr>
        <w:pStyle w:val="ListParagraph"/>
        <w:numPr>
          <w:ilvl w:val="1"/>
          <w:numId w:val="4"/>
        </w:numPr>
      </w:pPr>
      <w:hyperlink r:id="rId8" w:history="1">
        <w:r w:rsidR="005D313D" w:rsidRPr="00B53423">
          <w:rPr>
            <w:rStyle w:val="Hyperlink"/>
          </w:rPr>
          <w:t>https://mentor.ieee.org/802.11/dcn/10/11-10-1206-01-00ah-use-of-sub-ghz-frequencies-in-india.ppt</w:t>
        </w:r>
      </w:hyperlink>
    </w:p>
    <w:p w:rsidR="005D313D" w:rsidRDefault="00FD0541" w:rsidP="005D313D">
      <w:pPr>
        <w:pStyle w:val="ListParagraph"/>
        <w:numPr>
          <w:ilvl w:val="1"/>
          <w:numId w:val="4"/>
        </w:numPr>
      </w:pPr>
      <w:hyperlink r:id="rId9" w:history="1">
        <w:r w:rsidR="005D313D" w:rsidRPr="00B53423">
          <w:rPr>
            <w:rStyle w:val="Hyperlink"/>
          </w:rPr>
          <w:t>https://mentor.ieee.org/802.11/dcn/10/11-10-1420-01-00ah-coexistence-in-950mhz-958mhz-in-japan.pdf</w:t>
        </w:r>
      </w:hyperlink>
    </w:p>
    <w:p w:rsidR="00827706" w:rsidRDefault="00827706" w:rsidP="005D313D">
      <w:pPr>
        <w:pStyle w:val="ListParagraph"/>
        <w:ind w:left="1440"/>
      </w:pPr>
    </w:p>
    <w:p w:rsidR="00827706" w:rsidRDefault="00827706" w:rsidP="00F75EF6">
      <w:pPr>
        <w:ind w:left="360"/>
      </w:pPr>
    </w:p>
    <w:p w:rsidR="00827706" w:rsidRDefault="00827706" w:rsidP="00F75EF6">
      <w:pPr>
        <w:ind w:left="360"/>
      </w:pPr>
    </w:p>
    <w:p w:rsidR="002B2993" w:rsidRDefault="002B2993" w:rsidP="00F75EF6">
      <w:pPr>
        <w:ind w:left="360"/>
      </w:pPr>
      <w:r>
        <w:t>NOTE: Please review the documents at the following links:</w:t>
      </w:r>
    </w:p>
    <w:p w:rsidR="002B2993" w:rsidRDefault="002B2993" w:rsidP="00F75EF6">
      <w:pPr>
        <w:spacing w:after="240"/>
        <w:ind w:left="360"/>
      </w:pPr>
      <w:r>
        <w:t xml:space="preserve">-  IEEE Patent Policy - </w:t>
      </w:r>
      <w:hyperlink r:id="rId10" w:tgtFrame="_blank" w:history="1">
        <w:r>
          <w:rPr>
            <w:rStyle w:val="Hyperlink"/>
          </w:rPr>
          <w:t>http://standards.ieee.org/board/pat/pat-slideset.ppt</w:t>
        </w:r>
      </w:hyperlink>
      <w:r>
        <w:br/>
        <w:t xml:space="preserve">-  Patent FAQ - </w:t>
      </w:r>
      <w:hyperlink r:id="rId11" w:tgtFrame="_blank" w:history="1">
        <w:r>
          <w:rPr>
            <w:rStyle w:val="Hyperlink"/>
          </w:rPr>
          <w:t>http://standards.ieee.org/board/pat/faq.pdf</w:t>
        </w:r>
      </w:hyperlink>
      <w:r>
        <w:br/>
        <w:t>-  </w:t>
      </w:r>
      <w:proofErr w:type="spellStart"/>
      <w:r>
        <w:t>LoA</w:t>
      </w:r>
      <w:proofErr w:type="spellEnd"/>
      <w:r>
        <w:t xml:space="preserve"> Form - </w:t>
      </w:r>
      <w:hyperlink r:id="rId12" w:tgtFrame="_blank" w:history="1">
        <w:r>
          <w:rPr>
            <w:rStyle w:val="Hyperlink"/>
          </w:rPr>
          <w:t>http://standards.ieee.org/board/pat/loa.pdf</w:t>
        </w:r>
      </w:hyperlink>
      <w:r>
        <w:br/>
        <w:t xml:space="preserve">-  Affiliation FAQ - </w:t>
      </w:r>
      <w:hyperlink r:id="rId13" w:tgtFrame="_blank" w:history="1">
        <w:r>
          <w:rPr>
            <w:rStyle w:val="Hyperlink"/>
          </w:rPr>
          <w:t>http://standards.ieee.org/faqs/affiliationFAQ.html</w:t>
        </w:r>
      </w:hyperlink>
      <w:r>
        <w:br/>
        <w:t xml:space="preserve">-  Anti-Trust FAQ - </w:t>
      </w:r>
      <w:hyperlink r:id="rId14" w:tgtFrame="_blank" w:history="1">
        <w:r>
          <w:rPr>
            <w:rStyle w:val="Hyperlink"/>
          </w:rPr>
          <w:t>http://standards.ieee.org/resources/antitrust-guidelines.pdf</w:t>
        </w:r>
      </w:hyperlink>
      <w:r>
        <w:br/>
        <w:t xml:space="preserve">-  Ethics - </w:t>
      </w:r>
      <w:hyperlink r:id="rId15" w:tgtFrame="_blank" w:history="1">
        <w:r>
          <w:rPr>
            <w:rStyle w:val="Hyperlink"/>
          </w:rPr>
          <w:t>http://www.ieee.org/portal/cms_docs/about/CoE_poster.pdf</w:t>
        </w:r>
      </w:hyperlink>
      <w:r>
        <w:br/>
        <w:t>-  IEEE 802.11 Working Group Policies and Procedures -</w:t>
      </w:r>
      <w:r>
        <w:br/>
        <w:t> </w:t>
      </w:r>
      <w:hyperlink r:id="rId16" w:tgtFrame="_blank" w:history="1">
        <w:r>
          <w:rPr>
            <w:rStyle w:val="Hyperlink"/>
          </w:rPr>
          <w:t>https://mentor.ieee.org/802.11/public-file/07/11-07-0360-04-0000-802-11-policies-and-procedures.doc</w:t>
        </w:r>
      </w:hyperlink>
    </w:p>
    <w:p w:rsidR="002B2993" w:rsidRDefault="002B2993" w:rsidP="00F75EF6">
      <w:pPr>
        <w:ind w:left="360"/>
      </w:pPr>
      <w:r>
        <w:br/>
        <w:t>Teleconference details:</w:t>
      </w:r>
    </w:p>
    <w:p w:rsidR="002B2993" w:rsidRDefault="002B2993" w:rsidP="00F75EF6">
      <w:pPr>
        <w:ind w:left="360"/>
      </w:pPr>
      <w:r>
        <w:t xml:space="preserve">Call-in toll-free number:  1-866-699-3239 </w:t>
      </w:r>
    </w:p>
    <w:p w:rsidR="002B2993" w:rsidRDefault="002B2993" w:rsidP="00F75EF6">
      <w:pPr>
        <w:ind w:left="360"/>
      </w:pPr>
      <w:r>
        <w:t xml:space="preserve">Call-in toll number:  1-408-792-6300 </w:t>
      </w:r>
    </w:p>
    <w:p w:rsidR="002B2993" w:rsidRDefault="00FF1F6B" w:rsidP="00F75EF6">
      <w:pPr>
        <w:ind w:left="360"/>
      </w:pPr>
      <w:r>
        <w:t>Attendee access code: 20681782</w:t>
      </w:r>
    </w:p>
    <w:p w:rsidR="002B2993" w:rsidRPr="005242BF" w:rsidRDefault="002B2993" w:rsidP="00F75EF6">
      <w:pPr>
        <w:textAlignment w:val="center"/>
        <w:rPr>
          <w:szCs w:val="22"/>
          <w:lang w:val="en-US"/>
        </w:rPr>
      </w:pPr>
    </w:p>
    <w:p w:rsidR="002B2993" w:rsidRPr="005242BF" w:rsidRDefault="002B2993" w:rsidP="002B2993">
      <w:pPr>
        <w:ind w:left="1620"/>
        <w:rPr>
          <w:color w:val="000000"/>
          <w:szCs w:val="22"/>
          <w:lang w:val="en-US"/>
        </w:rPr>
      </w:pPr>
      <w:r w:rsidRPr="005242BF">
        <w:rPr>
          <w:color w:val="000000"/>
          <w:szCs w:val="22"/>
          <w:lang w:val="en-US"/>
        </w:rPr>
        <w:t> </w:t>
      </w:r>
    </w:p>
    <w:p w:rsidR="002B2993" w:rsidRPr="00FF2069" w:rsidRDefault="002B2993" w:rsidP="002B2993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FF2069">
        <w:rPr>
          <w:rFonts w:ascii="Calibri" w:hAnsi="Calibri"/>
          <w:b/>
          <w:sz w:val="22"/>
          <w:szCs w:val="22"/>
        </w:rPr>
        <w:t>Meeting Minutes</w:t>
      </w:r>
    </w:p>
    <w:p w:rsidR="003D2C0E" w:rsidRDefault="003D2C0E" w:rsidP="004A369A"/>
    <w:p w:rsidR="007B4F4C" w:rsidRDefault="003D2C0E" w:rsidP="007B4F4C">
      <w:r>
        <w:t>Agenda</w:t>
      </w:r>
    </w:p>
    <w:p w:rsidR="003D2C0E" w:rsidRDefault="003D2C0E" w:rsidP="007B4F4C">
      <w:pPr>
        <w:ind w:left="360"/>
      </w:pPr>
      <w:r>
        <w:t>Accepted</w:t>
      </w:r>
    </w:p>
    <w:p w:rsidR="007B4F4C" w:rsidRDefault="007B4F4C" w:rsidP="004A369A"/>
    <w:p w:rsidR="00F75EF6" w:rsidRDefault="00F75EF6" w:rsidP="004A369A">
      <w:r>
        <w:t>Secretary selection</w:t>
      </w:r>
    </w:p>
    <w:p w:rsidR="00F62216" w:rsidRDefault="00F62216" w:rsidP="004A369A">
      <w:pPr>
        <w:ind w:left="360"/>
      </w:pPr>
      <w:r>
        <w:t>Dave Halasz (</w:t>
      </w:r>
      <w:proofErr w:type="spellStart"/>
      <w:r>
        <w:t>Aclara</w:t>
      </w:r>
      <w:proofErr w:type="spellEnd"/>
      <w:r>
        <w:t>)</w:t>
      </w:r>
    </w:p>
    <w:p w:rsidR="00F75EF6" w:rsidRDefault="00F75EF6" w:rsidP="00F75EF6">
      <w:pPr>
        <w:ind w:left="360"/>
      </w:pPr>
    </w:p>
    <w:p w:rsidR="00F75EF6" w:rsidRDefault="00F75EF6" w:rsidP="004A369A">
      <w:r>
        <w:t xml:space="preserve"> IPR and other relevant IEEE policies</w:t>
      </w:r>
    </w:p>
    <w:p w:rsidR="00F75EF6" w:rsidRDefault="00F75EF6" w:rsidP="004A369A"/>
    <w:p w:rsidR="00F75EF6" w:rsidRPr="00F75EF6" w:rsidRDefault="00F75EF6" w:rsidP="004A369A">
      <w:pPr>
        <w:numPr>
          <w:ilvl w:val="1"/>
          <w:numId w:val="1"/>
        </w:numPr>
        <w:tabs>
          <w:tab w:val="clear" w:pos="1440"/>
          <w:tab w:val="num" w:pos="1080"/>
        </w:tabs>
        <w:ind w:left="1260"/>
        <w:textAlignment w:val="center"/>
        <w:rPr>
          <w:color w:val="000000"/>
          <w:szCs w:val="22"/>
          <w:lang w:val="en-US"/>
        </w:rPr>
      </w:pPr>
      <w:r>
        <w:rPr>
          <w:color w:val="000000"/>
          <w:szCs w:val="22"/>
        </w:rPr>
        <w:t xml:space="preserve">Review: </w:t>
      </w:r>
      <w:r w:rsidR="00EA3B29" w:rsidRPr="00F75EF6">
        <w:rPr>
          <w:color w:val="000000"/>
          <w:szCs w:val="22"/>
        </w:rPr>
        <w:t xml:space="preserve">IEEE Patent Policy - </w:t>
      </w:r>
      <w:hyperlink r:id="rId17" w:history="1">
        <w:r w:rsidR="00EA3B29" w:rsidRPr="00F75EF6">
          <w:rPr>
            <w:rStyle w:val="Hyperlink"/>
            <w:szCs w:val="22"/>
          </w:rPr>
          <w:t>http://standards.ieee.org/board/pat/pat-slideset.ppt</w:t>
        </w:r>
      </w:hyperlink>
    </w:p>
    <w:p w:rsidR="00F75EF6" w:rsidRPr="005242BF" w:rsidRDefault="00F75EF6" w:rsidP="004A369A">
      <w:pPr>
        <w:numPr>
          <w:ilvl w:val="1"/>
          <w:numId w:val="1"/>
        </w:numPr>
        <w:tabs>
          <w:tab w:val="clear" w:pos="1440"/>
          <w:tab w:val="num" w:pos="1080"/>
        </w:tabs>
        <w:ind w:left="1260"/>
        <w:textAlignment w:val="center"/>
        <w:rPr>
          <w:color w:val="000000"/>
          <w:szCs w:val="22"/>
          <w:lang w:val="en-US"/>
        </w:rPr>
      </w:pPr>
      <w:r w:rsidRPr="005242BF">
        <w:rPr>
          <w:color w:val="000000"/>
          <w:szCs w:val="22"/>
          <w:lang w:val="en-US"/>
        </w:rPr>
        <w:t>Questions on IEEE SA Policies and Procedures -- none</w:t>
      </w:r>
    </w:p>
    <w:p w:rsidR="00F75EF6" w:rsidRDefault="00F75EF6" w:rsidP="004A369A">
      <w:pPr>
        <w:numPr>
          <w:ilvl w:val="1"/>
          <w:numId w:val="1"/>
        </w:numPr>
        <w:tabs>
          <w:tab w:val="clear" w:pos="1440"/>
          <w:tab w:val="num" w:pos="1080"/>
        </w:tabs>
        <w:ind w:left="1260"/>
        <w:textAlignment w:val="center"/>
        <w:rPr>
          <w:color w:val="000000"/>
          <w:szCs w:val="22"/>
          <w:lang w:val="en-US"/>
        </w:rPr>
      </w:pPr>
      <w:r w:rsidRPr="005242BF">
        <w:rPr>
          <w:color w:val="000000"/>
          <w:szCs w:val="22"/>
          <w:lang w:val="en-US"/>
        </w:rPr>
        <w:t xml:space="preserve">Essential Patents or knowledge of holders of Essential Patents </w:t>
      </w:r>
      <w:r w:rsidR="004A369A">
        <w:rPr>
          <w:color w:val="000000"/>
          <w:szCs w:val="22"/>
          <w:lang w:val="en-US"/>
        </w:rPr>
        <w:t>–</w:t>
      </w:r>
      <w:r w:rsidRPr="005242BF">
        <w:rPr>
          <w:color w:val="000000"/>
          <w:szCs w:val="22"/>
          <w:lang w:val="en-US"/>
        </w:rPr>
        <w:t xml:space="preserve"> none</w:t>
      </w:r>
    </w:p>
    <w:p w:rsidR="004A369A" w:rsidRDefault="004A369A" w:rsidP="004A369A">
      <w:pPr>
        <w:textAlignment w:val="center"/>
        <w:rPr>
          <w:color w:val="000000"/>
          <w:szCs w:val="22"/>
          <w:lang w:val="en-US"/>
        </w:rPr>
      </w:pPr>
    </w:p>
    <w:p w:rsidR="00CA09B2" w:rsidRDefault="00FF1F6B">
      <w:r>
        <w:t>Review November meeting</w:t>
      </w:r>
    </w:p>
    <w:p w:rsidR="00FF1F6B" w:rsidRDefault="00FF1F6B" w:rsidP="00FF1F6B">
      <w:pPr>
        <w:ind w:left="720"/>
      </w:pPr>
      <w:r>
        <w:t xml:space="preserve">Went through November web status update at </w:t>
      </w:r>
      <w:hyperlink r:id="rId18" w:history="1">
        <w:r>
          <w:rPr>
            <w:rStyle w:val="Hyperlink"/>
          </w:rPr>
          <w:t>http://www.ieee802.org/11/Reports/tgah_update.htm</w:t>
        </w:r>
      </w:hyperlink>
    </w:p>
    <w:p w:rsidR="00FF1F6B" w:rsidRDefault="00FF1F6B" w:rsidP="00FF1F6B">
      <w:pPr>
        <w:ind w:left="720"/>
      </w:pPr>
    </w:p>
    <w:p w:rsidR="00FF1F6B" w:rsidRDefault="00FF1F6B" w:rsidP="00FF1F6B">
      <w:pPr>
        <w:ind w:left="720"/>
      </w:pPr>
      <w:r>
        <w:t>Q: IEEE 802.15.4g has some bands we don’t list on IEEE 802.11ah PAR. Don’t we want to include them?</w:t>
      </w:r>
    </w:p>
    <w:p w:rsidR="00FF1F6B" w:rsidRDefault="00FF1F6B" w:rsidP="00FF1F6B">
      <w:pPr>
        <w:ind w:left="720"/>
      </w:pPr>
      <w:r>
        <w:t xml:space="preserve">C: The IEEE 802.11ah PAR </w:t>
      </w:r>
      <w:r w:rsidR="006E7DDB">
        <w:t xml:space="preserve">scope has an “e.g.” before the bands. The “e.g.” provides example. The task group is free to pick the bands as long as they meet other requirements of the PAR. </w:t>
      </w:r>
    </w:p>
    <w:p w:rsidR="006E7DDB" w:rsidRDefault="006E7DDB" w:rsidP="00FF1F6B">
      <w:pPr>
        <w:ind w:left="720"/>
      </w:pPr>
    </w:p>
    <w:p w:rsidR="006E7DDB" w:rsidRDefault="006E7DDB" w:rsidP="00FF1F6B">
      <w:pPr>
        <w:ind w:left="720"/>
      </w:pPr>
      <w:r>
        <w:lastRenderedPageBreak/>
        <w:t>Q: Can we go above 1 GHz?</w:t>
      </w:r>
    </w:p>
    <w:p w:rsidR="006E7DDB" w:rsidRDefault="006E7DDB" w:rsidP="00FF1F6B">
      <w:pPr>
        <w:ind w:left="720"/>
      </w:pPr>
      <w:r>
        <w:t>C: The PAR mentions “below 1 GHz”</w:t>
      </w:r>
    </w:p>
    <w:p w:rsidR="006E7DDB" w:rsidRDefault="006E7DDB" w:rsidP="00FF1F6B">
      <w:pPr>
        <w:ind w:left="720"/>
      </w:pPr>
    </w:p>
    <w:p w:rsidR="006E7DDB" w:rsidRDefault="006E7DDB" w:rsidP="00FF1F6B">
      <w:pPr>
        <w:ind w:left="720"/>
      </w:pPr>
      <w:r>
        <w:t>Q: Don’t we want a channel model to guide us?</w:t>
      </w:r>
    </w:p>
    <w:p w:rsidR="006E7DDB" w:rsidRDefault="006E7DDB" w:rsidP="00FF1F6B">
      <w:pPr>
        <w:ind w:left="720"/>
      </w:pPr>
      <w:r>
        <w:t xml:space="preserve">C: Submission 10/1313 is a channel model submission that was made in the November meeting. The author mentioned he expected to do a follow up in January and final results in March. </w:t>
      </w:r>
      <w:r w:rsidR="00BD5FB0">
        <w:t xml:space="preserve">People interested are encouraged to contact the authors to help contribute. </w:t>
      </w:r>
      <w:hyperlink r:id="rId19" w:history="1">
        <w:r w:rsidR="00BD5FB0" w:rsidRPr="00B53423">
          <w:rPr>
            <w:rStyle w:val="Hyperlink"/>
          </w:rPr>
          <w:t>https://mentor.ieee.org/802.11/dcn/10/11-10-1313-01-00ah-channel-modeling-for-802-11ah.pptx</w:t>
        </w:r>
      </w:hyperlink>
    </w:p>
    <w:p w:rsidR="00BD5FB0" w:rsidRDefault="00BD5FB0" w:rsidP="00FF1F6B">
      <w:pPr>
        <w:ind w:left="720"/>
      </w:pPr>
    </w:p>
    <w:p w:rsidR="00BD5FB0" w:rsidRDefault="00BD5FB0" w:rsidP="00FF1F6B">
      <w:pPr>
        <w:ind w:left="720"/>
      </w:pPr>
      <w:r>
        <w:t>Comment: March timeline for final proposals might be tight.</w:t>
      </w:r>
    </w:p>
    <w:p w:rsidR="00BD5FB0" w:rsidRDefault="00BD5FB0" w:rsidP="00FF1F6B">
      <w:pPr>
        <w:ind w:left="720"/>
      </w:pPr>
    </w:p>
    <w:p w:rsidR="00BD5FB0" w:rsidRDefault="00BD5FB0" w:rsidP="00FF1F6B">
      <w:pPr>
        <w:ind w:left="720"/>
      </w:pPr>
      <w:r>
        <w:t>Q: Shouldn’t we list use cases?</w:t>
      </w:r>
    </w:p>
    <w:p w:rsidR="00BD5FB0" w:rsidRDefault="00BD5FB0" w:rsidP="00FF1F6B">
      <w:pPr>
        <w:ind w:left="720"/>
      </w:pPr>
      <w:r>
        <w:t>C: A submission was given during the study group phase regarding use cases. People interested are encouraged to contact the author to help contribute and make a follow up submission.</w:t>
      </w:r>
      <w:r w:rsidRPr="00BD5FB0">
        <w:t xml:space="preserve"> </w:t>
      </w:r>
      <w:hyperlink r:id="rId20" w:history="1">
        <w:r w:rsidRPr="00B53423">
          <w:rPr>
            <w:rStyle w:val="Hyperlink"/>
          </w:rPr>
          <w:t>https://mentor.ieee.org/802.11/dcn/10/11-10-1044-00-0s1g-use-cases.pptx</w:t>
        </w:r>
      </w:hyperlink>
    </w:p>
    <w:p w:rsidR="00BD5FB0" w:rsidRDefault="00BD5FB0" w:rsidP="00FF1F6B">
      <w:pPr>
        <w:ind w:left="720"/>
      </w:pPr>
    </w:p>
    <w:p w:rsidR="00BD5FB0" w:rsidRDefault="00BD5FB0" w:rsidP="00FF1F6B">
      <w:pPr>
        <w:ind w:left="720"/>
      </w:pPr>
      <w:r>
        <w:t>Q: Is this group limited to Smart Grid applications?</w:t>
      </w:r>
    </w:p>
    <w:p w:rsidR="00BD5FB0" w:rsidRDefault="00BD5FB0" w:rsidP="00FF1F6B">
      <w:pPr>
        <w:ind w:left="720"/>
      </w:pPr>
      <w:r>
        <w:t>C: No</w:t>
      </w:r>
    </w:p>
    <w:p w:rsidR="00BD5FB0" w:rsidRDefault="00BD5FB0" w:rsidP="00FF1F6B">
      <w:pPr>
        <w:ind w:left="720"/>
      </w:pPr>
    </w:p>
    <w:p w:rsidR="00BD5FB0" w:rsidRDefault="00BD5FB0" w:rsidP="00FF1F6B">
      <w:pPr>
        <w:ind w:left="720"/>
      </w:pPr>
      <w:r>
        <w:t>Comment: Submission 10/1206 will also be following up with channel model for proposed frequency bands.</w:t>
      </w:r>
    </w:p>
    <w:p w:rsidR="00BD5FB0" w:rsidRDefault="00BD5FB0" w:rsidP="00FF1F6B">
      <w:pPr>
        <w:ind w:left="720"/>
      </w:pPr>
    </w:p>
    <w:p w:rsidR="00BD5FB0" w:rsidRDefault="00BD5FB0" w:rsidP="00FF1F6B">
      <w:pPr>
        <w:ind w:left="720"/>
      </w:pPr>
    </w:p>
    <w:p w:rsidR="00BD5FB0" w:rsidRDefault="00BD5FB0" w:rsidP="003866DE">
      <w:r>
        <w:t xml:space="preserve">Submission update for </w:t>
      </w:r>
      <w:hyperlink r:id="rId21" w:history="1">
        <w:r w:rsidRPr="00B53423">
          <w:rPr>
            <w:rStyle w:val="Hyperlink"/>
          </w:rPr>
          <w:t>https://mentor.ieee.org/802.11/dcn/10/11-10-1206-01-00ah-use-of-sub-ghz-frequencies-in-india.ppt</w:t>
        </w:r>
      </w:hyperlink>
    </w:p>
    <w:p w:rsidR="00BD5FB0" w:rsidRDefault="00BD5FB0" w:rsidP="00BD5FB0"/>
    <w:p w:rsidR="003866DE" w:rsidRDefault="003866DE" w:rsidP="003866DE">
      <w:pPr>
        <w:ind w:left="720"/>
      </w:pPr>
      <w:r>
        <w:t xml:space="preserve">No unlicensed band currently. But opportunity right now for 698 MHz – 806 </w:t>
      </w:r>
      <w:proofErr w:type="spellStart"/>
      <w:r>
        <w:t>MHz.</w:t>
      </w:r>
      <w:proofErr w:type="spellEnd"/>
    </w:p>
    <w:p w:rsidR="003866DE" w:rsidRDefault="003866DE" w:rsidP="003866DE">
      <w:pPr>
        <w:ind w:left="720"/>
      </w:pPr>
      <w:r>
        <w:t xml:space="preserve">Will try and discuss with IEEE 802.11af, IEEE 802.11 regulatory ad-hoc and IEEE 802.18 </w:t>
      </w:r>
      <w:r w:rsidR="00A17639">
        <w:t xml:space="preserve">regarding </w:t>
      </w:r>
      <w:r>
        <w:t>how we can influence regulations.</w:t>
      </w:r>
    </w:p>
    <w:p w:rsidR="003866DE" w:rsidRDefault="003866DE" w:rsidP="003866DE">
      <w:pPr>
        <w:ind w:left="720"/>
      </w:pPr>
    </w:p>
    <w:p w:rsidR="003866DE" w:rsidRDefault="003866DE" w:rsidP="003866DE">
      <w:r>
        <w:t xml:space="preserve">Submission discussion on </w:t>
      </w:r>
      <w:hyperlink r:id="rId22" w:history="1">
        <w:r w:rsidRPr="00B53423">
          <w:rPr>
            <w:rStyle w:val="Hyperlink"/>
          </w:rPr>
          <w:t>https://mentor.ieee.org/802.11/dcn/10/11-10-1420-01-00ah-coexistence-in-950mhz-958mhz-in-japan.pdf</w:t>
        </w:r>
      </w:hyperlink>
    </w:p>
    <w:p w:rsidR="003866DE" w:rsidRDefault="003866DE" w:rsidP="003866DE"/>
    <w:p w:rsidR="003866DE" w:rsidRDefault="003866DE" w:rsidP="003866DE">
      <w:pPr>
        <w:ind w:left="720"/>
      </w:pPr>
      <w:r>
        <w:t>Q: Difference between versions 1.0 and 1.1. Why the frequency difference?</w:t>
      </w:r>
    </w:p>
    <w:p w:rsidR="003866DE" w:rsidRDefault="003866DE" w:rsidP="003866DE">
      <w:pPr>
        <w:ind w:left="720"/>
      </w:pPr>
      <w:r>
        <w:t>Presenter: Will check.</w:t>
      </w:r>
    </w:p>
    <w:p w:rsidR="003866DE" w:rsidRDefault="003866DE" w:rsidP="003866DE">
      <w:pPr>
        <w:ind w:left="720"/>
      </w:pPr>
    </w:p>
    <w:p w:rsidR="003866DE" w:rsidRDefault="003866DE" w:rsidP="003866DE">
      <w:r>
        <w:t>Next conference call is January 10</w:t>
      </w:r>
      <w:r w:rsidRPr="003866DE">
        <w:rPr>
          <w:vertAlign w:val="superscript"/>
        </w:rPr>
        <w:t>th</w:t>
      </w:r>
      <w:r>
        <w:t>.</w:t>
      </w:r>
    </w:p>
    <w:p w:rsidR="003866DE" w:rsidRDefault="003866DE" w:rsidP="003866DE"/>
    <w:p w:rsidR="003866DE" w:rsidRDefault="003866DE" w:rsidP="003866DE">
      <w:r>
        <w:t xml:space="preserve">Call </w:t>
      </w:r>
      <w:proofErr w:type="spellStart"/>
      <w:r>
        <w:t>adgurned</w:t>
      </w:r>
      <w:proofErr w:type="spellEnd"/>
      <w:r>
        <w:t xml:space="preserve"> at 7:15 PM Eastern US time.</w:t>
      </w:r>
    </w:p>
    <w:sectPr w:rsidR="003866DE" w:rsidSect="00CF6E94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41" w:rsidRDefault="00FD0541">
      <w:r>
        <w:separator/>
      </w:r>
    </w:p>
  </w:endnote>
  <w:endnote w:type="continuationSeparator" w:id="0">
    <w:p w:rsidR="00FD0541" w:rsidRDefault="00FD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E7733F">
    <w:pPr>
      <w:pStyle w:val="Footer"/>
      <w:tabs>
        <w:tab w:val="clear" w:pos="6480"/>
        <w:tab w:val="center" w:pos="4680"/>
        <w:tab w:val="right" w:pos="9360"/>
      </w:tabs>
    </w:pPr>
    <w:r>
      <w:t>Meeting Minutes</w:t>
    </w:r>
    <w:r w:rsidR="0029020B">
      <w:tab/>
      <w:t xml:space="preserve">page </w:t>
    </w:r>
    <w:r w:rsidR="00C25EBB">
      <w:fldChar w:fldCharType="begin"/>
    </w:r>
    <w:r w:rsidR="00C25EBB">
      <w:instrText xml:space="preserve">page </w:instrText>
    </w:r>
    <w:r w:rsidR="00C25EBB">
      <w:fldChar w:fldCharType="separate"/>
    </w:r>
    <w:r w:rsidR="000822D3">
      <w:rPr>
        <w:noProof/>
      </w:rPr>
      <w:t>1</w:t>
    </w:r>
    <w:r w:rsidR="00C25EBB">
      <w:rPr>
        <w:noProof/>
      </w:rPr>
      <w:fldChar w:fldCharType="end"/>
    </w:r>
    <w:r w:rsidR="0029020B">
      <w:tab/>
    </w:r>
    <w:r w:rsidR="00C25EBB">
      <w:fldChar w:fldCharType="begin"/>
    </w:r>
    <w:r w:rsidR="00C25EBB">
      <w:instrText xml:space="preserve"> COMMENTS  \* MERGEFORMAT </w:instrText>
    </w:r>
    <w:r w:rsidR="00C25EBB">
      <w:fldChar w:fldCharType="separate"/>
    </w:r>
    <w:r w:rsidR="00BF1B30">
      <w:t xml:space="preserve">Dave Halasz, </w:t>
    </w:r>
    <w:proofErr w:type="spellStart"/>
    <w:r w:rsidR="00745C13">
      <w:t>OakTree</w:t>
    </w:r>
    <w:proofErr w:type="spellEnd"/>
    <w:r w:rsidR="00745C13">
      <w:t xml:space="preserve"> Wireless</w:t>
    </w:r>
    <w:r w:rsidR="00C25EBB">
      <w:fldChar w:fldCharType="end"/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41" w:rsidRDefault="00FD0541">
      <w:r>
        <w:separator/>
      </w:r>
    </w:p>
  </w:footnote>
  <w:footnote w:type="continuationSeparator" w:id="0">
    <w:p w:rsidR="00FD0541" w:rsidRDefault="00FD0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C25EB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51C6B">
      <w:t>December</w:t>
    </w:r>
    <w:r w:rsidR="00BF1B30">
      <w:t xml:space="preserve"> 2010</w:t>
    </w:r>
    <w:r>
      <w:fldChar w:fldCharType="end"/>
    </w:r>
    <w:r w:rsidR="0029020B">
      <w:tab/>
    </w:r>
    <w:r w:rsidR="0029020B">
      <w:tab/>
    </w:r>
    <w:r w:rsidR="00FD0541">
      <w:fldChar w:fldCharType="begin"/>
    </w:r>
    <w:r w:rsidR="00FD0541">
      <w:instrText xml:space="preserve"> TITLE  \* MERGEFORMAT </w:instrText>
    </w:r>
    <w:r w:rsidR="00FD0541">
      <w:fldChar w:fldCharType="separate"/>
    </w:r>
    <w:r w:rsidR="00B51C6B">
      <w:t>doc.: IEEE 802.11-10/1427</w:t>
    </w:r>
    <w:r w:rsidR="00BF1B30">
      <w:t>r0</w:t>
    </w:r>
    <w:r w:rsidR="00FD054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088"/>
    <w:multiLevelType w:val="hybridMultilevel"/>
    <w:tmpl w:val="7DCED7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7C352B"/>
    <w:multiLevelType w:val="hybridMultilevel"/>
    <w:tmpl w:val="F04A0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A11B98"/>
    <w:multiLevelType w:val="hybridMultilevel"/>
    <w:tmpl w:val="9872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4384A"/>
    <w:multiLevelType w:val="hybridMultilevel"/>
    <w:tmpl w:val="67FE07AC"/>
    <w:lvl w:ilvl="0" w:tplc="D6842E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C52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424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05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C60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C06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2A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3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2913FE8"/>
    <w:multiLevelType w:val="multilevel"/>
    <w:tmpl w:val="E4C4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D26B65"/>
    <w:multiLevelType w:val="multilevel"/>
    <w:tmpl w:val="A536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993"/>
    <w:rsid w:val="000436F0"/>
    <w:rsid w:val="000822D3"/>
    <w:rsid w:val="00100847"/>
    <w:rsid w:val="00103C0F"/>
    <w:rsid w:val="00110AEA"/>
    <w:rsid w:val="00117FD7"/>
    <w:rsid w:val="001A71F3"/>
    <w:rsid w:val="001D723B"/>
    <w:rsid w:val="001F141B"/>
    <w:rsid w:val="00231E6D"/>
    <w:rsid w:val="0029020B"/>
    <w:rsid w:val="002A382E"/>
    <w:rsid w:val="002B2993"/>
    <w:rsid w:val="002D44BE"/>
    <w:rsid w:val="0033161C"/>
    <w:rsid w:val="00361357"/>
    <w:rsid w:val="003866DE"/>
    <w:rsid w:val="003D2C0E"/>
    <w:rsid w:val="00442037"/>
    <w:rsid w:val="004A369A"/>
    <w:rsid w:val="00535766"/>
    <w:rsid w:val="005921A0"/>
    <w:rsid w:val="005C0091"/>
    <w:rsid w:val="005D313D"/>
    <w:rsid w:val="0062440B"/>
    <w:rsid w:val="00644785"/>
    <w:rsid w:val="006C0727"/>
    <w:rsid w:val="006E145F"/>
    <w:rsid w:val="006E7DDB"/>
    <w:rsid w:val="00745C13"/>
    <w:rsid w:val="00770572"/>
    <w:rsid w:val="007B4F4C"/>
    <w:rsid w:val="00821494"/>
    <w:rsid w:val="008251A7"/>
    <w:rsid w:val="00827706"/>
    <w:rsid w:val="009D07CD"/>
    <w:rsid w:val="00A17639"/>
    <w:rsid w:val="00A44959"/>
    <w:rsid w:val="00AA427C"/>
    <w:rsid w:val="00B303EE"/>
    <w:rsid w:val="00B51C6B"/>
    <w:rsid w:val="00BA63B7"/>
    <w:rsid w:val="00BD5FB0"/>
    <w:rsid w:val="00BE68C2"/>
    <w:rsid w:val="00BF1B30"/>
    <w:rsid w:val="00C06D8A"/>
    <w:rsid w:val="00C25EBB"/>
    <w:rsid w:val="00CA09B2"/>
    <w:rsid w:val="00CF6E94"/>
    <w:rsid w:val="00D53467"/>
    <w:rsid w:val="00D66E2C"/>
    <w:rsid w:val="00DC5A7B"/>
    <w:rsid w:val="00E5569B"/>
    <w:rsid w:val="00E7733F"/>
    <w:rsid w:val="00E810B1"/>
    <w:rsid w:val="00EA3B29"/>
    <w:rsid w:val="00F31574"/>
    <w:rsid w:val="00F62216"/>
    <w:rsid w:val="00F75EF6"/>
    <w:rsid w:val="00F83A58"/>
    <w:rsid w:val="00FB43B8"/>
    <w:rsid w:val="00FC2FE0"/>
    <w:rsid w:val="00FD0541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E94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F6E94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F6E94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F6E94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6E94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F6E94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F6E94"/>
    <w:pPr>
      <w:jc w:val="center"/>
    </w:pPr>
    <w:rPr>
      <w:b/>
      <w:sz w:val="28"/>
    </w:rPr>
  </w:style>
  <w:style w:type="paragraph" w:customStyle="1" w:styleId="T2">
    <w:name w:val="T2"/>
    <w:basedOn w:val="T1"/>
    <w:rsid w:val="00CF6E94"/>
    <w:pPr>
      <w:spacing w:after="240"/>
      <w:ind w:left="720" w:right="720"/>
    </w:pPr>
  </w:style>
  <w:style w:type="paragraph" w:customStyle="1" w:styleId="T3">
    <w:name w:val="T3"/>
    <w:basedOn w:val="T1"/>
    <w:rsid w:val="00CF6E94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F6E94"/>
    <w:pPr>
      <w:ind w:left="720" w:hanging="720"/>
    </w:pPr>
  </w:style>
  <w:style w:type="character" w:styleId="Hyperlink">
    <w:name w:val="Hyperlink"/>
    <w:basedOn w:val="DefaultParagraphFont"/>
    <w:uiPriority w:val="99"/>
    <w:rsid w:val="00CF6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993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F75E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706"/>
    <w:pPr>
      <w:ind w:left="720"/>
    </w:pPr>
    <w:rPr>
      <w:rFonts w:ascii="Calibri" w:eastAsiaTheme="minorHAnsi" w:hAnsi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6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0/11-10-1206-01-00ah-use-of-sub-ghz-frequencies-in-india.ppt" TargetMode="External"/><Relationship Id="rId13" Type="http://schemas.openxmlformats.org/officeDocument/2006/relationships/hyperlink" Target="http://standards.ieee.org/faqs/affiliationFAQ.html" TargetMode="External"/><Relationship Id="rId18" Type="http://schemas.openxmlformats.org/officeDocument/2006/relationships/hyperlink" Target="http://www.ieee802.org/11/Reports/tgah_update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0/11-10-1206-01-00ah-use-of-sub-ghz-frequencies-in-india.pp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standards.ieee.org/board/pat/pat-slideset.pp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public-file/07/11-07-0360-04-0000-802-11-policies-and-procedures.doc" TargetMode="External"/><Relationship Id="rId20" Type="http://schemas.openxmlformats.org/officeDocument/2006/relationships/hyperlink" Target="https://mentor.ieee.org/802.11/dcn/10/11-10-1044-00-0s1g-use-cases.ppt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faq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eee.org/portal/cms_docs/about/CoE_poster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standards.ieee.org/board/pat/pat-slideset.ppt" TargetMode="External"/><Relationship Id="rId19" Type="http://schemas.openxmlformats.org/officeDocument/2006/relationships/hyperlink" Target="https://mentor.ieee.org/802.11/dcn/10/11-10-1313-01-00ah-channel-modeling-for-802-11ah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0/11-10-1420-01-00ah-coexistence-in-950mhz-958mhz-in-japan.pdf" TargetMode="External"/><Relationship Id="rId14" Type="http://schemas.openxmlformats.org/officeDocument/2006/relationships/hyperlink" Target="http://standards.ieee.org/resources/antitrust-guidelines.pdf" TargetMode="External"/><Relationship Id="rId22" Type="http://schemas.openxmlformats.org/officeDocument/2006/relationships/hyperlink" Target="https://mentor.ieee.org/802.11/dcn/10/11-10-1420-01-00ah-coexistence-in-950mhz-958mhz-in-japa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halasz\Application%20Data\Microsoft\Templates\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457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802.11-10/0956r0</vt:lpstr>
    </vt:vector>
  </TitlesOfParts>
  <Company>Aclara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802.11-10/1427r0</dc:title>
  <dc:subject>Meeting Minutes</dc:subject>
  <dc:creator>Dave Halasz (Aclara)</dc:creator>
  <cp:keywords>December 2010</cp:keywords>
  <dc:description>Dave Halasz, Aclara</dc:description>
  <cp:lastModifiedBy>Dave Halasz</cp:lastModifiedBy>
  <cp:revision>18</cp:revision>
  <cp:lastPrinted>2010-04-06T16:58:00Z</cp:lastPrinted>
  <dcterms:created xsi:type="dcterms:W3CDTF">2010-04-05T16:00:00Z</dcterms:created>
  <dcterms:modified xsi:type="dcterms:W3CDTF">2010-12-07T17:28:00Z</dcterms:modified>
</cp:coreProperties>
</file>