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7"/>
        <w:gridCol w:w="2250"/>
        <w:gridCol w:w="3055"/>
        <w:gridCol w:w="1355"/>
        <w:gridCol w:w="2007"/>
      </w:tblGrid>
      <w:tr w:rsidR="00CA09B2" w:rsidTr="0010762A">
        <w:tblPrEx>
          <w:tblCellMar>
            <w:top w:w="0" w:type="dxa"/>
            <w:bottom w:w="0" w:type="dxa"/>
          </w:tblCellMar>
        </w:tblPrEx>
        <w:trPr>
          <w:trHeight w:val="485"/>
          <w:jc w:val="center"/>
        </w:trPr>
        <w:tc>
          <w:tcPr>
            <w:tcW w:w="11574" w:type="dxa"/>
            <w:gridSpan w:val="5"/>
            <w:vAlign w:val="center"/>
          </w:tcPr>
          <w:p w:rsidR="00CA09B2" w:rsidRPr="00B95038" w:rsidRDefault="004F7EFF" w:rsidP="00706581">
            <w:pPr>
              <w:pStyle w:val="T2"/>
            </w:pPr>
            <w:r>
              <w:t>Sponsor Ballot</w:t>
            </w:r>
            <w:r w:rsidR="002A561B">
              <w:t xml:space="preserve"> </w:t>
            </w:r>
            <w:r>
              <w:t xml:space="preserve">Proposed </w:t>
            </w:r>
            <w:r w:rsidR="00E450C3">
              <w:t>Resolution</w:t>
            </w:r>
            <w:r w:rsidR="00DC121F">
              <w:t>s</w:t>
            </w:r>
            <w:r w:rsidR="00E450C3">
              <w:t xml:space="preserve"> of Comment</w:t>
            </w:r>
            <w:r w:rsidR="00DC121F">
              <w:t xml:space="preserve">s </w:t>
            </w:r>
            <w:r w:rsidR="00706581">
              <w:t>in Clauses 7, 9 and 11</w:t>
            </w:r>
          </w:p>
        </w:tc>
      </w:tr>
      <w:tr w:rsidR="00CA09B2" w:rsidTr="0010762A">
        <w:tblPrEx>
          <w:tblCellMar>
            <w:top w:w="0" w:type="dxa"/>
            <w:bottom w:w="0" w:type="dxa"/>
          </w:tblCellMar>
        </w:tblPrEx>
        <w:trPr>
          <w:trHeight w:val="359"/>
          <w:jc w:val="center"/>
        </w:trPr>
        <w:tc>
          <w:tcPr>
            <w:tcW w:w="11574" w:type="dxa"/>
            <w:gridSpan w:val="5"/>
            <w:vAlign w:val="center"/>
          </w:tcPr>
          <w:p w:rsidR="00CA09B2" w:rsidRDefault="00CA09B2" w:rsidP="00F14DFC">
            <w:pPr>
              <w:pStyle w:val="T2"/>
              <w:ind w:left="0"/>
              <w:rPr>
                <w:sz w:val="20"/>
              </w:rPr>
            </w:pPr>
            <w:r>
              <w:rPr>
                <w:sz w:val="20"/>
              </w:rPr>
              <w:t>Date:</w:t>
            </w:r>
            <w:r>
              <w:rPr>
                <w:b w:val="0"/>
                <w:sz w:val="20"/>
              </w:rPr>
              <w:t xml:space="preserve">  </w:t>
            </w:r>
            <w:r w:rsidR="002A561B">
              <w:rPr>
                <w:b w:val="0"/>
                <w:sz w:val="20"/>
              </w:rPr>
              <w:t>20</w:t>
            </w:r>
            <w:r w:rsidR="00396043">
              <w:rPr>
                <w:b w:val="0"/>
                <w:sz w:val="20"/>
              </w:rPr>
              <w:t>09</w:t>
            </w:r>
            <w:r w:rsidR="002A561B">
              <w:rPr>
                <w:b w:val="0"/>
                <w:sz w:val="20"/>
              </w:rPr>
              <w:t>-</w:t>
            </w:r>
            <w:r w:rsidR="00F14DFC">
              <w:rPr>
                <w:b w:val="0"/>
                <w:sz w:val="20"/>
              </w:rPr>
              <w:t>1-12</w:t>
            </w:r>
          </w:p>
        </w:tc>
      </w:tr>
      <w:tr w:rsidR="00CA09B2" w:rsidTr="0010762A">
        <w:tblPrEx>
          <w:tblCellMar>
            <w:top w:w="0" w:type="dxa"/>
            <w:bottom w:w="0" w:type="dxa"/>
          </w:tblCellMar>
        </w:tblPrEx>
        <w:trPr>
          <w:cantSplit/>
          <w:jc w:val="center"/>
        </w:trPr>
        <w:tc>
          <w:tcPr>
            <w:tcW w:w="11574" w:type="dxa"/>
            <w:gridSpan w:val="5"/>
            <w:vAlign w:val="center"/>
          </w:tcPr>
          <w:p w:rsidR="00CA09B2" w:rsidRDefault="00CA09B2">
            <w:pPr>
              <w:pStyle w:val="T2"/>
              <w:spacing w:after="0"/>
              <w:ind w:left="0" w:right="0"/>
              <w:jc w:val="left"/>
              <w:rPr>
                <w:sz w:val="20"/>
              </w:rPr>
            </w:pPr>
            <w:r>
              <w:rPr>
                <w:sz w:val="20"/>
              </w:rPr>
              <w:t>Author(s):</w:t>
            </w:r>
          </w:p>
        </w:tc>
      </w:tr>
      <w:tr w:rsidR="00CA09B2" w:rsidTr="00B95038">
        <w:tblPrEx>
          <w:tblCellMar>
            <w:top w:w="0" w:type="dxa"/>
            <w:bottom w:w="0" w:type="dxa"/>
          </w:tblCellMar>
        </w:tblPrEx>
        <w:trPr>
          <w:jc w:val="center"/>
        </w:trPr>
        <w:tc>
          <w:tcPr>
            <w:tcW w:w="2907"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CA09B2">
            <w:pPr>
              <w:pStyle w:val="T2"/>
              <w:spacing w:after="0"/>
              <w:ind w:left="0" w:right="0"/>
              <w:jc w:val="left"/>
              <w:rPr>
                <w:sz w:val="20"/>
              </w:rPr>
            </w:pPr>
            <w:r>
              <w:rPr>
                <w:sz w:val="20"/>
              </w:rPr>
              <w:t>Company</w:t>
            </w:r>
          </w:p>
        </w:tc>
        <w:tc>
          <w:tcPr>
            <w:tcW w:w="3055" w:type="dxa"/>
            <w:vAlign w:val="center"/>
          </w:tcPr>
          <w:p w:rsidR="00CA09B2" w:rsidRDefault="00CA09B2">
            <w:pPr>
              <w:pStyle w:val="T2"/>
              <w:spacing w:after="0"/>
              <w:ind w:left="0" w:right="0"/>
              <w:jc w:val="left"/>
              <w:rPr>
                <w:sz w:val="20"/>
              </w:rPr>
            </w:pPr>
            <w:r>
              <w:rPr>
                <w:sz w:val="20"/>
              </w:rPr>
              <w:t>Address</w:t>
            </w:r>
          </w:p>
        </w:tc>
        <w:tc>
          <w:tcPr>
            <w:tcW w:w="1355" w:type="dxa"/>
            <w:vAlign w:val="center"/>
          </w:tcPr>
          <w:p w:rsidR="00CA09B2" w:rsidRDefault="00CA09B2">
            <w:pPr>
              <w:pStyle w:val="T2"/>
              <w:spacing w:after="0"/>
              <w:ind w:left="0" w:right="0"/>
              <w:jc w:val="left"/>
              <w:rPr>
                <w:sz w:val="20"/>
              </w:rPr>
            </w:pPr>
            <w:r>
              <w:rPr>
                <w:sz w:val="20"/>
              </w:rPr>
              <w:t>Phone</w:t>
            </w:r>
          </w:p>
        </w:tc>
        <w:tc>
          <w:tcPr>
            <w:tcW w:w="2007" w:type="dxa"/>
            <w:vAlign w:val="center"/>
          </w:tcPr>
          <w:p w:rsidR="00CA09B2" w:rsidRDefault="00CA09B2">
            <w:pPr>
              <w:pStyle w:val="T2"/>
              <w:spacing w:after="0"/>
              <w:ind w:left="0" w:right="0"/>
              <w:jc w:val="left"/>
              <w:rPr>
                <w:sz w:val="20"/>
              </w:rPr>
            </w:pPr>
            <w:r>
              <w:rPr>
                <w:sz w:val="20"/>
              </w:rPr>
              <w:t>email</w:t>
            </w:r>
          </w:p>
        </w:tc>
      </w:tr>
      <w:tr w:rsidR="00CA09B2" w:rsidTr="00B95038">
        <w:tblPrEx>
          <w:tblCellMar>
            <w:top w:w="0" w:type="dxa"/>
            <w:bottom w:w="0" w:type="dxa"/>
          </w:tblCellMar>
        </w:tblPrEx>
        <w:trPr>
          <w:jc w:val="center"/>
        </w:trPr>
        <w:tc>
          <w:tcPr>
            <w:tcW w:w="2907"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3055" w:type="dxa"/>
            <w:vAlign w:val="center"/>
          </w:tcPr>
          <w:p w:rsidR="00CA09B2" w:rsidRDefault="00CA09B2">
            <w:pPr>
              <w:pStyle w:val="T2"/>
              <w:spacing w:after="0"/>
              <w:ind w:left="0" w:right="0"/>
              <w:rPr>
                <w:b w:val="0"/>
                <w:sz w:val="20"/>
              </w:rPr>
            </w:pPr>
          </w:p>
        </w:tc>
        <w:tc>
          <w:tcPr>
            <w:tcW w:w="1355" w:type="dxa"/>
            <w:vAlign w:val="center"/>
          </w:tcPr>
          <w:p w:rsidR="00CA09B2" w:rsidRDefault="00CA09B2">
            <w:pPr>
              <w:pStyle w:val="T2"/>
              <w:spacing w:after="0"/>
              <w:ind w:left="0" w:right="0"/>
              <w:rPr>
                <w:b w:val="0"/>
                <w:sz w:val="20"/>
              </w:rPr>
            </w:pPr>
          </w:p>
        </w:tc>
        <w:tc>
          <w:tcPr>
            <w:tcW w:w="2007" w:type="dxa"/>
            <w:vAlign w:val="center"/>
          </w:tcPr>
          <w:p w:rsidR="00CA09B2" w:rsidRDefault="00CA09B2">
            <w:pPr>
              <w:pStyle w:val="T2"/>
              <w:spacing w:after="0"/>
              <w:ind w:left="0" w:right="0"/>
              <w:rPr>
                <w:b w:val="0"/>
                <w:sz w:val="16"/>
              </w:rPr>
            </w:pPr>
          </w:p>
        </w:tc>
      </w:tr>
      <w:tr w:rsidR="00E360A0" w:rsidTr="00B95038">
        <w:tblPrEx>
          <w:tblCellMar>
            <w:top w:w="0" w:type="dxa"/>
            <w:bottom w:w="0" w:type="dxa"/>
          </w:tblCellMar>
        </w:tblPrEx>
        <w:trPr>
          <w:jc w:val="center"/>
        </w:trPr>
        <w:tc>
          <w:tcPr>
            <w:tcW w:w="2907" w:type="dxa"/>
            <w:vAlign w:val="center"/>
          </w:tcPr>
          <w:p w:rsidR="00E360A0" w:rsidRDefault="005A0A35" w:rsidP="00042B25">
            <w:pPr>
              <w:pStyle w:val="T2"/>
              <w:spacing w:after="0"/>
              <w:ind w:left="0" w:right="0"/>
              <w:rPr>
                <w:b w:val="0"/>
                <w:sz w:val="20"/>
              </w:rPr>
            </w:pPr>
            <w:r>
              <w:rPr>
                <w:b w:val="0"/>
                <w:sz w:val="20"/>
              </w:rPr>
              <w:t>Justin McNew</w:t>
            </w:r>
          </w:p>
        </w:tc>
        <w:tc>
          <w:tcPr>
            <w:tcW w:w="2250" w:type="dxa"/>
            <w:vAlign w:val="center"/>
          </w:tcPr>
          <w:p w:rsidR="00E360A0" w:rsidRPr="00714680" w:rsidRDefault="005A0A35" w:rsidP="00042B25">
            <w:pPr>
              <w:pStyle w:val="T2"/>
              <w:spacing w:after="0"/>
              <w:ind w:left="0" w:right="0"/>
              <w:rPr>
                <w:b w:val="0"/>
                <w:sz w:val="20"/>
              </w:rPr>
            </w:pPr>
            <w:r>
              <w:rPr>
                <w:b w:val="0"/>
                <w:sz w:val="20"/>
              </w:rPr>
              <w:t>Kapsch TrafficCom | TechnoCom Mobility Solutions</w:t>
            </w:r>
          </w:p>
        </w:tc>
        <w:tc>
          <w:tcPr>
            <w:tcW w:w="3055" w:type="dxa"/>
            <w:vAlign w:val="center"/>
          </w:tcPr>
          <w:p w:rsidR="00E360A0" w:rsidRPr="0059236E" w:rsidRDefault="0059236E" w:rsidP="0059236E">
            <w:pPr>
              <w:pStyle w:val="T2"/>
              <w:spacing w:after="0"/>
              <w:ind w:left="0" w:right="0"/>
              <w:rPr>
                <w:rFonts w:ascii="Calibri" w:hAnsi="Calibri"/>
                <w:b w:val="0"/>
                <w:sz w:val="22"/>
                <w:szCs w:val="22"/>
                <w:lang w:val="en-US"/>
              </w:rPr>
            </w:pPr>
            <w:r w:rsidRPr="0059236E">
              <w:rPr>
                <w:b w:val="0"/>
                <w:sz w:val="20"/>
              </w:rPr>
              <w:t xml:space="preserve">2035 Corte </w:t>
            </w:r>
            <w:smartTag w:uri="urn:schemas-microsoft-com:office:smarttags" w:element="State">
              <w:r w:rsidRPr="0059236E">
                <w:rPr>
                  <w:b w:val="0"/>
                  <w:sz w:val="20"/>
                </w:rPr>
                <w:t>del</w:t>
              </w:r>
            </w:smartTag>
            <w:r w:rsidRPr="0059236E">
              <w:rPr>
                <w:b w:val="0"/>
                <w:sz w:val="20"/>
              </w:rPr>
              <w:t xml:space="preserve"> Nogal, </w:t>
            </w:r>
            <w:smartTag w:uri="urn:schemas-microsoft-com:office:smarttags" w:element="address">
              <w:smartTag w:uri="urn:schemas-microsoft-com:office:smarttags" w:element="Street">
                <w:r w:rsidRPr="0059236E">
                  <w:rPr>
                    <w:b w:val="0"/>
                    <w:sz w:val="20"/>
                  </w:rPr>
                  <w:t>Suite</w:t>
                </w:r>
              </w:smartTag>
              <w:r w:rsidRPr="0059236E">
                <w:rPr>
                  <w:b w:val="0"/>
                  <w:sz w:val="20"/>
                </w:rPr>
                <w:t xml:space="preserve"> 105</w:t>
              </w:r>
            </w:smartTag>
            <w:r w:rsidRPr="0059236E">
              <w:rPr>
                <w:b w:val="0"/>
                <w:sz w:val="20"/>
              </w:rPr>
              <w:t xml:space="preserve">, </w:t>
            </w:r>
            <w:smartTag w:uri="urn:schemas-microsoft-com:office:smarttags" w:element="place">
              <w:smartTag w:uri="urn:schemas-microsoft-com:office:smarttags" w:element="City">
                <w:r w:rsidRPr="0059236E">
                  <w:rPr>
                    <w:b w:val="0"/>
                    <w:sz w:val="20"/>
                  </w:rPr>
                  <w:t>Carlsbad</w:t>
                </w:r>
              </w:smartTag>
              <w:r w:rsidRPr="0059236E">
                <w:rPr>
                  <w:b w:val="0"/>
                  <w:sz w:val="20"/>
                </w:rPr>
                <w:t xml:space="preserve">, </w:t>
              </w:r>
              <w:smartTag w:uri="urn:schemas-microsoft-com:office:smarttags" w:element="State">
                <w:r w:rsidRPr="0059236E">
                  <w:rPr>
                    <w:b w:val="0"/>
                    <w:sz w:val="20"/>
                  </w:rPr>
                  <w:t>CA</w:t>
                </w:r>
              </w:smartTag>
              <w:r w:rsidRPr="0059236E">
                <w:rPr>
                  <w:b w:val="0"/>
                  <w:sz w:val="20"/>
                </w:rPr>
                <w:t xml:space="preserve"> </w:t>
              </w:r>
              <w:smartTag w:uri="urn:schemas-microsoft-com:office:smarttags" w:element="PostalCode">
                <w:r w:rsidRPr="0059236E">
                  <w:rPr>
                    <w:b w:val="0"/>
                    <w:sz w:val="20"/>
                  </w:rPr>
                  <w:t>92011</w:t>
                </w:r>
              </w:smartTag>
            </w:smartTag>
          </w:p>
        </w:tc>
        <w:tc>
          <w:tcPr>
            <w:tcW w:w="1355" w:type="dxa"/>
            <w:vAlign w:val="center"/>
          </w:tcPr>
          <w:p w:rsidR="00E360A0" w:rsidRDefault="0059236E" w:rsidP="00042B25">
            <w:pPr>
              <w:pStyle w:val="T2"/>
              <w:spacing w:after="0"/>
              <w:ind w:left="0" w:right="0"/>
              <w:rPr>
                <w:b w:val="0"/>
                <w:sz w:val="20"/>
              </w:rPr>
            </w:pPr>
            <w:r w:rsidRPr="0059236E">
              <w:rPr>
                <w:b w:val="0"/>
                <w:sz w:val="20"/>
              </w:rPr>
              <w:t>760-438-5115 x 175</w:t>
            </w:r>
          </w:p>
        </w:tc>
        <w:tc>
          <w:tcPr>
            <w:tcW w:w="2007" w:type="dxa"/>
            <w:vAlign w:val="center"/>
          </w:tcPr>
          <w:p w:rsidR="00E360A0" w:rsidRDefault="0059236E" w:rsidP="00042B25">
            <w:pPr>
              <w:pStyle w:val="T2"/>
              <w:spacing w:after="0"/>
              <w:ind w:left="0" w:right="0"/>
              <w:rPr>
                <w:b w:val="0"/>
                <w:sz w:val="16"/>
              </w:rPr>
            </w:pPr>
            <w:r>
              <w:rPr>
                <w:b w:val="0"/>
                <w:sz w:val="16"/>
              </w:rPr>
              <w:t>justin.mcnew@kapsch.net</w:t>
            </w: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3.05pt;margin-top:16.2pt;width:603pt;height:224pt;z-index:251657216;mso-position-horizontal-relative:text;mso-position-vertical-relative:text" o:allowincell="f" stroked="f">
            <v:textbox style="mso-next-textbox:#_x0000_s1027">
              <w:txbxContent>
                <w:p w:rsidR="007D29F2" w:rsidRDefault="007D29F2">
                  <w:pPr>
                    <w:pStyle w:val="T1"/>
                    <w:spacing w:after="120"/>
                  </w:pPr>
                  <w:r>
                    <w:t>Abstract</w:t>
                  </w:r>
                </w:p>
                <w:p w:rsidR="007D29F2" w:rsidRPr="00542387" w:rsidRDefault="007D29F2" w:rsidP="00F65FD8">
                  <w:pPr>
                    <w:pStyle w:val="T1"/>
                    <w:spacing w:after="120"/>
                    <w:jc w:val="left"/>
                    <w:rPr>
                      <w:b w:val="0"/>
                    </w:rPr>
                  </w:pPr>
                  <w:r w:rsidRPr="00542387">
                    <w:rPr>
                      <w:b w:val="0"/>
                    </w:rPr>
                    <w:t>This sub</w:t>
                  </w:r>
                  <w:r w:rsidR="00DC121F">
                    <w:rPr>
                      <w:b w:val="0"/>
                    </w:rPr>
                    <w:t xml:space="preserve">mission proposes </w:t>
                  </w:r>
                  <w:r w:rsidR="00BF7B0C">
                    <w:rPr>
                      <w:b w:val="0"/>
                    </w:rPr>
                    <w:t>resolution</w:t>
                  </w:r>
                  <w:r w:rsidR="00DC121F">
                    <w:rPr>
                      <w:b w:val="0"/>
                    </w:rPr>
                    <w:t>s</w:t>
                  </w:r>
                  <w:r w:rsidRPr="00542387">
                    <w:rPr>
                      <w:b w:val="0"/>
                    </w:rPr>
                    <w:t xml:space="preserve"> to </w:t>
                  </w:r>
                  <w:r w:rsidR="00BF7B0C">
                    <w:rPr>
                      <w:b w:val="0"/>
                    </w:rPr>
                    <w:t>comment</w:t>
                  </w:r>
                  <w:r w:rsidR="00DC121F">
                    <w:rPr>
                      <w:b w:val="0"/>
                    </w:rPr>
                    <w:t>s</w:t>
                  </w:r>
                  <w:r w:rsidR="005F1B2C">
                    <w:rPr>
                      <w:b w:val="0"/>
                    </w:rPr>
                    <w:t xml:space="preserve"> </w:t>
                  </w:r>
                  <w:r w:rsidR="00706581">
                    <w:rPr>
                      <w:b w:val="0"/>
                    </w:rPr>
                    <w:t>in Clauses 7, 9 and 11</w:t>
                  </w:r>
                  <w:r>
                    <w:rPr>
                      <w:b w:val="0"/>
                    </w:rPr>
                    <w:t>.</w:t>
                  </w:r>
                </w:p>
              </w:txbxContent>
            </v:textbox>
          </v:shape>
        </w:pict>
      </w:r>
    </w:p>
    <w:p w:rsidR="00E360A0" w:rsidRDefault="00E360A0" w:rsidP="00E360A0">
      <w:r>
        <w:br w:type="page"/>
      </w:r>
    </w:p>
    <w:tbl>
      <w:tblPr>
        <w:tblW w:w="5000" w:type="pct"/>
        <w:tblLook w:val="01E0"/>
      </w:tblPr>
      <w:tblGrid>
        <w:gridCol w:w="7210"/>
        <w:gridCol w:w="5966"/>
      </w:tblGrid>
      <w:tr w:rsidR="00E360A0" w:rsidRPr="00F41ECF" w:rsidTr="00F41ECF">
        <w:tc>
          <w:tcPr>
            <w:tcW w:w="2736" w:type="pct"/>
          </w:tcPr>
          <w:p w:rsidR="00E360A0" w:rsidRPr="00F41ECF" w:rsidRDefault="00E360A0" w:rsidP="00F41ECF">
            <w:pPr>
              <w:jc w:val="center"/>
              <w:rPr>
                <w:rFonts w:ascii="Arial" w:hAnsi="Arial" w:cs="Arial"/>
                <w:b/>
                <w:sz w:val="32"/>
                <w:szCs w:val="32"/>
              </w:rPr>
            </w:pPr>
            <w:r w:rsidRPr="00F41ECF">
              <w:rPr>
                <w:rFonts w:ascii="Arial" w:hAnsi="Arial" w:cs="Arial"/>
                <w:b/>
                <w:noProof/>
                <w:sz w:val="32"/>
                <w:szCs w:val="32"/>
                <w:lang w:val="en-US"/>
              </w:rPr>
            </w:r>
            <w:r w:rsidRPr="00F41ECF">
              <w:rPr>
                <w:rFonts w:ascii="Arial" w:hAnsi="Arial" w:cs="Arial"/>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width:228pt;height:42pt;mso-position-horizontal-relative:char;mso-position-vertical-relative:line" fillcolor="#06c" strokecolor="#9cf" strokeweight="1.5pt">
                  <v:shadow on="t" color="#900"/>
                  <v:textpath style="font-family:&quot;Impact&quot;;v-text-kern:t" trim="t" fitpath="t" string="TGp  /  WAVE"/>
                  <w10:wrap type="none"/>
                  <w10:anchorlock/>
                </v:shape>
              </w:pict>
            </w:r>
          </w:p>
        </w:tc>
        <w:tc>
          <w:tcPr>
            <w:tcW w:w="2264" w:type="pct"/>
          </w:tcPr>
          <w:p w:rsidR="00E360A0" w:rsidRPr="00F41ECF" w:rsidRDefault="00773D8F" w:rsidP="00F41ECF">
            <w:pPr>
              <w:jc w:val="center"/>
              <w:rPr>
                <w:rFonts w:ascii="Arial" w:hAnsi="Arial" w:cs="Arial"/>
                <w:b/>
                <w:sz w:val="32"/>
                <w:szCs w:val="32"/>
              </w:rPr>
            </w:pPr>
            <w:r>
              <w:rPr>
                <w:rFonts w:ascii="Arial" w:hAnsi="Arial" w:cs="Arial"/>
                <w:b/>
                <w:sz w:val="32"/>
                <w:szCs w:val="32"/>
              </w:rPr>
              <w:t>Sponsor Ballot</w:t>
            </w:r>
            <w:r w:rsidR="00E360A0" w:rsidRPr="00F41ECF">
              <w:rPr>
                <w:rFonts w:ascii="Arial" w:hAnsi="Arial" w:cs="Arial"/>
                <w:b/>
                <w:sz w:val="32"/>
                <w:szCs w:val="32"/>
              </w:rPr>
              <w:t xml:space="preserve"> Comment Resolution</w:t>
            </w:r>
          </w:p>
        </w:tc>
      </w:tr>
    </w:tbl>
    <w:p w:rsidR="00E360A0" w:rsidRDefault="00E360A0" w:rsidP="00E360A0"/>
    <w:p w:rsidR="00E360A0" w:rsidRPr="001E7B3A" w:rsidRDefault="00E360A0" w:rsidP="00E360A0">
      <w:pPr>
        <w:numPr>
          <w:ilvl w:val="0"/>
          <w:numId w:val="2"/>
        </w:numPr>
        <w:rPr>
          <w:b/>
          <w:i/>
          <w:sz w:val="24"/>
        </w:rPr>
      </w:pPr>
      <w:r w:rsidRPr="001E7B3A">
        <w:rPr>
          <w:rFonts w:ascii="Arial" w:hAnsi="Arial" w:cs="Arial"/>
          <w:b/>
          <w:sz w:val="24"/>
          <w:szCs w:val="24"/>
        </w:rPr>
        <w:t>COMMENT:</w:t>
      </w:r>
    </w:p>
    <w:p w:rsidR="00E360A0" w:rsidRDefault="00E360A0" w:rsidP="00E360A0">
      <w:pPr>
        <w:rPr>
          <w:sz w:val="24"/>
        </w:rPr>
      </w:pPr>
    </w:p>
    <w:tbl>
      <w:tblPr>
        <w:tblW w:w="4872" w:type="pct"/>
        <w:tblLook w:val="04A0"/>
      </w:tblPr>
      <w:tblGrid>
        <w:gridCol w:w="661"/>
        <w:gridCol w:w="1195"/>
        <w:gridCol w:w="599"/>
        <w:gridCol w:w="995"/>
        <w:gridCol w:w="439"/>
        <w:gridCol w:w="2194"/>
        <w:gridCol w:w="3274"/>
        <w:gridCol w:w="3482"/>
      </w:tblGrid>
      <w:tr w:rsidR="004F7EFF" w:rsidRPr="00237E19" w:rsidTr="00C54096">
        <w:trPr>
          <w:cantSplit/>
          <w:trHeight w:val="359"/>
          <w:tblHeader/>
        </w:trPr>
        <w:tc>
          <w:tcPr>
            <w:tcW w:w="257" w:type="pct"/>
            <w:tcBorders>
              <w:top w:val="single" w:sz="4" w:space="0" w:color="auto"/>
              <w:left w:val="single" w:sz="4" w:space="0" w:color="auto"/>
              <w:bottom w:val="single" w:sz="4" w:space="0" w:color="auto"/>
              <w:right w:val="nil"/>
            </w:tcBorders>
            <w:shd w:val="clear" w:color="auto" w:fill="auto"/>
            <w:hideMark/>
          </w:tcPr>
          <w:p w:rsidR="004F7EFF" w:rsidRPr="00237E19" w:rsidRDefault="004F7EFF" w:rsidP="00F36DC6">
            <w:pPr>
              <w:rPr>
                <w:rFonts w:ascii="Arial" w:hAnsi="Arial" w:cs="Arial"/>
                <w:b/>
                <w:bCs/>
                <w:sz w:val="16"/>
                <w:szCs w:val="16"/>
              </w:rPr>
            </w:pPr>
            <w:r w:rsidRPr="00237E19">
              <w:rPr>
                <w:rFonts w:ascii="Arial" w:hAnsi="Arial" w:cs="Arial"/>
                <w:b/>
                <w:bCs/>
                <w:sz w:val="16"/>
                <w:szCs w:val="16"/>
              </w:rPr>
              <w:t>ID</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4F7EFF" w:rsidRPr="00237E19" w:rsidRDefault="004F7EFF" w:rsidP="00F36DC6">
            <w:pPr>
              <w:rPr>
                <w:rFonts w:ascii="Arial" w:hAnsi="Arial" w:cs="Arial"/>
                <w:b/>
                <w:bCs/>
                <w:sz w:val="16"/>
                <w:szCs w:val="16"/>
              </w:rPr>
            </w:pPr>
            <w:r w:rsidRPr="00237E19">
              <w:rPr>
                <w:rFonts w:ascii="Arial" w:hAnsi="Arial" w:cs="Arial"/>
                <w:b/>
                <w:bCs/>
                <w:sz w:val="16"/>
                <w:szCs w:val="16"/>
              </w:rPr>
              <w:t>Commenter</w:t>
            </w:r>
          </w:p>
        </w:tc>
        <w:tc>
          <w:tcPr>
            <w:tcW w:w="233" w:type="pct"/>
            <w:tcBorders>
              <w:top w:val="single" w:sz="4" w:space="0" w:color="auto"/>
              <w:left w:val="nil"/>
              <w:bottom w:val="single" w:sz="4" w:space="0" w:color="auto"/>
              <w:right w:val="single" w:sz="4" w:space="0" w:color="auto"/>
            </w:tcBorders>
            <w:shd w:val="clear" w:color="auto" w:fill="auto"/>
            <w:hideMark/>
          </w:tcPr>
          <w:p w:rsidR="004F7EFF" w:rsidRPr="00237E19" w:rsidRDefault="0060247C" w:rsidP="00F36DC6">
            <w:pPr>
              <w:rPr>
                <w:rFonts w:ascii="Arial" w:hAnsi="Arial" w:cs="Arial"/>
                <w:b/>
                <w:bCs/>
                <w:sz w:val="16"/>
                <w:szCs w:val="16"/>
              </w:rPr>
            </w:pPr>
            <w:r>
              <w:rPr>
                <w:rFonts w:ascii="Arial" w:hAnsi="Arial" w:cs="Arial"/>
                <w:b/>
                <w:bCs/>
                <w:sz w:val="16"/>
                <w:szCs w:val="16"/>
              </w:rPr>
              <w:t>Page</w:t>
            </w:r>
          </w:p>
        </w:tc>
        <w:tc>
          <w:tcPr>
            <w:tcW w:w="388" w:type="pct"/>
            <w:tcBorders>
              <w:top w:val="single" w:sz="4" w:space="0" w:color="auto"/>
              <w:left w:val="nil"/>
              <w:bottom w:val="single" w:sz="4" w:space="0" w:color="auto"/>
              <w:right w:val="single" w:sz="4" w:space="0" w:color="auto"/>
            </w:tcBorders>
            <w:shd w:val="clear" w:color="auto" w:fill="auto"/>
            <w:hideMark/>
          </w:tcPr>
          <w:p w:rsidR="004F7EFF" w:rsidRPr="00237E19" w:rsidRDefault="0060247C" w:rsidP="00F36DC6">
            <w:pPr>
              <w:rPr>
                <w:rFonts w:ascii="Arial" w:hAnsi="Arial" w:cs="Arial"/>
                <w:b/>
                <w:bCs/>
                <w:sz w:val="16"/>
                <w:szCs w:val="16"/>
              </w:rPr>
            </w:pPr>
            <w:r>
              <w:rPr>
                <w:rFonts w:ascii="Arial" w:hAnsi="Arial" w:cs="Arial"/>
                <w:b/>
                <w:bCs/>
                <w:sz w:val="16"/>
                <w:szCs w:val="16"/>
              </w:rPr>
              <w:t>Sub-clause</w:t>
            </w:r>
          </w:p>
        </w:tc>
        <w:tc>
          <w:tcPr>
            <w:tcW w:w="171" w:type="pct"/>
            <w:tcBorders>
              <w:top w:val="single" w:sz="4" w:space="0" w:color="auto"/>
              <w:left w:val="nil"/>
              <w:bottom w:val="single" w:sz="4" w:space="0" w:color="auto"/>
              <w:right w:val="single" w:sz="4" w:space="0" w:color="auto"/>
            </w:tcBorders>
            <w:shd w:val="clear" w:color="auto" w:fill="auto"/>
            <w:hideMark/>
          </w:tcPr>
          <w:p w:rsidR="004F7EFF" w:rsidRPr="00237E19" w:rsidRDefault="004F7EFF" w:rsidP="00F36DC6">
            <w:pPr>
              <w:rPr>
                <w:rFonts w:ascii="Arial" w:hAnsi="Arial" w:cs="Arial"/>
                <w:b/>
                <w:bCs/>
                <w:sz w:val="16"/>
                <w:szCs w:val="16"/>
              </w:rPr>
            </w:pPr>
            <w:r w:rsidRPr="00237E19">
              <w:rPr>
                <w:rFonts w:ascii="Arial" w:hAnsi="Arial" w:cs="Arial"/>
                <w:b/>
                <w:bCs/>
                <w:sz w:val="16"/>
                <w:szCs w:val="16"/>
              </w:rPr>
              <w:t>Ln</w:t>
            </w:r>
          </w:p>
        </w:tc>
        <w:tc>
          <w:tcPr>
            <w:tcW w:w="855" w:type="pct"/>
            <w:tcBorders>
              <w:top w:val="single" w:sz="4" w:space="0" w:color="auto"/>
              <w:left w:val="nil"/>
              <w:bottom w:val="single" w:sz="4" w:space="0" w:color="auto"/>
              <w:right w:val="nil"/>
            </w:tcBorders>
            <w:shd w:val="clear" w:color="auto" w:fill="auto"/>
            <w:hideMark/>
          </w:tcPr>
          <w:p w:rsidR="004F7EFF" w:rsidRPr="00237E19" w:rsidRDefault="004F7EFF" w:rsidP="00F36DC6">
            <w:pPr>
              <w:rPr>
                <w:rFonts w:ascii="Arial" w:hAnsi="Arial" w:cs="Arial"/>
                <w:b/>
                <w:bCs/>
                <w:sz w:val="16"/>
                <w:szCs w:val="16"/>
              </w:rPr>
            </w:pPr>
            <w:r w:rsidRPr="00237E19">
              <w:rPr>
                <w:rFonts w:ascii="Arial" w:hAnsi="Arial" w:cs="Arial"/>
                <w:b/>
                <w:bCs/>
                <w:sz w:val="16"/>
                <w:szCs w:val="16"/>
              </w:rPr>
              <w:t>Comment</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4F7EFF" w:rsidRPr="00237E19" w:rsidRDefault="004F7EFF" w:rsidP="00F36DC6">
            <w:pPr>
              <w:rPr>
                <w:rFonts w:ascii="Arial" w:hAnsi="Arial" w:cs="Arial"/>
                <w:b/>
                <w:bCs/>
                <w:sz w:val="16"/>
                <w:szCs w:val="16"/>
              </w:rPr>
            </w:pPr>
            <w:r>
              <w:rPr>
                <w:rFonts w:ascii="Arial" w:hAnsi="Arial" w:cs="Arial"/>
                <w:b/>
                <w:bCs/>
                <w:sz w:val="16"/>
                <w:szCs w:val="16"/>
              </w:rPr>
              <w:t>Proposed Change</w:t>
            </w:r>
          </w:p>
        </w:tc>
        <w:tc>
          <w:tcPr>
            <w:tcW w:w="1356" w:type="pct"/>
            <w:tcBorders>
              <w:top w:val="single" w:sz="4" w:space="0" w:color="auto"/>
              <w:left w:val="nil"/>
              <w:bottom w:val="single" w:sz="4" w:space="0" w:color="auto"/>
              <w:right w:val="single" w:sz="4" w:space="0" w:color="auto"/>
            </w:tcBorders>
            <w:shd w:val="clear" w:color="auto" w:fill="auto"/>
            <w:hideMark/>
          </w:tcPr>
          <w:p w:rsidR="004F7EFF" w:rsidRPr="00237E19" w:rsidRDefault="004F7EFF" w:rsidP="00F36DC6">
            <w:pPr>
              <w:rPr>
                <w:rFonts w:ascii="Arial" w:hAnsi="Arial" w:cs="Arial"/>
                <w:b/>
                <w:bCs/>
                <w:sz w:val="16"/>
                <w:szCs w:val="16"/>
              </w:rPr>
            </w:pPr>
            <w:r w:rsidRPr="00237E19">
              <w:rPr>
                <w:rFonts w:ascii="Arial" w:hAnsi="Arial" w:cs="Arial"/>
                <w:b/>
                <w:bCs/>
                <w:sz w:val="16"/>
                <w:szCs w:val="16"/>
              </w:rPr>
              <w:t>Resolution</w:t>
            </w:r>
            <w:r>
              <w:rPr>
                <w:rFonts w:ascii="Arial" w:hAnsi="Arial" w:cs="Arial"/>
                <w:b/>
                <w:bCs/>
                <w:sz w:val="16"/>
                <w:szCs w:val="16"/>
              </w:rPr>
              <w:t xml:space="preserve"> Status/Detail</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1005</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Goodall, David</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 </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 </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 </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There does not appear to be a way to signal which rates are supported by a station. Only a subset of rates are mandatory in Clause 17 so a station supporting only mandatory rates may have difficulty receiving all packets. In addition how will new PHY rates be introduced to existing 802.11p installations in the future if there is no way to advertise their use?</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Add a means for a station to advertise the rates that it supports before data frames are sent to it.</w:t>
            </w:r>
          </w:p>
        </w:tc>
        <w:tc>
          <w:tcPr>
            <w:tcW w:w="1356" w:type="pct"/>
            <w:tcBorders>
              <w:top w:val="single" w:sz="4" w:space="0" w:color="auto"/>
              <w:left w:val="nil"/>
              <w:bottom w:val="single" w:sz="4" w:space="0" w:color="auto"/>
              <w:right w:val="single" w:sz="4" w:space="0" w:color="auto"/>
            </w:tcBorders>
            <w:shd w:val="clear" w:color="auto" w:fill="FFFF00"/>
            <w:hideMark/>
          </w:tcPr>
          <w:p w:rsidR="0060247C" w:rsidRDefault="00022B0D" w:rsidP="00F36DC6">
            <w:pPr>
              <w:rPr>
                <w:rFonts w:ascii="Arial" w:hAnsi="Arial" w:cs="Arial"/>
                <w:sz w:val="20"/>
              </w:rPr>
            </w:pPr>
            <w:r>
              <w:rPr>
                <w:rFonts w:ascii="Arial" w:hAnsi="Arial" w:cs="Arial"/>
                <w:sz w:val="20"/>
              </w:rPr>
              <w:t>TBD</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1006</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Goodall, David</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 </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 </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 </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There is no advertisement of a basic rate set. How does a station know what rates to use for control frames?</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Add a means for stations to know which rates to use for control frames.</w:t>
            </w:r>
          </w:p>
        </w:tc>
        <w:tc>
          <w:tcPr>
            <w:tcW w:w="1356" w:type="pct"/>
            <w:tcBorders>
              <w:top w:val="single" w:sz="4" w:space="0" w:color="auto"/>
              <w:left w:val="nil"/>
              <w:bottom w:val="single" w:sz="4" w:space="0" w:color="auto"/>
              <w:right w:val="single" w:sz="4" w:space="0" w:color="auto"/>
            </w:tcBorders>
            <w:shd w:val="clear" w:color="auto" w:fill="FFFF00"/>
            <w:hideMark/>
          </w:tcPr>
          <w:p w:rsidR="0060247C" w:rsidRDefault="00650785" w:rsidP="00F36DC6">
            <w:pPr>
              <w:rPr>
                <w:rFonts w:ascii="Arial" w:hAnsi="Arial" w:cs="Arial"/>
                <w:sz w:val="20"/>
              </w:rPr>
            </w:pPr>
            <w:r>
              <w:rPr>
                <w:rFonts w:ascii="Arial" w:hAnsi="Arial" w:cs="Arial"/>
                <w:sz w:val="20"/>
              </w:rPr>
              <w:t>TBD</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1011</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Armstrong, Lee</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17</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11.3</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53</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added footnote is changing normative behavior, and thus cannot be a footnote.</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Change the footnote into an in-line statement</w:t>
            </w:r>
          </w:p>
        </w:tc>
        <w:tc>
          <w:tcPr>
            <w:tcW w:w="1356" w:type="pct"/>
            <w:tcBorders>
              <w:top w:val="single" w:sz="4" w:space="0" w:color="auto"/>
              <w:left w:val="nil"/>
              <w:bottom w:val="single" w:sz="4" w:space="0" w:color="auto"/>
              <w:right w:val="single" w:sz="4" w:space="0" w:color="auto"/>
            </w:tcBorders>
            <w:shd w:val="clear" w:color="auto" w:fill="auto"/>
            <w:hideMark/>
          </w:tcPr>
          <w:p w:rsidR="00FB553D" w:rsidRDefault="00FB553D" w:rsidP="00FB553D">
            <w:pPr>
              <w:rPr>
                <w:rFonts w:ascii="Arial" w:hAnsi="Arial" w:cs="Arial"/>
                <w:sz w:val="20"/>
              </w:rPr>
            </w:pPr>
            <w:r>
              <w:rPr>
                <w:rFonts w:ascii="Arial" w:hAnsi="Arial" w:cs="Arial"/>
                <w:sz w:val="20"/>
              </w:rPr>
              <w:t>Agree.</w:t>
            </w:r>
          </w:p>
          <w:p w:rsidR="00FB553D" w:rsidRDefault="00FB553D" w:rsidP="00FB553D">
            <w:pPr>
              <w:numPr>
                <w:ilvl w:val="0"/>
                <w:numId w:val="11"/>
              </w:numPr>
              <w:rPr>
                <w:rFonts w:ascii="Arial" w:hAnsi="Arial" w:cs="Arial"/>
                <w:sz w:val="20"/>
              </w:rPr>
            </w:pPr>
            <w:r>
              <w:rPr>
                <w:rFonts w:ascii="Arial" w:hAnsi="Arial" w:cs="Arial"/>
                <w:sz w:val="20"/>
              </w:rPr>
              <w:t>On Page 17, line 53, remove the words “</w:t>
            </w:r>
            <w:r>
              <w:rPr>
                <w:b/>
                <w:bCs/>
                <w:i/>
                <w:iCs/>
                <w:szCs w:val="22"/>
                <w:lang w:val="en-US"/>
              </w:rPr>
              <w:t>to add a footnote to</w:t>
            </w:r>
            <w:r>
              <w:rPr>
                <w:rFonts w:ascii="Arial" w:hAnsi="Arial" w:cs="Arial"/>
                <w:sz w:val="20"/>
              </w:rPr>
              <w:t>” from the editing instructions</w:t>
            </w:r>
          </w:p>
          <w:p w:rsidR="00FB553D" w:rsidRDefault="00FB553D" w:rsidP="00FB553D">
            <w:pPr>
              <w:numPr>
                <w:ilvl w:val="0"/>
                <w:numId w:val="11"/>
              </w:numPr>
              <w:rPr>
                <w:rFonts w:ascii="Arial" w:hAnsi="Arial" w:cs="Arial"/>
                <w:sz w:val="20"/>
              </w:rPr>
            </w:pPr>
            <w:r>
              <w:rPr>
                <w:rFonts w:ascii="Arial" w:hAnsi="Arial" w:cs="Arial"/>
                <w:sz w:val="20"/>
              </w:rPr>
              <w:t>On Page 18 Line 1:</w:t>
            </w:r>
          </w:p>
          <w:p w:rsidR="00FB553D" w:rsidRDefault="00FB553D" w:rsidP="00FB553D">
            <w:pPr>
              <w:numPr>
                <w:ilvl w:val="1"/>
                <w:numId w:val="11"/>
              </w:numPr>
              <w:rPr>
                <w:rFonts w:ascii="Arial" w:hAnsi="Arial" w:cs="Arial"/>
                <w:sz w:val="20"/>
              </w:rPr>
            </w:pPr>
            <w:r>
              <w:rPr>
                <w:rFonts w:ascii="Arial" w:hAnsi="Arial" w:cs="Arial"/>
                <w:sz w:val="20"/>
              </w:rPr>
              <w:t>Remove the underlining from “STA”</w:t>
            </w:r>
          </w:p>
          <w:p w:rsidR="00FB553D" w:rsidRDefault="00FB553D" w:rsidP="00FB553D">
            <w:pPr>
              <w:numPr>
                <w:ilvl w:val="1"/>
                <w:numId w:val="11"/>
              </w:numPr>
              <w:rPr>
                <w:rFonts w:ascii="Arial" w:hAnsi="Arial" w:cs="Arial"/>
                <w:sz w:val="20"/>
              </w:rPr>
            </w:pPr>
            <w:r>
              <w:rPr>
                <w:rFonts w:ascii="Arial" w:hAnsi="Arial" w:cs="Arial"/>
                <w:sz w:val="20"/>
              </w:rPr>
              <w:t>Remove the superscript “1” after “STA”</w:t>
            </w:r>
          </w:p>
          <w:p w:rsidR="00FB553D" w:rsidRDefault="00FB553D" w:rsidP="00FB553D">
            <w:pPr>
              <w:numPr>
                <w:ilvl w:val="1"/>
                <w:numId w:val="11"/>
              </w:numPr>
              <w:rPr>
                <w:rFonts w:ascii="Arial" w:hAnsi="Arial" w:cs="Arial"/>
                <w:sz w:val="20"/>
              </w:rPr>
            </w:pPr>
            <w:r>
              <w:rPr>
                <w:rFonts w:ascii="Arial" w:hAnsi="Arial" w:cs="Arial"/>
                <w:sz w:val="20"/>
              </w:rPr>
              <w:t>Insert "for which dot11OCBEnabled is false" after "A STA" and before "keeps two".</w:t>
            </w:r>
          </w:p>
          <w:p w:rsidR="0060247C" w:rsidRDefault="00FB553D" w:rsidP="00FB553D">
            <w:pPr>
              <w:rPr>
                <w:rFonts w:ascii="Arial" w:hAnsi="Arial" w:cs="Arial"/>
                <w:sz w:val="20"/>
              </w:rPr>
            </w:pPr>
            <w:r>
              <w:rPr>
                <w:rFonts w:ascii="Arial" w:hAnsi="Arial" w:cs="Arial"/>
                <w:sz w:val="20"/>
              </w:rPr>
              <w:t>On Page 18, line 7, elevate the inserted sentence from a note to a regular sentence.</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1012</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Armstrong, Lee</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11.3</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7</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inserted footnote contains information that should be presented in body text. Also, authentication and assocition variables define a state that is used in filtering frames. What classes are frames when OCBEnabled is true? How are they filtered?</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Remove footnote. Replace "A STA" at P18L1 with "A STA in which dot11OCBEnabled is true". Add note after it: "NOTE--For operation of a STA in which dot11OCBEnabled is true, see 11.20".</w:t>
            </w:r>
          </w:p>
        </w:tc>
        <w:tc>
          <w:tcPr>
            <w:tcW w:w="1356" w:type="pct"/>
            <w:tcBorders>
              <w:top w:val="single" w:sz="4" w:space="0" w:color="auto"/>
              <w:left w:val="nil"/>
              <w:bottom w:val="single" w:sz="4" w:space="0" w:color="auto"/>
              <w:right w:val="single" w:sz="4" w:space="0" w:color="auto"/>
            </w:tcBorders>
            <w:shd w:val="clear" w:color="auto" w:fill="auto"/>
            <w:hideMark/>
          </w:tcPr>
          <w:p w:rsidR="007B1041" w:rsidRDefault="007B1041" w:rsidP="007B1041">
            <w:pPr>
              <w:rPr>
                <w:rFonts w:ascii="Arial" w:hAnsi="Arial" w:cs="Arial"/>
                <w:sz w:val="20"/>
              </w:rPr>
            </w:pPr>
            <w:r>
              <w:rPr>
                <w:rFonts w:ascii="Arial" w:hAnsi="Arial" w:cs="Arial"/>
                <w:sz w:val="20"/>
              </w:rPr>
              <w:t>Principle.</w:t>
            </w:r>
          </w:p>
          <w:p w:rsidR="007B1041" w:rsidRDefault="007B1041" w:rsidP="007B1041">
            <w:pPr>
              <w:numPr>
                <w:ilvl w:val="0"/>
                <w:numId w:val="11"/>
              </w:numPr>
              <w:rPr>
                <w:rFonts w:ascii="Arial" w:hAnsi="Arial" w:cs="Arial"/>
                <w:sz w:val="20"/>
              </w:rPr>
            </w:pPr>
            <w:r>
              <w:rPr>
                <w:rFonts w:ascii="Arial" w:hAnsi="Arial" w:cs="Arial"/>
                <w:sz w:val="20"/>
              </w:rPr>
              <w:t>On Page 17, line 53, remove the words “</w:t>
            </w:r>
            <w:r>
              <w:rPr>
                <w:b/>
                <w:bCs/>
                <w:i/>
                <w:iCs/>
                <w:szCs w:val="22"/>
                <w:lang w:val="en-US"/>
              </w:rPr>
              <w:t>to add a footnote to</w:t>
            </w:r>
            <w:r>
              <w:rPr>
                <w:rFonts w:ascii="Arial" w:hAnsi="Arial" w:cs="Arial"/>
                <w:sz w:val="20"/>
              </w:rPr>
              <w:t>” from the editing instructions</w:t>
            </w:r>
          </w:p>
          <w:p w:rsidR="007B1041" w:rsidRDefault="007B1041" w:rsidP="007B1041">
            <w:pPr>
              <w:numPr>
                <w:ilvl w:val="0"/>
                <w:numId w:val="11"/>
              </w:numPr>
              <w:rPr>
                <w:rFonts w:ascii="Arial" w:hAnsi="Arial" w:cs="Arial"/>
                <w:sz w:val="20"/>
              </w:rPr>
            </w:pPr>
            <w:r>
              <w:rPr>
                <w:rFonts w:ascii="Arial" w:hAnsi="Arial" w:cs="Arial"/>
                <w:sz w:val="20"/>
              </w:rPr>
              <w:t>On Page 18 Line 1:</w:t>
            </w:r>
          </w:p>
          <w:p w:rsidR="007B1041" w:rsidRDefault="007B1041" w:rsidP="007B1041">
            <w:pPr>
              <w:numPr>
                <w:ilvl w:val="1"/>
                <w:numId w:val="11"/>
              </w:numPr>
              <w:rPr>
                <w:rFonts w:ascii="Arial" w:hAnsi="Arial" w:cs="Arial"/>
                <w:sz w:val="20"/>
              </w:rPr>
            </w:pPr>
            <w:r>
              <w:rPr>
                <w:rFonts w:ascii="Arial" w:hAnsi="Arial" w:cs="Arial"/>
                <w:sz w:val="20"/>
              </w:rPr>
              <w:t>Remove the underlining from “STA”</w:t>
            </w:r>
          </w:p>
          <w:p w:rsidR="007B1041" w:rsidRDefault="007B1041" w:rsidP="007B1041">
            <w:pPr>
              <w:numPr>
                <w:ilvl w:val="1"/>
                <w:numId w:val="11"/>
              </w:numPr>
              <w:rPr>
                <w:rFonts w:ascii="Arial" w:hAnsi="Arial" w:cs="Arial"/>
                <w:sz w:val="20"/>
              </w:rPr>
            </w:pPr>
            <w:r>
              <w:rPr>
                <w:rFonts w:ascii="Arial" w:hAnsi="Arial" w:cs="Arial"/>
                <w:sz w:val="20"/>
              </w:rPr>
              <w:t>Remove the superscript “1” after “STA”</w:t>
            </w:r>
          </w:p>
          <w:p w:rsidR="007B1041" w:rsidRDefault="007B1041" w:rsidP="007B1041">
            <w:pPr>
              <w:numPr>
                <w:ilvl w:val="1"/>
                <w:numId w:val="11"/>
              </w:numPr>
              <w:rPr>
                <w:rFonts w:ascii="Arial" w:hAnsi="Arial" w:cs="Arial"/>
                <w:sz w:val="20"/>
              </w:rPr>
            </w:pPr>
            <w:r>
              <w:rPr>
                <w:rFonts w:ascii="Arial" w:hAnsi="Arial" w:cs="Arial"/>
                <w:sz w:val="20"/>
              </w:rPr>
              <w:t>Insert "for which dot11OCBEnabled is false" after "A STA" and before "keeps two".</w:t>
            </w:r>
          </w:p>
          <w:p w:rsidR="0060247C" w:rsidRDefault="007B1041" w:rsidP="007B1041">
            <w:pPr>
              <w:rPr>
                <w:rFonts w:ascii="Arial" w:hAnsi="Arial" w:cs="Arial"/>
                <w:sz w:val="20"/>
              </w:rPr>
            </w:pPr>
            <w:r>
              <w:rPr>
                <w:rFonts w:ascii="Arial" w:hAnsi="Arial" w:cs="Arial"/>
                <w:sz w:val="20"/>
              </w:rPr>
              <w:t>On Page 18, line 7, elevate the inserted sentence from a note to a regular sentence.</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1014</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Armstrong, Lee</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11.2</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11.3 also deals with frame classification. This is not used with OCBEnabled.</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Add "classification" to the list after "association".</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0774C7" w:rsidP="00F36DC6">
            <w:pPr>
              <w:rPr>
                <w:rFonts w:ascii="Arial" w:hAnsi="Arial" w:cs="Arial"/>
                <w:sz w:val="20"/>
              </w:rPr>
            </w:pPr>
            <w:r>
              <w:rPr>
                <w:rFonts w:ascii="Arial" w:hAnsi="Arial" w:cs="Arial"/>
                <w:sz w:val="20"/>
              </w:rPr>
              <w:t>Agree.</w:t>
            </w:r>
          </w:p>
          <w:p w:rsidR="000774C7" w:rsidRDefault="00975C35" w:rsidP="00F36DC6">
            <w:pPr>
              <w:rPr>
                <w:rFonts w:ascii="Arial" w:hAnsi="Arial" w:cs="Arial"/>
                <w:sz w:val="20"/>
              </w:rPr>
            </w:pPr>
            <w:r>
              <w:rPr>
                <w:rFonts w:ascii="Arial" w:hAnsi="Arial" w:cs="Arial"/>
                <w:sz w:val="20"/>
              </w:rPr>
              <w:t>I</w:t>
            </w:r>
            <w:r w:rsidR="00A80C66">
              <w:rPr>
                <w:rFonts w:ascii="Arial" w:hAnsi="Arial" w:cs="Arial"/>
                <w:sz w:val="20"/>
              </w:rPr>
              <w:t>n item a) in 11.20, change the first part of th</w:t>
            </w:r>
            <w:r w:rsidR="00A80C66" w:rsidRPr="00A80C66">
              <w:rPr>
                <w:rFonts w:ascii="Arial" w:hAnsi="Arial" w:cs="Arial"/>
                <w:sz w:val="20"/>
              </w:rPr>
              <w:t>e sentence to the following: “</w:t>
            </w:r>
            <w:r w:rsidR="00A80C66" w:rsidRPr="00A80C66">
              <w:rPr>
                <w:rFonts w:ascii="Arial" w:hAnsi="Arial" w:cs="Arial"/>
                <w:sz w:val="20"/>
                <w:lang w:val="en-US"/>
              </w:rPr>
              <w:t>Synchronization, authentication, association, and classification”</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1026</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Vlantis, George</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11.2</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24</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statement "After a STA joins a BSS or if the STA is the AP within a BSS, dot11OCBEnabled shall be set to FALSE." lacks temporal scope. The MIB variable should be FALSE from the inception of associating with a BSS through disassociating with the BSS. Similarly, an AP is only obligated to set the MIB variable to TRUE while operating as an AP.</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Change this statement to: "When a STA is joining a BSS and throughout its association with a BSS, or while the STA is the AP within a BSS, dot11OCBEnabled shall be set to FALSE."</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FB553D" w:rsidP="00F36DC6">
            <w:pPr>
              <w:rPr>
                <w:rFonts w:ascii="Arial" w:hAnsi="Arial" w:cs="Arial"/>
                <w:sz w:val="20"/>
              </w:rPr>
            </w:pPr>
            <w:r>
              <w:rPr>
                <w:rFonts w:ascii="Arial" w:hAnsi="Arial" w:cs="Arial"/>
                <w:sz w:val="20"/>
              </w:rPr>
              <w:t>Principle.</w:t>
            </w:r>
          </w:p>
          <w:p w:rsidR="00FB553D" w:rsidRDefault="00FB553D" w:rsidP="00F36DC6">
            <w:pPr>
              <w:rPr>
                <w:rFonts w:ascii="Arial" w:hAnsi="Arial" w:cs="Arial"/>
                <w:sz w:val="20"/>
              </w:rPr>
            </w:pPr>
          </w:p>
          <w:p w:rsidR="00FB553D" w:rsidRDefault="00FB553D" w:rsidP="00F36DC6">
            <w:pPr>
              <w:rPr>
                <w:rFonts w:ascii="Arial" w:hAnsi="Arial" w:cs="Arial"/>
                <w:sz w:val="20"/>
              </w:rPr>
            </w:pPr>
            <w:r>
              <w:rPr>
                <w:rFonts w:ascii="Arial" w:hAnsi="Arial" w:cs="Arial"/>
                <w:sz w:val="20"/>
              </w:rPr>
              <w:t>Use the word “set” for the action of setting the value.</w:t>
            </w:r>
          </w:p>
          <w:p w:rsidR="00FB553D" w:rsidRDefault="00FB553D" w:rsidP="00F36DC6">
            <w:pPr>
              <w:rPr>
                <w:rFonts w:ascii="Arial" w:hAnsi="Arial" w:cs="Arial"/>
                <w:sz w:val="20"/>
              </w:rPr>
            </w:pPr>
          </w:p>
          <w:p w:rsidR="00FB553D" w:rsidRDefault="00FB553D" w:rsidP="00F36DC6">
            <w:pPr>
              <w:rPr>
                <w:rFonts w:ascii="Arial" w:hAnsi="Arial" w:cs="Arial"/>
                <w:sz w:val="20"/>
              </w:rPr>
            </w:pPr>
            <w:r>
              <w:rPr>
                <w:rFonts w:ascii="Arial" w:hAnsi="Arial" w:cs="Arial"/>
                <w:sz w:val="20"/>
              </w:rPr>
              <w:t xml:space="preserve">Change the statement to: “When a STA joins a BSS, it shall set dot11OCBEnabled to FALSE.  </w:t>
            </w:r>
            <w:r w:rsidR="00D0420D">
              <w:rPr>
                <w:rFonts w:ascii="Arial" w:hAnsi="Arial" w:cs="Arial"/>
                <w:sz w:val="20"/>
              </w:rPr>
              <w:t>The STA shall keep dot11OCBEnabled false</w:t>
            </w:r>
            <w:r>
              <w:rPr>
                <w:rFonts w:ascii="Arial" w:hAnsi="Arial" w:cs="Arial"/>
                <w:sz w:val="20"/>
              </w:rPr>
              <w:t xml:space="preserve"> throughout its association with the BSS or while the STA is the AP within a BSS.</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1034</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Vlantis, George</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5</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7.2.3.14</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39</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Add the following citation to the "Notes" Field for the "Timestamp" row (Order 1): "See 7.3.1.10"</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See comment.</w:t>
            </w:r>
          </w:p>
        </w:tc>
        <w:tc>
          <w:tcPr>
            <w:tcW w:w="1356" w:type="pct"/>
            <w:tcBorders>
              <w:top w:val="single" w:sz="4" w:space="0" w:color="auto"/>
              <w:left w:val="nil"/>
              <w:bottom w:val="single" w:sz="4" w:space="0" w:color="auto"/>
              <w:right w:val="single" w:sz="4" w:space="0" w:color="auto"/>
            </w:tcBorders>
            <w:shd w:val="clear" w:color="auto" w:fill="auto"/>
            <w:hideMark/>
          </w:tcPr>
          <w:p w:rsidR="00A80C66" w:rsidRDefault="009D305C" w:rsidP="00F36DC6">
            <w:pPr>
              <w:rPr>
                <w:rFonts w:ascii="Arial" w:hAnsi="Arial" w:cs="Arial"/>
                <w:sz w:val="20"/>
              </w:rPr>
            </w:pPr>
            <w:r>
              <w:rPr>
                <w:rFonts w:ascii="Arial" w:hAnsi="Arial" w:cs="Arial"/>
                <w:sz w:val="20"/>
              </w:rPr>
              <w:t>(already done by CRC, resolution to CID 1008)</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1037</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Roebuck, Randal</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7.1.3.5.1</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41</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PIC needs to be added for "No tracffic streams when dot11OCBEnabled is true"</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Change from "traffic streams are not used" to "traffic streams shall not be used". Add PIC QP8.</w:t>
            </w:r>
          </w:p>
        </w:tc>
        <w:tc>
          <w:tcPr>
            <w:tcW w:w="1356" w:type="pct"/>
            <w:tcBorders>
              <w:top w:val="single" w:sz="4" w:space="0" w:color="auto"/>
              <w:left w:val="nil"/>
              <w:bottom w:val="single" w:sz="4" w:space="0" w:color="auto"/>
              <w:right w:val="single" w:sz="4" w:space="0" w:color="auto"/>
            </w:tcBorders>
            <w:shd w:val="clear" w:color="auto" w:fill="FFFF00"/>
            <w:hideMark/>
          </w:tcPr>
          <w:p w:rsidR="0060247C" w:rsidRDefault="00022B0D" w:rsidP="00F36DC6">
            <w:pPr>
              <w:rPr>
                <w:rFonts w:ascii="Arial" w:hAnsi="Arial" w:cs="Arial"/>
                <w:sz w:val="20"/>
              </w:rPr>
            </w:pPr>
            <w:r>
              <w:rPr>
                <w:rFonts w:ascii="Arial" w:hAnsi="Arial" w:cs="Arial"/>
                <w:sz w:val="20"/>
              </w:rPr>
              <w:t>Disagree</w:t>
            </w:r>
          </w:p>
          <w:p w:rsidR="00D04D30" w:rsidRDefault="00022B0D" w:rsidP="00022B0D">
            <w:pPr>
              <w:rPr>
                <w:rFonts w:ascii="Arial" w:hAnsi="Arial" w:cs="Arial"/>
                <w:sz w:val="20"/>
              </w:rPr>
            </w:pPr>
            <w:r>
              <w:rPr>
                <w:rFonts w:ascii="Arial" w:hAnsi="Arial" w:cs="Arial"/>
                <w:sz w:val="20"/>
              </w:rPr>
              <w:t>PIC is not required for this functionality.</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1042</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Roebuck, Randal</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17</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11.1</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48</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PIC needs to be added for "No Synchronization Required to Common Clock"</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Change "is not required" to "shall not be required" in last sentence.</w:t>
            </w:r>
          </w:p>
        </w:tc>
        <w:tc>
          <w:tcPr>
            <w:tcW w:w="1356" w:type="pct"/>
            <w:tcBorders>
              <w:top w:val="single" w:sz="4" w:space="0" w:color="auto"/>
              <w:left w:val="nil"/>
              <w:bottom w:val="single" w:sz="4" w:space="0" w:color="auto"/>
              <w:right w:val="single" w:sz="4" w:space="0" w:color="auto"/>
            </w:tcBorders>
            <w:shd w:val="clear" w:color="auto" w:fill="FFFF00"/>
            <w:hideMark/>
          </w:tcPr>
          <w:p w:rsidR="00022B0D" w:rsidRDefault="00022B0D" w:rsidP="00022B0D">
            <w:pPr>
              <w:rPr>
                <w:rFonts w:ascii="Arial" w:hAnsi="Arial" w:cs="Arial"/>
                <w:sz w:val="20"/>
              </w:rPr>
            </w:pPr>
            <w:r>
              <w:rPr>
                <w:rFonts w:ascii="Arial" w:hAnsi="Arial" w:cs="Arial"/>
                <w:sz w:val="20"/>
              </w:rPr>
              <w:t>Disagree</w:t>
            </w:r>
          </w:p>
          <w:p w:rsidR="00D04D30" w:rsidRDefault="00022B0D" w:rsidP="00F36DC6">
            <w:pPr>
              <w:rPr>
                <w:rFonts w:ascii="Arial" w:hAnsi="Arial" w:cs="Arial"/>
                <w:sz w:val="20"/>
              </w:rPr>
            </w:pPr>
            <w:r>
              <w:rPr>
                <w:rFonts w:ascii="Arial" w:hAnsi="Arial" w:cs="Arial"/>
                <w:sz w:val="20"/>
              </w:rPr>
              <w:t>PIC is not required for this functionality.</w:t>
            </w:r>
          </w:p>
        </w:tc>
      </w:tr>
      <w:tr w:rsidR="0060247C" w:rsidRPr="00237E19" w:rsidTr="00C54096">
        <w:trPr>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1057</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Thomson, Allan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7.3.2.65</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41</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Time Error field explanation is written in a way that implies it is the definition for all values of the Timing Capabilities</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The text should be rewritten to clarify and structure for easy extension. See TGv document 09/1205r0 for proposed changes to 11p base text.</w:t>
            </w:r>
          </w:p>
        </w:tc>
        <w:tc>
          <w:tcPr>
            <w:tcW w:w="1356" w:type="pct"/>
            <w:tcBorders>
              <w:top w:val="single" w:sz="4" w:space="0" w:color="auto"/>
              <w:left w:val="nil"/>
              <w:bottom w:val="single" w:sz="4" w:space="0" w:color="auto"/>
              <w:right w:val="single" w:sz="4" w:space="0" w:color="auto"/>
            </w:tcBorders>
            <w:shd w:val="clear" w:color="auto" w:fill="FFFF00"/>
            <w:hideMark/>
          </w:tcPr>
          <w:p w:rsidR="0060247C" w:rsidRDefault="00676102" w:rsidP="00F36DC6">
            <w:pPr>
              <w:rPr>
                <w:rFonts w:ascii="Arial" w:hAnsi="Arial" w:cs="Arial"/>
                <w:sz w:val="20"/>
              </w:rPr>
            </w:pPr>
            <w:r>
              <w:rPr>
                <w:rFonts w:ascii="Arial" w:hAnsi="Arial" w:cs="Arial"/>
                <w:sz w:val="20"/>
              </w:rPr>
              <w:t>Principle</w:t>
            </w:r>
          </w:p>
          <w:p w:rsidR="00676102" w:rsidRDefault="00676102" w:rsidP="00F36DC6">
            <w:pPr>
              <w:rPr>
                <w:rFonts w:ascii="Arial" w:hAnsi="Arial" w:cs="Arial"/>
                <w:sz w:val="20"/>
              </w:rPr>
            </w:pPr>
            <w:r>
              <w:rPr>
                <w:rFonts w:ascii="Arial" w:hAnsi="Arial" w:cs="Arial"/>
                <w:sz w:val="20"/>
              </w:rPr>
              <w:t>Make the changes specified in 09/1205r1</w:t>
            </w:r>
            <w:r w:rsidR="00412F7A">
              <w:rPr>
                <w:rFonts w:ascii="Arial" w:hAnsi="Arial" w:cs="Arial"/>
                <w:sz w:val="20"/>
              </w:rPr>
              <w:t>, with the following exceptions:</w:t>
            </w:r>
          </w:p>
          <w:p w:rsidR="00412F7A" w:rsidRDefault="00412F7A" w:rsidP="00412F7A">
            <w:pPr>
              <w:numPr>
                <w:ilvl w:val="0"/>
                <w:numId w:val="18"/>
              </w:numPr>
              <w:rPr>
                <w:rFonts w:ascii="Arial" w:hAnsi="Arial" w:cs="Arial"/>
                <w:sz w:val="20"/>
              </w:rPr>
            </w:pPr>
            <w:r>
              <w:rPr>
                <w:rFonts w:ascii="Arial" w:hAnsi="Arial" w:cs="Arial"/>
                <w:sz w:val="20"/>
              </w:rPr>
              <w:t>Don’t use the word “set”, since that implies the action of setting a value</w:t>
            </w:r>
          </w:p>
          <w:p w:rsidR="00412F7A" w:rsidRDefault="00412F7A" w:rsidP="00412F7A">
            <w:pPr>
              <w:numPr>
                <w:ilvl w:val="0"/>
                <w:numId w:val="18"/>
              </w:numPr>
              <w:rPr>
                <w:rFonts w:ascii="Arial" w:hAnsi="Arial" w:cs="Arial"/>
                <w:sz w:val="20"/>
              </w:rPr>
            </w:pPr>
            <w:r>
              <w:rPr>
                <w:rFonts w:ascii="Arial" w:hAnsi="Arial" w:cs="Arial"/>
                <w:sz w:val="20"/>
              </w:rPr>
              <w:t>Only include the text for Timing Capabilities = 0 and 1, since those are covered in D9.0.</w:t>
            </w:r>
          </w:p>
          <w:p w:rsidR="00412F7A" w:rsidRDefault="00412F7A" w:rsidP="00412F7A">
            <w:pPr>
              <w:numPr>
                <w:ilvl w:val="0"/>
                <w:numId w:val="18"/>
              </w:numPr>
              <w:rPr>
                <w:rFonts w:ascii="Arial" w:hAnsi="Arial" w:cs="Arial"/>
                <w:sz w:val="20"/>
              </w:rPr>
            </w:pPr>
            <w:r>
              <w:rPr>
                <w:rFonts w:ascii="Arial" w:hAnsi="Arial" w:cs="Arial"/>
                <w:sz w:val="20"/>
              </w:rPr>
              <w:t>Rephrase the start of each bullet in the list since we are enumerating the fields used.</w:t>
            </w:r>
          </w:p>
          <w:p w:rsidR="00412F7A" w:rsidRDefault="00412F7A" w:rsidP="00412F7A">
            <w:pPr>
              <w:rPr>
                <w:rFonts w:ascii="Arial" w:hAnsi="Arial" w:cs="Arial"/>
                <w:sz w:val="20"/>
              </w:rPr>
            </w:pPr>
          </w:p>
          <w:p w:rsidR="00412F7A" w:rsidRDefault="00412F7A" w:rsidP="00412F7A">
            <w:pPr>
              <w:rPr>
                <w:rFonts w:ascii="Arial" w:hAnsi="Arial" w:cs="Arial"/>
                <w:sz w:val="20"/>
              </w:rPr>
            </w:pPr>
            <w:r>
              <w:rPr>
                <w:rFonts w:ascii="Arial" w:hAnsi="Arial" w:cs="Arial"/>
                <w:sz w:val="20"/>
              </w:rPr>
              <w:t>Therefore, in 7.3.2.65 change the paragraph immediately following Table 7-37b to the following</w:t>
            </w:r>
            <w:r w:rsidR="00A270AD">
              <w:rPr>
                <w:rFonts w:ascii="Arial" w:hAnsi="Arial" w:cs="Arial"/>
                <w:sz w:val="20"/>
              </w:rPr>
              <w:t xml:space="preserve"> paragraphs and two bullet points</w:t>
            </w:r>
            <w:r>
              <w:rPr>
                <w:rFonts w:ascii="Arial" w:hAnsi="Arial" w:cs="Arial"/>
                <w:sz w:val="20"/>
              </w:rPr>
              <w:t>:</w:t>
            </w:r>
          </w:p>
          <w:p w:rsidR="00412F7A" w:rsidRDefault="00412F7A" w:rsidP="00412F7A">
            <w:pPr>
              <w:rPr>
                <w:rFonts w:ascii="Arial" w:hAnsi="Arial" w:cs="Arial"/>
                <w:sz w:val="20"/>
              </w:rPr>
            </w:pPr>
          </w:p>
          <w:p w:rsidR="00A270AD" w:rsidRDefault="00A270AD" w:rsidP="00A270AD">
            <w:pPr>
              <w:pStyle w:val="T"/>
              <w:spacing w:line="240" w:lineRule="exact"/>
            </w:pPr>
            <w:r>
              <w:t>When the value of the Timing Capabilities field is 0, no optional fields are included in the Time Advertisement information element.</w:t>
            </w:r>
          </w:p>
          <w:p w:rsidR="00A270AD" w:rsidRDefault="00A270AD" w:rsidP="00A270AD">
            <w:pPr>
              <w:pStyle w:val="T"/>
              <w:spacing w:line="240" w:lineRule="exact"/>
            </w:pPr>
            <w:r>
              <w:t>When the value of the Timing Capabilities is 1, the following fields are included in the Time Advertisement information element:</w:t>
            </w:r>
          </w:p>
          <w:p w:rsidR="00A270AD" w:rsidRDefault="00A270AD" w:rsidP="00A270AD">
            <w:pPr>
              <w:pStyle w:val="T"/>
              <w:numPr>
                <w:ilvl w:val="0"/>
                <w:numId w:val="20"/>
              </w:numPr>
              <w:spacing w:after="0" w:line="240" w:lineRule="exact"/>
            </w:pPr>
            <w:r>
              <w:t xml:space="preserve">the Time Value field, a two’s complement integer in nanoseconds which, when added to the Timestamp present in the same transmitted frame, gives the receiving STA an estimate of the time standard at the time the frame was transmitted. </w:t>
            </w:r>
            <w:r>
              <w:lastRenderedPageBreak/>
              <w:t>.The Timestamp is derived from the TSP Timer as defined in 11.21</w:t>
            </w:r>
          </w:p>
          <w:p w:rsidR="00A270AD" w:rsidRDefault="00A270AD" w:rsidP="00A270AD">
            <w:pPr>
              <w:pStyle w:val="T"/>
              <w:numPr>
                <w:ilvl w:val="0"/>
                <w:numId w:val="20"/>
              </w:numPr>
              <w:spacing w:after="0" w:line="240" w:lineRule="exact"/>
            </w:pPr>
            <w:r>
              <w:t xml:space="preserve"> the Time Error field, which is set to an unsigned integer in nanoseconds that defines the standard deviation of the error in the Time Value estimate</w:t>
            </w:r>
          </w:p>
          <w:p w:rsidR="00412F7A" w:rsidRDefault="00412F7A" w:rsidP="00412F7A">
            <w:pPr>
              <w:rPr>
                <w:rFonts w:ascii="Arial" w:hAnsi="Arial" w:cs="Arial"/>
                <w:sz w:val="20"/>
              </w:rPr>
            </w:pPr>
          </w:p>
        </w:tc>
      </w:tr>
      <w:tr w:rsidR="0060247C" w:rsidRPr="00237E19" w:rsidTr="00C54096">
        <w:trPr>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1058</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Thomson, Allan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7.3.2.65</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35</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text from P8L35 to P8L45 is not easily understood and hard to extend to other timing capabilities.</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The text should be rewritten to clarify and structure for easy extension. See TGv document 09/1205r0 for proposed changes to 11p base text.</w:t>
            </w:r>
          </w:p>
        </w:tc>
        <w:tc>
          <w:tcPr>
            <w:tcW w:w="1356" w:type="pct"/>
            <w:tcBorders>
              <w:top w:val="single" w:sz="4" w:space="0" w:color="auto"/>
              <w:left w:val="nil"/>
              <w:bottom w:val="single" w:sz="4" w:space="0" w:color="auto"/>
              <w:right w:val="single" w:sz="4" w:space="0" w:color="auto"/>
            </w:tcBorders>
            <w:shd w:val="clear" w:color="auto" w:fill="FFFF00"/>
            <w:hideMark/>
          </w:tcPr>
          <w:p w:rsidR="00A270AD" w:rsidRDefault="00A270AD" w:rsidP="00A270AD">
            <w:pPr>
              <w:rPr>
                <w:rFonts w:ascii="Arial" w:hAnsi="Arial" w:cs="Arial"/>
                <w:sz w:val="20"/>
              </w:rPr>
            </w:pPr>
            <w:r>
              <w:rPr>
                <w:rFonts w:ascii="Arial" w:hAnsi="Arial" w:cs="Arial"/>
                <w:sz w:val="20"/>
              </w:rPr>
              <w:t>Principle</w:t>
            </w:r>
          </w:p>
          <w:p w:rsidR="00A270AD" w:rsidRDefault="00A270AD" w:rsidP="00A270AD">
            <w:pPr>
              <w:rPr>
                <w:rFonts w:ascii="Arial" w:hAnsi="Arial" w:cs="Arial"/>
                <w:sz w:val="20"/>
              </w:rPr>
            </w:pPr>
            <w:r>
              <w:rPr>
                <w:rFonts w:ascii="Arial" w:hAnsi="Arial" w:cs="Arial"/>
                <w:sz w:val="20"/>
              </w:rPr>
              <w:t>Make the changes specified in 09/1205r1, with the following exceptions:</w:t>
            </w:r>
          </w:p>
          <w:p w:rsidR="00A270AD" w:rsidRDefault="00A270AD" w:rsidP="00A270AD">
            <w:pPr>
              <w:numPr>
                <w:ilvl w:val="0"/>
                <w:numId w:val="18"/>
              </w:numPr>
              <w:rPr>
                <w:rFonts w:ascii="Arial" w:hAnsi="Arial" w:cs="Arial"/>
                <w:sz w:val="20"/>
              </w:rPr>
            </w:pPr>
            <w:r>
              <w:rPr>
                <w:rFonts w:ascii="Arial" w:hAnsi="Arial" w:cs="Arial"/>
                <w:sz w:val="20"/>
              </w:rPr>
              <w:t>Don’t use the word “set”, since that implies the action of setting a value</w:t>
            </w:r>
          </w:p>
          <w:p w:rsidR="00A270AD" w:rsidRDefault="00A270AD" w:rsidP="00A270AD">
            <w:pPr>
              <w:numPr>
                <w:ilvl w:val="0"/>
                <w:numId w:val="18"/>
              </w:numPr>
              <w:rPr>
                <w:rFonts w:ascii="Arial" w:hAnsi="Arial" w:cs="Arial"/>
                <w:sz w:val="20"/>
              </w:rPr>
            </w:pPr>
            <w:r>
              <w:rPr>
                <w:rFonts w:ascii="Arial" w:hAnsi="Arial" w:cs="Arial"/>
                <w:sz w:val="20"/>
              </w:rPr>
              <w:t>Only include the text for Timing Capabilities = 0 and 1, since those are covered in D9.0.</w:t>
            </w:r>
          </w:p>
          <w:p w:rsidR="00A270AD" w:rsidRDefault="00A270AD" w:rsidP="00A270AD">
            <w:pPr>
              <w:numPr>
                <w:ilvl w:val="0"/>
                <w:numId w:val="18"/>
              </w:numPr>
              <w:rPr>
                <w:rFonts w:ascii="Arial" w:hAnsi="Arial" w:cs="Arial"/>
                <w:sz w:val="20"/>
              </w:rPr>
            </w:pPr>
            <w:r>
              <w:rPr>
                <w:rFonts w:ascii="Arial" w:hAnsi="Arial" w:cs="Arial"/>
                <w:sz w:val="20"/>
              </w:rPr>
              <w:t>Rephrase the start of each bullet in the list since we are enumerating the fields used.</w:t>
            </w:r>
          </w:p>
          <w:p w:rsidR="00A270AD" w:rsidRDefault="00A270AD" w:rsidP="00A270AD">
            <w:pPr>
              <w:rPr>
                <w:rFonts w:ascii="Arial" w:hAnsi="Arial" w:cs="Arial"/>
                <w:sz w:val="20"/>
              </w:rPr>
            </w:pPr>
          </w:p>
          <w:p w:rsidR="00A270AD" w:rsidRDefault="00A270AD" w:rsidP="00A270AD">
            <w:pPr>
              <w:rPr>
                <w:rFonts w:ascii="Arial" w:hAnsi="Arial" w:cs="Arial"/>
                <w:sz w:val="20"/>
              </w:rPr>
            </w:pPr>
            <w:r>
              <w:rPr>
                <w:rFonts w:ascii="Arial" w:hAnsi="Arial" w:cs="Arial"/>
                <w:sz w:val="20"/>
              </w:rPr>
              <w:t>Therefore, in 7.3.2.65 change the paragraph immediately following Table 7-37b to the following paragraphs and two bullet points:</w:t>
            </w:r>
          </w:p>
          <w:p w:rsidR="00A270AD" w:rsidRDefault="00A270AD" w:rsidP="00A270AD">
            <w:pPr>
              <w:rPr>
                <w:rFonts w:ascii="Arial" w:hAnsi="Arial" w:cs="Arial"/>
                <w:sz w:val="20"/>
              </w:rPr>
            </w:pPr>
          </w:p>
          <w:p w:rsidR="00A270AD" w:rsidRDefault="00A270AD" w:rsidP="00A270AD">
            <w:pPr>
              <w:pStyle w:val="T"/>
              <w:spacing w:line="240" w:lineRule="exact"/>
            </w:pPr>
            <w:r>
              <w:t>When the value of the Timing Capabilities field is 0, no optional fields are included in the Time Advertisement information element.</w:t>
            </w:r>
          </w:p>
          <w:p w:rsidR="00A270AD" w:rsidRDefault="00A270AD" w:rsidP="00A270AD">
            <w:pPr>
              <w:pStyle w:val="T"/>
              <w:spacing w:line="240" w:lineRule="exact"/>
            </w:pPr>
            <w:r>
              <w:t xml:space="preserve">When the value of the Timing Capabilities is 1, the following fields are included in the Time Advertisement </w:t>
            </w:r>
            <w:r>
              <w:lastRenderedPageBreak/>
              <w:t>information element:</w:t>
            </w:r>
          </w:p>
          <w:p w:rsidR="00A270AD" w:rsidRDefault="00A270AD" w:rsidP="00A270AD">
            <w:pPr>
              <w:pStyle w:val="T"/>
              <w:numPr>
                <w:ilvl w:val="0"/>
                <w:numId w:val="20"/>
              </w:numPr>
              <w:spacing w:after="0" w:line="240" w:lineRule="exact"/>
            </w:pPr>
            <w:r>
              <w:t>the Time Value field, a two’s complement integer in nanoseconds which, when added to the Timestamp present in the same transmitted frame, gives the receiving STA an estimate of the time standard at the time the frame was transmitted. .The Timestamp is derived from the TSP Timer as defined in 11.21</w:t>
            </w:r>
          </w:p>
          <w:p w:rsidR="00A270AD" w:rsidRDefault="00A270AD" w:rsidP="00A270AD">
            <w:pPr>
              <w:pStyle w:val="T"/>
              <w:numPr>
                <w:ilvl w:val="0"/>
                <w:numId w:val="20"/>
              </w:numPr>
              <w:spacing w:after="0" w:line="240" w:lineRule="exact"/>
            </w:pPr>
            <w:r>
              <w:t xml:space="preserve"> the Time Error field, which is set to an unsigned integer in nanoseconds that defines the standard deviation of the error in the Time Value estimate</w:t>
            </w:r>
          </w:p>
          <w:p w:rsidR="0060247C" w:rsidRDefault="0060247C" w:rsidP="00F36DC6">
            <w:pPr>
              <w:rPr>
                <w:rFonts w:ascii="Arial" w:hAnsi="Arial" w:cs="Arial"/>
                <w:sz w:val="20"/>
              </w:rPr>
            </w:pP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1059</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Thomson, Allan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7</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7.3.2.26</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2</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It is true that legacy devices will still understand legacy VS IEs, and even for unknown VS IEs of either format, the legacy device will correctly calculate the length of the VS IE of either format and correctly skip over them. Similarly, provided that the length of the OI can be determined internally from earlier bytes within the OI field, then any device that is 11p-enabled will understand the new format. However, this fix to the VS IE seems to be a partial fix only, since we have now seen WG members commenting on *all* instances of OUI in the draft, even when such a change would cause problems with legacy</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If there is a need to generalize OUI to OI, then 11p should perform the job properly. OUIs are presently used in fixed and variable fields in the Cipher Suite IE (7.3.2.25.1), AKM Suite IE (7.3.2.25.2), KDE (8.5.2), MIB variables in Annex D. Fix, without breaking legacy. Else create a new VS IE for an OI.</w:t>
            </w:r>
          </w:p>
        </w:tc>
        <w:tc>
          <w:tcPr>
            <w:tcW w:w="1356" w:type="pct"/>
            <w:tcBorders>
              <w:top w:val="single" w:sz="4" w:space="0" w:color="auto"/>
              <w:left w:val="nil"/>
              <w:bottom w:val="single" w:sz="4" w:space="0" w:color="auto"/>
              <w:right w:val="single" w:sz="4" w:space="0" w:color="auto"/>
            </w:tcBorders>
            <w:shd w:val="clear" w:color="auto" w:fill="FFFF00"/>
            <w:hideMark/>
          </w:tcPr>
          <w:p w:rsidR="0060247C" w:rsidRDefault="00D82417" w:rsidP="00F36DC6">
            <w:pPr>
              <w:rPr>
                <w:rFonts w:ascii="Arial" w:hAnsi="Arial" w:cs="Arial"/>
                <w:sz w:val="20"/>
              </w:rPr>
            </w:pPr>
            <w:r>
              <w:rPr>
                <w:rFonts w:ascii="Arial" w:hAnsi="Arial" w:cs="Arial"/>
                <w:sz w:val="20"/>
              </w:rPr>
              <w:t>TBD</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1060</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Thomson, Allan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9</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7.3.2.26</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2</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It is true that legacy devices will still understand legacy VS action frames, and even for unknown action frames of either format, the legacy device will correctly discard over them. Similarly, provided that the length of the OI can be determined internally from earlier bytes within the OI field, then any device that is 11p-enabled will understand the new format. However, this fix to the VS frame seems to be a partial fix only, since we have now seen WG members commenting on *all* instances of OUI in the draft, even when such a change would cause problems with legacy</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If there is a need to generalize OUI to OI, then 11p should perform the job properly. OUIs are presently used in fixed and variable fields in the Cipher Suite IE (7.3.2.25.1), AKM Suite IE (7.3.2.25.2), KDE (8.5.2), MIB variables in Annex D. Fix, without breaking legacy. Else create a new VS action frame for an OI.</w:t>
            </w:r>
          </w:p>
        </w:tc>
        <w:tc>
          <w:tcPr>
            <w:tcW w:w="1356" w:type="pct"/>
            <w:tcBorders>
              <w:top w:val="single" w:sz="4" w:space="0" w:color="auto"/>
              <w:left w:val="nil"/>
              <w:bottom w:val="single" w:sz="4" w:space="0" w:color="auto"/>
              <w:right w:val="single" w:sz="4" w:space="0" w:color="auto"/>
            </w:tcBorders>
            <w:shd w:val="clear" w:color="auto" w:fill="FFFF00"/>
            <w:hideMark/>
          </w:tcPr>
          <w:p w:rsidR="0060247C" w:rsidRDefault="00D82417" w:rsidP="00F36DC6">
            <w:pPr>
              <w:rPr>
                <w:rFonts w:ascii="Arial" w:hAnsi="Arial" w:cs="Arial"/>
                <w:sz w:val="20"/>
              </w:rPr>
            </w:pPr>
            <w:r>
              <w:rPr>
                <w:rFonts w:ascii="Arial" w:hAnsi="Arial" w:cs="Arial"/>
                <w:sz w:val="20"/>
              </w:rPr>
              <w:t>TBD</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1061</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Thomson, Allan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6</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7.3.2.26</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47</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changes to vendor specific IE are causing many other issues in the base spec and other amendments. For example the RSN IE has OUI defined which is a fixed 3 octet field. However, some people are confused now that 11p has introduced a variable 3 or 5 octet vendor IE which represents OUI and OI. This change is causing unnecessary complication in both implementations and other specs.</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Revert changes to the vendor specific IE to only be based on the 3 octet OUI and introduce a new IE to represent OI 5 octet value and make all other changes to 11p to address this change</w:t>
            </w:r>
          </w:p>
        </w:tc>
        <w:tc>
          <w:tcPr>
            <w:tcW w:w="1356" w:type="pct"/>
            <w:tcBorders>
              <w:top w:val="single" w:sz="4" w:space="0" w:color="auto"/>
              <w:left w:val="nil"/>
              <w:bottom w:val="single" w:sz="4" w:space="0" w:color="auto"/>
              <w:right w:val="single" w:sz="4" w:space="0" w:color="auto"/>
            </w:tcBorders>
            <w:shd w:val="clear" w:color="auto" w:fill="FFFF00"/>
            <w:hideMark/>
          </w:tcPr>
          <w:p w:rsidR="0060247C" w:rsidRDefault="00D82417" w:rsidP="00F36DC6">
            <w:pPr>
              <w:rPr>
                <w:rFonts w:ascii="Arial" w:hAnsi="Arial" w:cs="Arial"/>
                <w:sz w:val="20"/>
              </w:rPr>
            </w:pPr>
            <w:r>
              <w:rPr>
                <w:rFonts w:ascii="Arial" w:hAnsi="Arial" w:cs="Arial"/>
                <w:sz w:val="20"/>
              </w:rPr>
              <w:t>TBD</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1063</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Kenney, John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17</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11.1</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47</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added sentence states that the mechanisms in 11.1 (including subclauses) are optional for a STA that has dot11OCBEnabled equal to true. Nevertheless, if such a STA decides to exercise the option to use one of these mechanisms, there may be conditional requirements that apply. Is this clear enough? For example, maintaining a TSF Timer becomes optional. If a STA opts to maintain a TSF Timer, presumably it must conform to the format indicated within 11.1, e.g. 64 bits with microsecond resolution. Should there be a statement noting that conditional requirements may apply if an optional mechanism is used?</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Add a sentence to 11.1: "If a STA with dot11OCBEnabled true opts to use a mechanism defined herein, conditional requirements defined as part of the mechanism apply."</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9D305C" w:rsidP="00F36DC6">
            <w:pPr>
              <w:rPr>
                <w:rFonts w:ascii="Arial" w:hAnsi="Arial" w:cs="Arial"/>
                <w:sz w:val="20"/>
              </w:rPr>
            </w:pPr>
            <w:r>
              <w:rPr>
                <w:rFonts w:ascii="Arial" w:hAnsi="Arial" w:cs="Arial"/>
                <w:sz w:val="20"/>
              </w:rPr>
              <w:t>Agree.</w:t>
            </w:r>
          </w:p>
          <w:p w:rsidR="009D305C" w:rsidRDefault="009D305C" w:rsidP="00F36DC6">
            <w:pPr>
              <w:rPr>
                <w:rFonts w:ascii="Arial" w:hAnsi="Arial" w:cs="Arial"/>
                <w:sz w:val="20"/>
              </w:rPr>
            </w:pPr>
            <w:r>
              <w:rPr>
                <w:rFonts w:ascii="Arial" w:hAnsi="Arial" w:cs="Arial"/>
                <w:sz w:val="20"/>
              </w:rPr>
              <w:t>Add the following as the third sentence of 11.1: “</w:t>
            </w:r>
            <w:r w:rsidRPr="009D305C">
              <w:rPr>
                <w:rFonts w:ascii="Arial" w:hAnsi="Arial" w:cs="Arial"/>
                <w:sz w:val="20"/>
                <w:u w:val="single"/>
              </w:rPr>
              <w:t>If a STA with dot11OCBEnabled true opts to use a mechanism defined herein, conditional requirements defined as part of the mechanism apply.</w:t>
            </w:r>
            <w:r>
              <w:rPr>
                <w:rFonts w:ascii="Arial" w:hAnsi="Arial" w:cs="Arial"/>
                <w:sz w:val="20"/>
              </w:rPr>
              <w:t>"</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1064</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Kenney, John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17</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11.1</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47</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I interpret the added sentence to mean that no "shall" in clause 11.1 (including subclauses) is required when dot11OCBEnabled is true. However, first sentence of 802.11-2007 11.1.2.3 says "STAs shall use information from the CF Parameter Set elementof all received Beacon frames, without regard for the BSSID, to update their NAV as specified in 9.3.2.2." I believe that requirement holds even for a STA that has dot11OCBEnabled equal to true, if that STA is operating in a band in which CF is being used. So, there appears to be a contradiction between the statement added to 11.1 and this requirement. There may be others within 11.1 as well.</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Clarify whether this, or any other requirement in Clause 11.1 (including subclauses), applies to a STA for which dot11OCBEnabled is true. Since the added statement in 11.1 appears to make all of the rest of the clause optional for such a STA, if there is something that is truly a requirement, consider repeating it in 11.20.</w:t>
            </w:r>
          </w:p>
        </w:tc>
        <w:tc>
          <w:tcPr>
            <w:tcW w:w="1356" w:type="pct"/>
            <w:tcBorders>
              <w:top w:val="single" w:sz="4" w:space="0" w:color="auto"/>
              <w:left w:val="nil"/>
              <w:bottom w:val="single" w:sz="4" w:space="0" w:color="auto"/>
              <w:right w:val="single" w:sz="4" w:space="0" w:color="auto"/>
            </w:tcBorders>
            <w:shd w:val="clear" w:color="auto" w:fill="auto"/>
            <w:hideMark/>
          </w:tcPr>
          <w:p w:rsidR="00F20307" w:rsidRDefault="00F20307" w:rsidP="00F20307">
            <w:pPr>
              <w:rPr>
                <w:rFonts w:ascii="Arial" w:hAnsi="Arial" w:cs="Arial"/>
                <w:sz w:val="20"/>
              </w:rPr>
            </w:pPr>
            <w:r>
              <w:rPr>
                <w:rFonts w:ascii="Arial" w:hAnsi="Arial" w:cs="Arial"/>
                <w:sz w:val="20"/>
              </w:rPr>
              <w:t>Principle.</w:t>
            </w:r>
          </w:p>
          <w:p w:rsidR="0060247C" w:rsidRDefault="00F20307" w:rsidP="00F20307">
            <w:pPr>
              <w:rPr>
                <w:rFonts w:ascii="Arial" w:hAnsi="Arial" w:cs="Arial"/>
                <w:sz w:val="20"/>
              </w:rPr>
            </w:pPr>
            <w:r>
              <w:rPr>
                <w:rFonts w:ascii="Arial" w:hAnsi="Arial" w:cs="Arial"/>
                <w:sz w:val="20"/>
              </w:rPr>
              <w:t>[insert Resolution from CID 1010/1015 here]</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1065</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Kenney, John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11.3</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Rather than use the footnote approach, include a full sentence for each of the two cases of dot11OCBEnabled.</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In Line 1 remove the footnote and insert "for which dot11OCBEnabled is false" after "A STA" and before "keeps two". In line 7, elevate the inserted sentence from a note to a regular sentence.</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7327E6" w:rsidP="00F36DC6">
            <w:pPr>
              <w:rPr>
                <w:rFonts w:ascii="Arial" w:hAnsi="Arial" w:cs="Arial"/>
                <w:sz w:val="20"/>
              </w:rPr>
            </w:pPr>
            <w:r>
              <w:rPr>
                <w:rFonts w:ascii="Arial" w:hAnsi="Arial" w:cs="Arial"/>
                <w:sz w:val="20"/>
              </w:rPr>
              <w:t>Agree.</w:t>
            </w:r>
          </w:p>
          <w:p w:rsidR="007327E6" w:rsidRDefault="007327E6" w:rsidP="00975C35">
            <w:pPr>
              <w:numPr>
                <w:ilvl w:val="0"/>
                <w:numId w:val="14"/>
              </w:numPr>
              <w:rPr>
                <w:rFonts w:ascii="Arial" w:hAnsi="Arial" w:cs="Arial"/>
                <w:sz w:val="20"/>
              </w:rPr>
            </w:pPr>
            <w:r>
              <w:rPr>
                <w:rFonts w:ascii="Arial" w:hAnsi="Arial" w:cs="Arial"/>
                <w:sz w:val="20"/>
              </w:rPr>
              <w:t>On Page 17, line 53, remove the words “</w:t>
            </w:r>
            <w:r>
              <w:rPr>
                <w:b/>
                <w:bCs/>
                <w:i/>
                <w:iCs/>
                <w:szCs w:val="22"/>
                <w:lang w:val="en-US"/>
              </w:rPr>
              <w:t>to add a footnote to</w:t>
            </w:r>
            <w:r>
              <w:rPr>
                <w:rFonts w:ascii="Arial" w:hAnsi="Arial" w:cs="Arial"/>
                <w:sz w:val="20"/>
              </w:rPr>
              <w:t>” from the editing instructions</w:t>
            </w:r>
          </w:p>
          <w:p w:rsidR="007B1041" w:rsidRDefault="007B1041" w:rsidP="00975C35">
            <w:pPr>
              <w:numPr>
                <w:ilvl w:val="0"/>
                <w:numId w:val="14"/>
              </w:numPr>
              <w:rPr>
                <w:rFonts w:ascii="Arial" w:hAnsi="Arial" w:cs="Arial"/>
                <w:sz w:val="20"/>
              </w:rPr>
            </w:pPr>
            <w:r>
              <w:rPr>
                <w:rFonts w:ascii="Arial" w:hAnsi="Arial" w:cs="Arial"/>
                <w:sz w:val="20"/>
              </w:rPr>
              <w:t>On Page 18 Line 1:</w:t>
            </w:r>
          </w:p>
          <w:p w:rsidR="007327E6" w:rsidRDefault="007B1041" w:rsidP="00975C35">
            <w:pPr>
              <w:numPr>
                <w:ilvl w:val="1"/>
                <w:numId w:val="14"/>
              </w:numPr>
              <w:rPr>
                <w:rFonts w:ascii="Arial" w:hAnsi="Arial" w:cs="Arial"/>
                <w:sz w:val="20"/>
              </w:rPr>
            </w:pPr>
            <w:r>
              <w:rPr>
                <w:rFonts w:ascii="Arial" w:hAnsi="Arial" w:cs="Arial"/>
                <w:sz w:val="20"/>
              </w:rPr>
              <w:t>R</w:t>
            </w:r>
            <w:r w:rsidR="007327E6">
              <w:rPr>
                <w:rFonts w:ascii="Arial" w:hAnsi="Arial" w:cs="Arial"/>
                <w:sz w:val="20"/>
              </w:rPr>
              <w:t>emove the underlining from “STA”</w:t>
            </w:r>
          </w:p>
          <w:p w:rsidR="007327E6" w:rsidRDefault="007327E6" w:rsidP="00975C35">
            <w:pPr>
              <w:numPr>
                <w:ilvl w:val="1"/>
                <w:numId w:val="14"/>
              </w:numPr>
              <w:rPr>
                <w:rFonts w:ascii="Arial" w:hAnsi="Arial" w:cs="Arial"/>
                <w:sz w:val="20"/>
              </w:rPr>
            </w:pPr>
            <w:r>
              <w:rPr>
                <w:rFonts w:ascii="Arial" w:hAnsi="Arial" w:cs="Arial"/>
                <w:sz w:val="20"/>
              </w:rPr>
              <w:t>Remove the superscript “1” after “STA”</w:t>
            </w:r>
          </w:p>
          <w:p w:rsidR="007B1041" w:rsidRDefault="007B1041" w:rsidP="00975C35">
            <w:pPr>
              <w:numPr>
                <w:ilvl w:val="1"/>
                <w:numId w:val="14"/>
              </w:numPr>
              <w:rPr>
                <w:rFonts w:ascii="Arial" w:hAnsi="Arial" w:cs="Arial"/>
                <w:sz w:val="20"/>
              </w:rPr>
            </w:pPr>
            <w:r>
              <w:rPr>
                <w:rFonts w:ascii="Arial" w:hAnsi="Arial" w:cs="Arial"/>
                <w:sz w:val="20"/>
              </w:rPr>
              <w:t>Insert "for which dot11OCBEnabled is false" after "A STA" and before "keeps two".</w:t>
            </w:r>
          </w:p>
          <w:p w:rsidR="007B1041" w:rsidRDefault="007B1041" w:rsidP="00975C35">
            <w:pPr>
              <w:numPr>
                <w:ilvl w:val="0"/>
                <w:numId w:val="14"/>
              </w:numPr>
              <w:rPr>
                <w:rFonts w:ascii="Arial" w:hAnsi="Arial" w:cs="Arial"/>
                <w:sz w:val="20"/>
              </w:rPr>
            </w:pPr>
            <w:r>
              <w:rPr>
                <w:rFonts w:ascii="Arial" w:hAnsi="Arial" w:cs="Arial"/>
                <w:sz w:val="20"/>
              </w:rPr>
              <w:t>On Page 18, line 7, elevate the inserted sentence from a note to a regular sentence.</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1066</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Kenney, John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11.2</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Item (a) excludes synchronization, authentication and association. It does not exclude data confidentiality. Clause 5.3.1 states that the data confidentiality service is not used, but this is informative text. It would be appropriate to exclude data confidentiality in a normative section.</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In item (a) insert the following sentence between the two existing sentences: "Data confidentiality as defined in Clause 8 is not used."</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245A18" w:rsidP="00F36DC6">
            <w:pPr>
              <w:rPr>
                <w:rFonts w:ascii="Arial" w:hAnsi="Arial" w:cs="Arial"/>
                <w:sz w:val="20"/>
              </w:rPr>
            </w:pPr>
            <w:r>
              <w:rPr>
                <w:rFonts w:ascii="Arial" w:hAnsi="Arial" w:cs="Arial"/>
                <w:sz w:val="20"/>
              </w:rPr>
              <w:t>Agree.</w:t>
            </w:r>
          </w:p>
          <w:p w:rsidR="00245A18" w:rsidRDefault="00245A18" w:rsidP="00F36DC6">
            <w:pPr>
              <w:rPr>
                <w:rFonts w:ascii="Arial" w:hAnsi="Arial" w:cs="Arial"/>
                <w:sz w:val="20"/>
              </w:rPr>
            </w:pPr>
            <w:r>
              <w:rPr>
                <w:rFonts w:ascii="Arial" w:hAnsi="Arial" w:cs="Arial"/>
                <w:sz w:val="20"/>
              </w:rPr>
              <w:t>In item (a) insert the following sentence between the two existing sentences: "Data confidentiality as defined in Clause 8 is not used."</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1067</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Kenney, John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11.2</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Item (a) allows a STA with dot11OCBEnabled equal to true to send a Timing Advertisement frame. However, that is only possible if the STA maintains a TSF timer, which is optional for such a STA.</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Change "subtype Action and Timing Advertisement" to "subtype Action and, if the STA maintains a TSF Timer, subtype Timing Advertisement."</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975C35" w:rsidP="00F36DC6">
            <w:pPr>
              <w:rPr>
                <w:rFonts w:ascii="Arial" w:hAnsi="Arial" w:cs="Arial"/>
                <w:sz w:val="20"/>
              </w:rPr>
            </w:pPr>
            <w:r>
              <w:rPr>
                <w:rFonts w:ascii="Arial" w:hAnsi="Arial" w:cs="Arial"/>
                <w:sz w:val="20"/>
              </w:rPr>
              <w:t>Agree.</w:t>
            </w:r>
          </w:p>
          <w:p w:rsidR="00975C35" w:rsidRDefault="00975C35" w:rsidP="00F36DC6">
            <w:pPr>
              <w:rPr>
                <w:rFonts w:ascii="Arial" w:hAnsi="Arial" w:cs="Arial"/>
                <w:sz w:val="20"/>
              </w:rPr>
            </w:pPr>
            <w:r>
              <w:rPr>
                <w:rFonts w:ascii="Arial" w:hAnsi="Arial" w:cs="Arial"/>
                <w:sz w:val="20"/>
              </w:rPr>
              <w:t>In item (a) of 11.20, change "subtype Action and Timing Advertisement" to "subtype Action and, if the STA maintains a TSF Timer, subtype Timing Advertisement."</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1068</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Kenney, John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11.2</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24</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use of the word "after" implies a sequencing that is not intended. How long after? Furthermore, the text doesn't say that dot11OCBEnabled should be false, it says it shall be "set to FALSE." This implies it was true and there is a transition. This should be stated explicitly, or the statement should simply be that the value "is" false.</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Make this sentence part of the lettered list above, as item (f), so that it is predicated on "When dot11OCBEnabled is true in a STA". Word item (f) as: "If the STA joins a BSS or becomes the AP within a BSS the STA shall set dot11OCBEnabled to FALSE."</w:t>
            </w:r>
          </w:p>
        </w:tc>
        <w:tc>
          <w:tcPr>
            <w:tcW w:w="1356" w:type="pct"/>
            <w:tcBorders>
              <w:top w:val="single" w:sz="4" w:space="0" w:color="auto"/>
              <w:left w:val="nil"/>
              <w:bottom w:val="single" w:sz="4" w:space="0" w:color="auto"/>
              <w:right w:val="single" w:sz="4" w:space="0" w:color="auto"/>
            </w:tcBorders>
            <w:shd w:val="clear" w:color="auto" w:fill="auto"/>
            <w:hideMark/>
          </w:tcPr>
          <w:p w:rsidR="00245A18" w:rsidRDefault="00245A18" w:rsidP="00245A18">
            <w:pPr>
              <w:rPr>
                <w:rFonts w:ascii="Arial" w:hAnsi="Arial" w:cs="Arial"/>
                <w:sz w:val="20"/>
              </w:rPr>
            </w:pPr>
            <w:r>
              <w:rPr>
                <w:rFonts w:ascii="Arial" w:hAnsi="Arial" w:cs="Arial"/>
                <w:sz w:val="20"/>
              </w:rPr>
              <w:t>Principle.</w:t>
            </w:r>
          </w:p>
          <w:p w:rsidR="00245A18" w:rsidRDefault="00245A18" w:rsidP="00245A18">
            <w:pPr>
              <w:rPr>
                <w:rFonts w:ascii="Arial" w:hAnsi="Arial" w:cs="Arial"/>
                <w:sz w:val="20"/>
              </w:rPr>
            </w:pPr>
          </w:p>
          <w:p w:rsidR="00245A18" w:rsidRDefault="00245A18" w:rsidP="00245A18">
            <w:pPr>
              <w:rPr>
                <w:rFonts w:ascii="Arial" w:hAnsi="Arial" w:cs="Arial"/>
                <w:sz w:val="20"/>
              </w:rPr>
            </w:pPr>
            <w:r>
              <w:rPr>
                <w:rFonts w:ascii="Arial" w:hAnsi="Arial" w:cs="Arial"/>
                <w:sz w:val="20"/>
              </w:rPr>
              <w:t>Use the word “set” for the action of setting the value.</w:t>
            </w:r>
          </w:p>
          <w:p w:rsidR="00245A18" w:rsidRDefault="00245A18" w:rsidP="00245A18">
            <w:pPr>
              <w:rPr>
                <w:rFonts w:ascii="Arial" w:hAnsi="Arial" w:cs="Arial"/>
                <w:sz w:val="20"/>
              </w:rPr>
            </w:pPr>
          </w:p>
          <w:p w:rsidR="0060247C" w:rsidRDefault="00245A18" w:rsidP="00245A18">
            <w:pPr>
              <w:rPr>
                <w:rFonts w:ascii="Arial" w:hAnsi="Arial" w:cs="Arial"/>
                <w:sz w:val="20"/>
              </w:rPr>
            </w:pPr>
            <w:r>
              <w:rPr>
                <w:rFonts w:ascii="Arial" w:hAnsi="Arial" w:cs="Arial"/>
                <w:sz w:val="20"/>
              </w:rPr>
              <w:t>Change the statement to: “When a STA joins a BSS, it shall set dot11OCBEnabled to FALSE.  The STA shall keep dot11OCBEnabled false throughout its association with the BSS or while the STA is the AP within a BSS.</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1069</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Kenney, John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11.21.1</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34</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first sentence of this subclause is incorrect. By virtue of the added sentence in 11.1, clause 11.1.2 is optional for a STA that has dot11OCBEnabled equal to true. Such a STA need not maintain a TSF Timer. So, it is not true that "each STA maintains a TSF timer," let alone that each STA does so for sychronization purposes. A reader would be justified in interpreting this sentence, in conjunction with 11.1, to mean that the Timing Advertisement can only be sent by a STA with dot11OCBEnabled equal to false, but I know this is not the intent.</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Change the first sentence of 11.21 to: "The Timing Advertisement management frame may be sent by any STA that maintains a TSF Timer."</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5066A0" w:rsidP="00F36DC6">
            <w:pPr>
              <w:rPr>
                <w:rFonts w:ascii="Arial" w:hAnsi="Arial" w:cs="Arial"/>
                <w:sz w:val="20"/>
              </w:rPr>
            </w:pPr>
            <w:r>
              <w:rPr>
                <w:rFonts w:ascii="Arial" w:hAnsi="Arial" w:cs="Arial"/>
                <w:sz w:val="20"/>
              </w:rPr>
              <w:t>Principle.</w:t>
            </w:r>
          </w:p>
          <w:p w:rsidR="005066A0" w:rsidRDefault="005066A0" w:rsidP="00F36DC6">
            <w:pPr>
              <w:rPr>
                <w:rFonts w:ascii="Arial" w:hAnsi="Arial" w:cs="Arial"/>
                <w:sz w:val="20"/>
              </w:rPr>
            </w:pPr>
            <w:r>
              <w:rPr>
                <w:rFonts w:ascii="Arial" w:hAnsi="Arial" w:cs="Arial"/>
                <w:sz w:val="20"/>
              </w:rPr>
              <w:t>[insert Resolution from CID 1010/1015</w:t>
            </w:r>
            <w:r w:rsidR="00F20307">
              <w:rPr>
                <w:rFonts w:ascii="Arial" w:hAnsi="Arial" w:cs="Arial"/>
                <w:sz w:val="20"/>
              </w:rPr>
              <w:t xml:space="preserve"> here</w:t>
            </w:r>
            <w:r>
              <w:rPr>
                <w:rFonts w:ascii="Arial" w:hAnsi="Arial" w:cs="Arial"/>
                <w:sz w:val="20"/>
              </w:rPr>
              <w:t>]</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1070</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Kenney, John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11.21.2</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53</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term "Local Time" is defined in terms of the receiver's TSF Timer. If a STA without a TSF Timer receives a Timing Advertisement frame, this definition is not applicable.</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Change the start of the sentence from "For a STA eceiving a Timing Advertisement frame" to " For a STA that maintains a TSF Timer and receives a Timing Advertisement frame". Insert a sentence after this sentence: "Otherwise, the Local Time is unspecified."</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5066A0" w:rsidP="005066A0">
            <w:pPr>
              <w:rPr>
                <w:rFonts w:ascii="Arial" w:hAnsi="Arial" w:cs="Arial"/>
                <w:sz w:val="20"/>
              </w:rPr>
            </w:pPr>
            <w:r>
              <w:rPr>
                <w:rFonts w:ascii="Arial" w:hAnsi="Arial" w:cs="Arial"/>
                <w:sz w:val="20"/>
              </w:rPr>
              <w:t>Agree.</w:t>
            </w:r>
          </w:p>
          <w:p w:rsidR="005066A0" w:rsidRDefault="005066A0" w:rsidP="005066A0">
            <w:pPr>
              <w:rPr>
                <w:rFonts w:ascii="Arial" w:hAnsi="Arial" w:cs="Arial"/>
                <w:sz w:val="20"/>
              </w:rPr>
            </w:pPr>
            <w:r>
              <w:rPr>
                <w:rFonts w:ascii="Arial" w:hAnsi="Arial" w:cs="Arial"/>
                <w:sz w:val="20"/>
              </w:rPr>
              <w:t>Change the start of the sentence from "For a STA eceiving a Timing Advertisement frame" to " For a STA that maintains a TSF Timer and receives a Timing Advertisement frame". Insert a sentence after this sentence: "Otherwise, the Local Time is unspecified."</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1090</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Ecclesine, Peter</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11.3</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You cannot make a normative requirement in a footnote. This statement should be about state variables by station pair, and fails to distinguish when the stations are communicating in a BSS context and outside the context of a BSS, if both are possible (like in U-NII and ITS concurrently).</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Since you are playing with fire, rewrite this to make clear if both contexts between a station pair are possible, in one context these states are not used, and in the other context (dot11OCBEnabled is false or not present) they are.</w:t>
            </w:r>
          </w:p>
        </w:tc>
        <w:tc>
          <w:tcPr>
            <w:tcW w:w="1356" w:type="pct"/>
            <w:tcBorders>
              <w:top w:val="single" w:sz="4" w:space="0" w:color="auto"/>
              <w:left w:val="nil"/>
              <w:bottom w:val="single" w:sz="4" w:space="0" w:color="auto"/>
              <w:right w:val="single" w:sz="4" w:space="0" w:color="auto"/>
            </w:tcBorders>
            <w:shd w:val="clear" w:color="auto" w:fill="auto"/>
            <w:hideMark/>
          </w:tcPr>
          <w:p w:rsidR="007B1041" w:rsidRDefault="007B1041" w:rsidP="007B1041">
            <w:pPr>
              <w:rPr>
                <w:rFonts w:ascii="Arial" w:hAnsi="Arial" w:cs="Arial"/>
                <w:sz w:val="20"/>
              </w:rPr>
            </w:pPr>
            <w:r>
              <w:rPr>
                <w:rFonts w:ascii="Arial" w:hAnsi="Arial" w:cs="Arial"/>
                <w:sz w:val="20"/>
              </w:rPr>
              <w:t>Principle.</w:t>
            </w:r>
          </w:p>
          <w:p w:rsidR="007B1041" w:rsidRDefault="007B1041" w:rsidP="007B1041">
            <w:pPr>
              <w:numPr>
                <w:ilvl w:val="0"/>
                <w:numId w:val="12"/>
              </w:numPr>
              <w:rPr>
                <w:rFonts w:ascii="Arial" w:hAnsi="Arial" w:cs="Arial"/>
                <w:sz w:val="20"/>
              </w:rPr>
            </w:pPr>
            <w:r>
              <w:rPr>
                <w:rFonts w:ascii="Arial" w:hAnsi="Arial" w:cs="Arial"/>
                <w:sz w:val="20"/>
              </w:rPr>
              <w:t>On Page 17, line 53, remove the words “</w:t>
            </w:r>
            <w:r>
              <w:rPr>
                <w:b/>
                <w:bCs/>
                <w:i/>
                <w:iCs/>
                <w:szCs w:val="22"/>
                <w:lang w:val="en-US"/>
              </w:rPr>
              <w:t>to add a footnote to</w:t>
            </w:r>
            <w:r>
              <w:rPr>
                <w:rFonts w:ascii="Arial" w:hAnsi="Arial" w:cs="Arial"/>
                <w:sz w:val="20"/>
              </w:rPr>
              <w:t>” from the editing instructions</w:t>
            </w:r>
          </w:p>
          <w:p w:rsidR="007B1041" w:rsidRDefault="007B1041" w:rsidP="007B1041">
            <w:pPr>
              <w:numPr>
                <w:ilvl w:val="0"/>
                <w:numId w:val="12"/>
              </w:numPr>
              <w:rPr>
                <w:rFonts w:ascii="Arial" w:hAnsi="Arial" w:cs="Arial"/>
                <w:sz w:val="20"/>
              </w:rPr>
            </w:pPr>
            <w:r>
              <w:rPr>
                <w:rFonts w:ascii="Arial" w:hAnsi="Arial" w:cs="Arial"/>
                <w:sz w:val="20"/>
              </w:rPr>
              <w:t>On Page 18 Line 1:</w:t>
            </w:r>
          </w:p>
          <w:p w:rsidR="007B1041" w:rsidRDefault="007B1041" w:rsidP="007B1041">
            <w:pPr>
              <w:numPr>
                <w:ilvl w:val="1"/>
                <w:numId w:val="12"/>
              </w:numPr>
              <w:rPr>
                <w:rFonts w:ascii="Arial" w:hAnsi="Arial" w:cs="Arial"/>
                <w:sz w:val="20"/>
              </w:rPr>
            </w:pPr>
            <w:r>
              <w:rPr>
                <w:rFonts w:ascii="Arial" w:hAnsi="Arial" w:cs="Arial"/>
                <w:sz w:val="20"/>
              </w:rPr>
              <w:t>Remove the underlining from “STA”</w:t>
            </w:r>
          </w:p>
          <w:p w:rsidR="007B1041" w:rsidRDefault="007B1041" w:rsidP="007B1041">
            <w:pPr>
              <w:numPr>
                <w:ilvl w:val="1"/>
                <w:numId w:val="12"/>
              </w:numPr>
              <w:rPr>
                <w:rFonts w:ascii="Arial" w:hAnsi="Arial" w:cs="Arial"/>
                <w:sz w:val="20"/>
              </w:rPr>
            </w:pPr>
            <w:r>
              <w:rPr>
                <w:rFonts w:ascii="Arial" w:hAnsi="Arial" w:cs="Arial"/>
                <w:sz w:val="20"/>
              </w:rPr>
              <w:t>Remove the superscript “1” after “STA”</w:t>
            </w:r>
          </w:p>
          <w:p w:rsidR="007B1041" w:rsidRDefault="007B1041" w:rsidP="007B1041">
            <w:pPr>
              <w:numPr>
                <w:ilvl w:val="1"/>
                <w:numId w:val="12"/>
              </w:numPr>
              <w:rPr>
                <w:rFonts w:ascii="Arial" w:hAnsi="Arial" w:cs="Arial"/>
                <w:sz w:val="20"/>
              </w:rPr>
            </w:pPr>
            <w:r>
              <w:rPr>
                <w:rFonts w:ascii="Arial" w:hAnsi="Arial" w:cs="Arial"/>
                <w:sz w:val="20"/>
              </w:rPr>
              <w:t>Insert "for which dot11OCBEnabled is false" after "A STA" and before "keeps two".</w:t>
            </w:r>
          </w:p>
          <w:p w:rsidR="0060247C" w:rsidRDefault="007B1041" w:rsidP="007B1041">
            <w:pPr>
              <w:rPr>
                <w:rFonts w:ascii="Arial" w:hAnsi="Arial" w:cs="Arial"/>
                <w:sz w:val="20"/>
              </w:rPr>
            </w:pPr>
            <w:r>
              <w:rPr>
                <w:rFonts w:ascii="Arial" w:hAnsi="Arial" w:cs="Arial"/>
                <w:sz w:val="20"/>
              </w:rPr>
              <w:t>On Page 18, line 7, elevate the inserted sentence from a note to a regular sentence.</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1094</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Kenney, John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5</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7.2.3.14</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47</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Is the Time Advertisement IE an optional element in a Timing Advertisement frame? If so, the Notes column should say so. The notes column refers to clause 7.3.2.65, which does not indicate whether it is optional or not</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Insert "Optional." before "See 7.3.2.65" in the notes column</w:t>
            </w:r>
          </w:p>
        </w:tc>
        <w:tc>
          <w:tcPr>
            <w:tcW w:w="1356" w:type="pct"/>
            <w:tcBorders>
              <w:top w:val="single" w:sz="4" w:space="0" w:color="auto"/>
              <w:left w:val="nil"/>
              <w:bottom w:val="single" w:sz="4" w:space="0" w:color="auto"/>
              <w:right w:val="single" w:sz="4" w:space="0" w:color="auto"/>
            </w:tcBorders>
            <w:shd w:val="clear" w:color="auto" w:fill="auto"/>
            <w:hideMark/>
          </w:tcPr>
          <w:p w:rsidR="005066A0" w:rsidRDefault="00BE58D4" w:rsidP="00F36DC6">
            <w:pPr>
              <w:rPr>
                <w:rFonts w:ascii="Arial" w:hAnsi="Arial" w:cs="Arial"/>
                <w:sz w:val="20"/>
              </w:rPr>
            </w:pPr>
            <w:r>
              <w:rPr>
                <w:rFonts w:ascii="Arial" w:hAnsi="Arial" w:cs="Arial"/>
                <w:sz w:val="20"/>
              </w:rPr>
              <w:t>Principle.</w:t>
            </w:r>
          </w:p>
          <w:p w:rsidR="00BE58D4" w:rsidRDefault="00BE58D4" w:rsidP="00F36DC6">
            <w:pPr>
              <w:rPr>
                <w:rFonts w:ascii="Arial" w:hAnsi="Arial" w:cs="Arial"/>
                <w:sz w:val="20"/>
              </w:rPr>
            </w:pPr>
            <w:r>
              <w:rPr>
                <w:rFonts w:ascii="Arial" w:hAnsi="Arial" w:cs="Arial"/>
                <w:sz w:val="20"/>
              </w:rPr>
              <w:t>The Time Advertisement IE is mandatory.</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1100</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Kenney, John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7</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7.3.2.29</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42</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values for CWmin are suboptimal in an environment where the primary QoS metric is collision rate, not latency, as is likely to be the case in a vehicular environment.</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Change CWmin to aCWmin for all ACs</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BE58D4" w:rsidP="00F36DC6">
            <w:pPr>
              <w:rPr>
                <w:rFonts w:ascii="Arial" w:hAnsi="Arial" w:cs="Arial"/>
                <w:sz w:val="20"/>
              </w:rPr>
            </w:pPr>
            <w:r>
              <w:rPr>
                <w:rFonts w:ascii="Arial" w:hAnsi="Arial" w:cs="Arial"/>
                <w:sz w:val="20"/>
              </w:rPr>
              <w:t>Principle.</w:t>
            </w:r>
            <w:r w:rsidR="00937C94">
              <w:rPr>
                <w:rFonts w:ascii="Arial" w:hAnsi="Arial" w:cs="Arial"/>
                <w:sz w:val="20"/>
              </w:rPr>
              <w:t>.</w:t>
            </w:r>
          </w:p>
          <w:p w:rsidR="00937C94" w:rsidRDefault="00D36C05" w:rsidP="00F36DC6">
            <w:pPr>
              <w:rPr>
                <w:rFonts w:ascii="Arial" w:hAnsi="Arial" w:cs="Arial"/>
                <w:sz w:val="20"/>
              </w:rPr>
            </w:pPr>
            <w:r>
              <w:rPr>
                <w:rFonts w:ascii="Arial" w:hAnsi="Arial" w:cs="Arial"/>
                <w:sz w:val="20"/>
              </w:rPr>
              <w:t>There are typographical errors in Table 7-37a.</w:t>
            </w:r>
          </w:p>
          <w:p w:rsidR="00D36C05" w:rsidRDefault="00D36C05" w:rsidP="00F36DC6">
            <w:pPr>
              <w:rPr>
                <w:rFonts w:ascii="Arial" w:hAnsi="Arial" w:cs="Arial"/>
                <w:sz w:val="20"/>
              </w:rPr>
            </w:pPr>
            <w:r>
              <w:rPr>
                <w:rFonts w:ascii="Arial" w:hAnsi="Arial" w:cs="Arial"/>
                <w:sz w:val="20"/>
              </w:rPr>
              <w:t>Change the “CWmin” column entries to match the corresponding entries in the “CWmin” column of Table 7-37 in IEEE 802.11-2007.</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1116</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Mcnew, Justin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5</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7.1.3.14</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43</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Country information element usage implies the setting of specific MIB attributes. Does this mean DFS and TPS are required?</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Explain usage for OCB or make the field optional</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937C94" w:rsidP="00F36DC6">
            <w:pPr>
              <w:rPr>
                <w:rFonts w:ascii="Arial" w:hAnsi="Arial" w:cs="Arial"/>
                <w:sz w:val="20"/>
              </w:rPr>
            </w:pPr>
            <w:r>
              <w:rPr>
                <w:rFonts w:ascii="Arial" w:hAnsi="Arial" w:cs="Arial"/>
                <w:sz w:val="20"/>
              </w:rPr>
              <w:t>Agree.</w:t>
            </w:r>
          </w:p>
          <w:p w:rsidR="00937C94" w:rsidRDefault="00937C94" w:rsidP="00F36DC6">
            <w:pPr>
              <w:rPr>
                <w:rFonts w:ascii="Arial" w:hAnsi="Arial" w:cs="Arial"/>
                <w:sz w:val="20"/>
              </w:rPr>
            </w:pPr>
            <w:r>
              <w:rPr>
                <w:rFonts w:ascii="Arial" w:hAnsi="Arial" w:cs="Arial"/>
                <w:sz w:val="20"/>
              </w:rPr>
              <w:t>Make the item optional.</w:t>
            </w:r>
          </w:p>
          <w:p w:rsidR="00937C94" w:rsidRDefault="00937C94" w:rsidP="00F36DC6">
            <w:pPr>
              <w:rPr>
                <w:rFonts w:ascii="Arial" w:hAnsi="Arial" w:cs="Arial"/>
                <w:sz w:val="20"/>
              </w:rPr>
            </w:pPr>
            <w:r>
              <w:rPr>
                <w:rFonts w:ascii="Arial" w:hAnsi="Arial" w:cs="Arial"/>
                <w:sz w:val="20"/>
              </w:rPr>
              <w:t>In Table 7-18a, insert "Optional." before "The Country information element..." in the “Notes” column</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1117</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Mcnew, Justin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5</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7.1.3.14</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46</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Power constrain information element usage implies the setting of specific MIB attributes. Does this mean DFS and TPS are required?</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Explain usage for OCB or make the field optional</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E67889" w:rsidP="00F36DC6">
            <w:pPr>
              <w:rPr>
                <w:rFonts w:ascii="Arial" w:hAnsi="Arial" w:cs="Arial"/>
                <w:sz w:val="20"/>
              </w:rPr>
            </w:pPr>
            <w:r>
              <w:rPr>
                <w:rFonts w:ascii="Arial" w:hAnsi="Arial" w:cs="Arial"/>
                <w:sz w:val="20"/>
              </w:rPr>
              <w:t>Agree.</w:t>
            </w:r>
            <w:r w:rsidR="00937C94">
              <w:rPr>
                <w:rFonts w:ascii="Arial" w:hAnsi="Arial" w:cs="Arial"/>
                <w:sz w:val="20"/>
              </w:rPr>
              <w:t>.</w:t>
            </w:r>
          </w:p>
          <w:p w:rsidR="00937C94" w:rsidRDefault="00937C94" w:rsidP="00F36DC6">
            <w:pPr>
              <w:rPr>
                <w:rFonts w:ascii="Arial" w:hAnsi="Arial" w:cs="Arial"/>
                <w:sz w:val="20"/>
              </w:rPr>
            </w:pPr>
            <w:r>
              <w:rPr>
                <w:rFonts w:ascii="Arial" w:hAnsi="Arial" w:cs="Arial"/>
                <w:sz w:val="20"/>
              </w:rPr>
              <w:t>Power Constraint is already optional.</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1118</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Mcnew, Justin</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7.3.2.65</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30</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UT0 is not the correct reference. Also applies to line 44</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Change to UTC and verify the ITU-R reference</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937C94" w:rsidP="00F36DC6">
            <w:pPr>
              <w:rPr>
                <w:rFonts w:ascii="Arial" w:hAnsi="Arial" w:cs="Arial"/>
                <w:sz w:val="20"/>
              </w:rPr>
            </w:pPr>
            <w:r>
              <w:rPr>
                <w:rFonts w:ascii="Arial" w:hAnsi="Arial" w:cs="Arial"/>
                <w:sz w:val="20"/>
              </w:rPr>
              <w:t>Agree.</w:t>
            </w:r>
          </w:p>
          <w:p w:rsidR="006C36A8" w:rsidRDefault="00937C94" w:rsidP="006C36A8">
            <w:pPr>
              <w:numPr>
                <w:ilvl w:val="0"/>
                <w:numId w:val="17"/>
              </w:numPr>
              <w:rPr>
                <w:rFonts w:ascii="Arial" w:hAnsi="Arial" w:cs="Arial"/>
                <w:sz w:val="20"/>
              </w:rPr>
            </w:pPr>
            <w:r>
              <w:rPr>
                <w:rFonts w:ascii="Arial" w:hAnsi="Arial" w:cs="Arial"/>
                <w:sz w:val="20"/>
              </w:rPr>
              <w:t>In Table 7-37b, in the “Value” = 1 row and the “Notes” column:</w:t>
            </w:r>
          </w:p>
          <w:p w:rsidR="006C36A8" w:rsidRPr="006C36A8" w:rsidRDefault="00937C94" w:rsidP="006C36A8">
            <w:pPr>
              <w:numPr>
                <w:ilvl w:val="1"/>
                <w:numId w:val="17"/>
              </w:numPr>
              <w:rPr>
                <w:rFonts w:ascii="Arial" w:hAnsi="Arial" w:cs="Arial"/>
                <w:sz w:val="20"/>
              </w:rPr>
            </w:pPr>
            <w:r w:rsidRPr="006C36A8">
              <w:rPr>
                <w:rFonts w:ascii="Arial" w:hAnsi="Arial" w:cs="Arial"/>
                <w:sz w:val="20"/>
              </w:rPr>
              <w:t>Change “UT0” to “UTC”</w:t>
            </w:r>
          </w:p>
          <w:p w:rsidR="006C36A8" w:rsidRPr="006C36A8" w:rsidRDefault="00937C94" w:rsidP="006C36A8">
            <w:pPr>
              <w:numPr>
                <w:ilvl w:val="1"/>
                <w:numId w:val="17"/>
              </w:numPr>
              <w:rPr>
                <w:rFonts w:ascii="Arial" w:hAnsi="Arial" w:cs="Arial"/>
                <w:sz w:val="20"/>
              </w:rPr>
            </w:pPr>
            <w:r w:rsidRPr="006C36A8">
              <w:rPr>
                <w:rFonts w:ascii="Arial" w:hAnsi="Arial" w:cs="Arial"/>
                <w:sz w:val="20"/>
              </w:rPr>
              <w:t>Change “</w:t>
            </w:r>
            <w:r w:rsidRPr="006C36A8">
              <w:rPr>
                <w:rFonts w:ascii="Arial" w:hAnsi="Arial" w:cs="Arial"/>
                <w:sz w:val="20"/>
                <w:lang w:val="en-US"/>
              </w:rPr>
              <w:t>clause 2 - ITU-R TF.460-6” to “Annex I ITU-R 460-4</w:t>
            </w:r>
          </w:p>
          <w:p w:rsidR="006C36A8" w:rsidRPr="006C36A8" w:rsidRDefault="006C36A8" w:rsidP="006C36A8">
            <w:pPr>
              <w:numPr>
                <w:ilvl w:val="0"/>
                <w:numId w:val="17"/>
              </w:numPr>
              <w:rPr>
                <w:rFonts w:ascii="Arial" w:hAnsi="Arial" w:cs="Arial"/>
                <w:sz w:val="20"/>
              </w:rPr>
            </w:pPr>
            <w:r w:rsidRPr="006C36A8">
              <w:rPr>
                <w:rFonts w:ascii="Arial" w:hAnsi="Arial" w:cs="Arial"/>
                <w:sz w:val="20"/>
                <w:lang w:val="en-US"/>
              </w:rPr>
              <w:t>In Page 8, Line 44, change “UT0” to “UTC”</w:t>
            </w:r>
          </w:p>
          <w:p w:rsidR="006C36A8" w:rsidRPr="006C36A8" w:rsidRDefault="006C36A8" w:rsidP="006C36A8">
            <w:pPr>
              <w:numPr>
                <w:ilvl w:val="0"/>
                <w:numId w:val="17"/>
              </w:numPr>
              <w:rPr>
                <w:rFonts w:ascii="Arial" w:hAnsi="Arial" w:cs="Arial"/>
                <w:sz w:val="20"/>
              </w:rPr>
            </w:pPr>
            <w:r w:rsidRPr="006C36A8">
              <w:rPr>
                <w:rFonts w:ascii="Arial" w:hAnsi="Arial" w:cs="Arial"/>
                <w:sz w:val="20"/>
                <w:lang w:val="en-US"/>
              </w:rPr>
              <w:t xml:space="preserve">In clause 2, change “TF.460.6 (2002), Standard-frequency and time-signal emissions” to “TF.460-4 </w:t>
            </w:r>
            <w:r>
              <w:rPr>
                <w:rFonts w:ascii="Arial" w:hAnsi="Arial" w:cs="Arial"/>
                <w:sz w:val="20"/>
                <w:lang w:val="en-US"/>
              </w:rPr>
              <w:t>Standard-Frequency and Time-Signal Emissions</w:t>
            </w:r>
            <w:r w:rsidRPr="006C36A8">
              <w:rPr>
                <w:rFonts w:ascii="Arial" w:hAnsi="Arial" w:cs="Arial"/>
                <w:b/>
                <w:bCs/>
                <w:sz w:val="20"/>
                <w:lang w:val="en-US"/>
              </w:rPr>
              <w:t>”</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1123</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Chaplin, Clint</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11.3</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7</w:t>
            </w: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added footnote is changing normative behavior, and thus cannot be a footnote.</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Change the footnote into an in-line statement</w:t>
            </w:r>
          </w:p>
        </w:tc>
        <w:tc>
          <w:tcPr>
            <w:tcW w:w="1356" w:type="pct"/>
            <w:tcBorders>
              <w:top w:val="single" w:sz="4" w:space="0" w:color="auto"/>
              <w:left w:val="nil"/>
              <w:bottom w:val="single" w:sz="4" w:space="0" w:color="auto"/>
              <w:right w:val="single" w:sz="4" w:space="0" w:color="auto"/>
            </w:tcBorders>
            <w:shd w:val="clear" w:color="auto" w:fill="auto"/>
            <w:hideMark/>
          </w:tcPr>
          <w:p w:rsidR="00DB0A59" w:rsidRDefault="00DB0A59" w:rsidP="00DB0A59">
            <w:pPr>
              <w:rPr>
                <w:rFonts w:ascii="Arial" w:hAnsi="Arial" w:cs="Arial"/>
                <w:sz w:val="20"/>
              </w:rPr>
            </w:pPr>
            <w:r>
              <w:rPr>
                <w:rFonts w:ascii="Arial" w:hAnsi="Arial" w:cs="Arial"/>
                <w:sz w:val="20"/>
              </w:rPr>
              <w:t>Agree.</w:t>
            </w:r>
          </w:p>
          <w:p w:rsidR="00DB0A59" w:rsidRDefault="00DB0A59" w:rsidP="00DB0A59">
            <w:pPr>
              <w:numPr>
                <w:ilvl w:val="0"/>
                <w:numId w:val="13"/>
              </w:numPr>
              <w:rPr>
                <w:rFonts w:ascii="Arial" w:hAnsi="Arial" w:cs="Arial"/>
                <w:sz w:val="20"/>
              </w:rPr>
            </w:pPr>
            <w:r>
              <w:rPr>
                <w:rFonts w:ascii="Arial" w:hAnsi="Arial" w:cs="Arial"/>
                <w:sz w:val="20"/>
              </w:rPr>
              <w:t>On Page 17, line 53, remove the words “</w:t>
            </w:r>
            <w:r>
              <w:rPr>
                <w:b/>
                <w:bCs/>
                <w:i/>
                <w:iCs/>
                <w:szCs w:val="22"/>
                <w:lang w:val="en-US"/>
              </w:rPr>
              <w:t>to add a footnote to</w:t>
            </w:r>
            <w:r>
              <w:rPr>
                <w:rFonts w:ascii="Arial" w:hAnsi="Arial" w:cs="Arial"/>
                <w:sz w:val="20"/>
              </w:rPr>
              <w:t>” from the editing instructions</w:t>
            </w:r>
          </w:p>
          <w:p w:rsidR="00DB0A59" w:rsidRDefault="00DB0A59" w:rsidP="00DB0A59">
            <w:pPr>
              <w:numPr>
                <w:ilvl w:val="0"/>
                <w:numId w:val="13"/>
              </w:numPr>
              <w:rPr>
                <w:rFonts w:ascii="Arial" w:hAnsi="Arial" w:cs="Arial"/>
                <w:sz w:val="20"/>
              </w:rPr>
            </w:pPr>
            <w:r>
              <w:rPr>
                <w:rFonts w:ascii="Arial" w:hAnsi="Arial" w:cs="Arial"/>
                <w:sz w:val="20"/>
              </w:rPr>
              <w:t>On Page 18 Line 1:</w:t>
            </w:r>
          </w:p>
          <w:p w:rsidR="00DB0A59" w:rsidRDefault="00DB0A59" w:rsidP="00DB0A59">
            <w:pPr>
              <w:numPr>
                <w:ilvl w:val="1"/>
                <w:numId w:val="13"/>
              </w:numPr>
              <w:rPr>
                <w:rFonts w:ascii="Arial" w:hAnsi="Arial" w:cs="Arial"/>
                <w:sz w:val="20"/>
              </w:rPr>
            </w:pPr>
            <w:r>
              <w:rPr>
                <w:rFonts w:ascii="Arial" w:hAnsi="Arial" w:cs="Arial"/>
                <w:sz w:val="20"/>
              </w:rPr>
              <w:t>Remove the underlining from “STA”</w:t>
            </w:r>
          </w:p>
          <w:p w:rsidR="00DB0A59" w:rsidRDefault="00DB0A59" w:rsidP="00DB0A59">
            <w:pPr>
              <w:numPr>
                <w:ilvl w:val="1"/>
                <w:numId w:val="13"/>
              </w:numPr>
              <w:rPr>
                <w:rFonts w:ascii="Arial" w:hAnsi="Arial" w:cs="Arial"/>
                <w:sz w:val="20"/>
              </w:rPr>
            </w:pPr>
            <w:r>
              <w:rPr>
                <w:rFonts w:ascii="Arial" w:hAnsi="Arial" w:cs="Arial"/>
                <w:sz w:val="20"/>
              </w:rPr>
              <w:t>Remove the superscript “1” after “STA”</w:t>
            </w:r>
          </w:p>
          <w:p w:rsidR="00DB0A59" w:rsidRDefault="00DB0A59" w:rsidP="00DB0A59">
            <w:pPr>
              <w:numPr>
                <w:ilvl w:val="1"/>
                <w:numId w:val="13"/>
              </w:numPr>
              <w:rPr>
                <w:rFonts w:ascii="Arial" w:hAnsi="Arial" w:cs="Arial"/>
                <w:sz w:val="20"/>
              </w:rPr>
            </w:pPr>
            <w:r>
              <w:rPr>
                <w:rFonts w:ascii="Arial" w:hAnsi="Arial" w:cs="Arial"/>
                <w:sz w:val="20"/>
              </w:rPr>
              <w:t>Insert "for which dot11OCBEnabled is false" after "A STA" and before "keeps two".</w:t>
            </w:r>
          </w:p>
          <w:p w:rsidR="0060247C" w:rsidRDefault="00DB0A59" w:rsidP="00DB0A59">
            <w:pPr>
              <w:rPr>
                <w:rFonts w:ascii="Arial" w:hAnsi="Arial" w:cs="Arial"/>
                <w:sz w:val="20"/>
              </w:rPr>
            </w:pPr>
            <w:r>
              <w:rPr>
                <w:rFonts w:ascii="Arial" w:hAnsi="Arial" w:cs="Arial"/>
                <w:sz w:val="20"/>
              </w:rPr>
              <w:t>On Page 18, line 7, elevate the inserted sentence from a note to a regular sentence.</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lastRenderedPageBreak/>
              <w:t>1124</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Kwak, Joseph</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7.3.2.65</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The 10 byte Time Value in nanoseconds is described as UT0 time offset. However the t=0 value for this 10 byte field is not clearly defined. It may be that the authors intended the nanosecond time base to start at UT0 = 0. But UT0 = 0 time is not generally known and is subject to ambiguity. UT0 = 0 may be defined to be the first instant of the first day of the UT0 year 1 BC. This is because UT0 does not include a year = 0. The year 1BC is followed by the year 1AD. Defining the time standard t= 0 this way would be clumsy, a bit counter-intuitive and subject to misunderstanding.</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The proposed solution is to use the origin of the TAI timescale (as defined in ITU-R TF.460-4) as the t=0 value of the nanosecond time base. New draft text should be inserted into the usage column of Table 37b for the value 1: " The time stamp offset Time Value in nanoseconds is defined to be zero at the beginning of the first nanosecond of the first day of the year1958 in UT0." Proposed normative text is provided in document 11-09-0761r1.</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Pr="00277CEE" w:rsidRDefault="00277CEE" w:rsidP="00F36DC6">
            <w:pPr>
              <w:rPr>
                <w:rFonts w:ascii="Arial" w:hAnsi="Arial" w:cs="Arial"/>
                <w:sz w:val="20"/>
              </w:rPr>
            </w:pPr>
            <w:r w:rsidRPr="00277CEE">
              <w:rPr>
                <w:rFonts w:ascii="Arial" w:hAnsi="Arial" w:cs="Arial"/>
                <w:sz w:val="20"/>
              </w:rPr>
              <w:t>Principle.</w:t>
            </w:r>
          </w:p>
          <w:p w:rsidR="00277CEE" w:rsidRDefault="00277CEE" w:rsidP="00277CEE">
            <w:r w:rsidRPr="00277CEE">
              <w:rPr>
                <w:rFonts w:ascii="Arial" w:hAnsi="Arial" w:cs="Arial"/>
                <w:sz w:val="20"/>
              </w:rPr>
              <w:t>In Table 7-37b, in the “Value” = 1 row and the “Notes” column, add a new sentence at the end: “</w:t>
            </w:r>
            <w:r>
              <w:rPr>
                <w:rFonts w:ascii="Arial" w:hAnsi="Arial" w:cs="Arial"/>
                <w:sz w:val="20"/>
              </w:rPr>
              <w:t>The Time</w:t>
            </w:r>
            <w:r w:rsidRPr="00277CEE">
              <w:rPr>
                <w:rFonts w:ascii="Arial" w:hAnsi="Arial" w:cs="Arial"/>
                <w:sz w:val="20"/>
              </w:rPr>
              <w:t xml:space="preserve">stamp offset </w:t>
            </w:r>
            <w:r>
              <w:rPr>
                <w:rFonts w:ascii="Arial" w:hAnsi="Arial" w:cs="Arial"/>
                <w:sz w:val="20"/>
              </w:rPr>
              <w:t>value</w:t>
            </w:r>
            <w:r w:rsidRPr="00277CEE">
              <w:rPr>
                <w:rFonts w:ascii="Arial" w:hAnsi="Arial" w:cs="Arial"/>
                <w:sz w:val="20"/>
              </w:rPr>
              <w:t xml:space="preserve"> in n</w:t>
            </w:r>
            <w:r>
              <w:rPr>
                <w:rFonts w:ascii="Arial" w:hAnsi="Arial" w:cs="Arial"/>
                <w:sz w:val="20"/>
              </w:rPr>
              <w:t>anoseconds is defined to be 0</w:t>
            </w:r>
            <w:r w:rsidRPr="00277CEE">
              <w:rPr>
                <w:rFonts w:ascii="Arial" w:hAnsi="Arial" w:cs="Arial"/>
                <w:sz w:val="20"/>
              </w:rPr>
              <w:t xml:space="preserve"> at the beginning of the first nanosecond of the first day of the year</w:t>
            </w:r>
            <w:r>
              <w:rPr>
                <w:rFonts w:ascii="Arial" w:hAnsi="Arial" w:cs="Arial"/>
                <w:sz w:val="20"/>
              </w:rPr>
              <w:t xml:space="preserve"> 1958</w:t>
            </w:r>
            <w:r w:rsidRPr="00277CEE">
              <w:rPr>
                <w:rFonts w:ascii="Arial" w:hAnsi="Arial" w:cs="Arial"/>
                <w:sz w:val="20"/>
              </w:rPr>
              <w:t>.”</w:t>
            </w:r>
          </w:p>
        </w:tc>
      </w:tr>
      <w:tr w:rsidR="0060247C" w:rsidRPr="00237E19" w:rsidTr="00C54096">
        <w:trPr>
          <w:cantSplit/>
          <w:trHeight w:val="612"/>
        </w:trPr>
        <w:tc>
          <w:tcPr>
            <w:tcW w:w="257" w:type="pct"/>
            <w:tcBorders>
              <w:top w:val="single" w:sz="4" w:space="0" w:color="auto"/>
              <w:left w:val="single" w:sz="4" w:space="0" w:color="auto"/>
              <w:bottom w:val="single" w:sz="4" w:space="0" w:color="auto"/>
              <w:right w:val="nil"/>
            </w:tcBorders>
            <w:shd w:val="clear" w:color="auto" w:fill="auto"/>
            <w:hideMark/>
          </w:tcPr>
          <w:p w:rsidR="0060247C" w:rsidRDefault="0060247C">
            <w:pPr>
              <w:jc w:val="right"/>
              <w:rPr>
                <w:rFonts w:ascii="Arial" w:hAnsi="Arial" w:cs="Arial"/>
                <w:sz w:val="20"/>
              </w:rPr>
            </w:pPr>
            <w:r>
              <w:rPr>
                <w:rFonts w:ascii="Arial" w:hAnsi="Arial" w:cs="Arial"/>
                <w:sz w:val="20"/>
              </w:rPr>
              <w:t>1125</w:t>
            </w:r>
          </w:p>
        </w:tc>
        <w:tc>
          <w:tcPr>
            <w:tcW w:w="465" w:type="pct"/>
            <w:tcBorders>
              <w:top w:val="single" w:sz="4" w:space="0" w:color="auto"/>
              <w:left w:val="single" w:sz="8" w:space="0" w:color="auto"/>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Kwak, Joseph</w:t>
            </w:r>
          </w:p>
        </w:tc>
        <w:tc>
          <w:tcPr>
            <w:tcW w:w="233" w:type="pct"/>
            <w:tcBorders>
              <w:top w:val="single" w:sz="4" w:space="0" w:color="auto"/>
              <w:left w:val="nil"/>
              <w:bottom w:val="single" w:sz="4" w:space="0" w:color="auto"/>
              <w:right w:val="single" w:sz="4" w:space="0" w:color="auto"/>
            </w:tcBorders>
            <w:shd w:val="clear" w:color="auto" w:fill="auto"/>
            <w:hideMark/>
          </w:tcPr>
          <w:p w:rsidR="0060247C" w:rsidRDefault="0060247C">
            <w:pPr>
              <w:jc w:val="right"/>
              <w:rPr>
                <w:rFonts w:ascii="Arial" w:hAnsi="Arial" w:cs="Arial"/>
                <w:sz w:val="20"/>
              </w:rPr>
            </w:pPr>
            <w:r>
              <w:rPr>
                <w:rFonts w:ascii="Arial" w:hAnsi="Arial" w:cs="Arial"/>
                <w:sz w:val="20"/>
              </w:rPr>
              <w:t>8</w:t>
            </w:r>
          </w:p>
        </w:tc>
        <w:tc>
          <w:tcPr>
            <w:tcW w:w="388"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r>
              <w:rPr>
                <w:rFonts w:ascii="Arial" w:hAnsi="Arial" w:cs="Arial"/>
                <w:sz w:val="20"/>
              </w:rPr>
              <w:t>7.3.2.65</w:t>
            </w:r>
          </w:p>
        </w:tc>
        <w:tc>
          <w:tcPr>
            <w:tcW w:w="171" w:type="pct"/>
            <w:tcBorders>
              <w:top w:val="single" w:sz="4" w:space="0" w:color="auto"/>
              <w:left w:val="nil"/>
              <w:bottom w:val="single" w:sz="4" w:space="0" w:color="auto"/>
              <w:right w:val="single" w:sz="4" w:space="0" w:color="auto"/>
            </w:tcBorders>
            <w:shd w:val="clear" w:color="auto" w:fill="auto"/>
            <w:hideMark/>
          </w:tcPr>
          <w:p w:rsidR="0060247C" w:rsidRDefault="0060247C">
            <w:pPr>
              <w:rPr>
                <w:rFonts w:ascii="Arial" w:hAnsi="Arial" w:cs="Arial"/>
                <w:sz w:val="20"/>
              </w:rPr>
            </w:pPr>
          </w:p>
        </w:tc>
        <w:tc>
          <w:tcPr>
            <w:tcW w:w="855" w:type="pct"/>
            <w:tcBorders>
              <w:top w:val="single" w:sz="4" w:space="0" w:color="auto"/>
              <w:left w:val="nil"/>
              <w:bottom w:val="single" w:sz="4" w:space="0" w:color="auto"/>
              <w:right w:val="nil"/>
            </w:tcBorders>
            <w:shd w:val="clear" w:color="auto" w:fill="auto"/>
            <w:hideMark/>
          </w:tcPr>
          <w:p w:rsidR="0060247C" w:rsidRDefault="0060247C">
            <w:pPr>
              <w:rPr>
                <w:rFonts w:ascii="Arial" w:hAnsi="Arial" w:cs="Arial"/>
                <w:sz w:val="20"/>
              </w:rPr>
            </w:pPr>
            <w:r>
              <w:rPr>
                <w:rFonts w:ascii="Arial" w:hAnsi="Arial" w:cs="Arial"/>
                <w:sz w:val="20"/>
              </w:rPr>
              <w:t>. The Time Error field is defined in nanoseconds, but there is no assigned special value to define the case when the STA has a Time Value, but does not know the time error.</w:t>
            </w:r>
          </w:p>
        </w:tc>
        <w:tc>
          <w:tcPr>
            <w:tcW w:w="1275" w:type="pct"/>
            <w:tcBorders>
              <w:top w:val="single" w:sz="4" w:space="0" w:color="auto"/>
              <w:left w:val="single" w:sz="4" w:space="0" w:color="auto"/>
              <w:bottom w:val="single" w:sz="4" w:space="0" w:color="auto"/>
              <w:right w:val="single" w:sz="8" w:space="0" w:color="auto"/>
            </w:tcBorders>
            <w:shd w:val="clear" w:color="auto" w:fill="auto"/>
            <w:hideMark/>
          </w:tcPr>
          <w:p w:rsidR="0060247C" w:rsidRDefault="0060247C">
            <w:pPr>
              <w:rPr>
                <w:rFonts w:ascii="Arial" w:hAnsi="Arial" w:cs="Arial"/>
                <w:sz w:val="20"/>
              </w:rPr>
            </w:pPr>
            <w:r>
              <w:rPr>
                <w:rFonts w:ascii="Arial" w:hAnsi="Arial" w:cs="Arial"/>
                <w:sz w:val="20"/>
              </w:rPr>
              <w:t>. A new sentence to define a special value when time error is unknown is added: " The value of 0 is used to indicate that the time error is unknown." Proposed normative text is provided in document 11-09-0761r1.</w:t>
            </w:r>
          </w:p>
        </w:tc>
        <w:tc>
          <w:tcPr>
            <w:tcW w:w="1356" w:type="pct"/>
            <w:tcBorders>
              <w:top w:val="single" w:sz="4" w:space="0" w:color="auto"/>
              <w:left w:val="nil"/>
              <w:bottom w:val="single" w:sz="4" w:space="0" w:color="auto"/>
              <w:right w:val="single" w:sz="4" w:space="0" w:color="auto"/>
            </w:tcBorders>
            <w:shd w:val="clear" w:color="auto" w:fill="auto"/>
            <w:hideMark/>
          </w:tcPr>
          <w:p w:rsidR="0060247C" w:rsidRDefault="00F20307" w:rsidP="00F36DC6">
            <w:pPr>
              <w:rPr>
                <w:rFonts w:ascii="Arial" w:hAnsi="Arial" w:cs="Arial"/>
                <w:sz w:val="20"/>
              </w:rPr>
            </w:pPr>
            <w:r>
              <w:rPr>
                <w:rFonts w:ascii="Arial" w:hAnsi="Arial" w:cs="Arial"/>
                <w:sz w:val="20"/>
              </w:rPr>
              <w:t>Principle.</w:t>
            </w:r>
          </w:p>
          <w:p w:rsidR="00F20307" w:rsidRDefault="00F20307" w:rsidP="00F36DC6">
            <w:pPr>
              <w:rPr>
                <w:rFonts w:ascii="Arial" w:hAnsi="Arial" w:cs="Arial"/>
                <w:sz w:val="20"/>
              </w:rPr>
            </w:pPr>
            <w:r>
              <w:rPr>
                <w:rFonts w:ascii="Arial" w:hAnsi="Arial" w:cs="Arial"/>
                <w:sz w:val="20"/>
              </w:rPr>
              <w:t>Add a new sentence to the end of the last paragraph of 7.3.2.65: “The value of 0 is used to indicate that the error is unknown”</w:t>
            </w:r>
          </w:p>
        </w:tc>
      </w:tr>
    </w:tbl>
    <w:p w:rsidR="00E360A0" w:rsidRDefault="00E360A0" w:rsidP="002870FF">
      <w:pPr>
        <w:rPr>
          <w:b/>
          <w:sz w:val="24"/>
        </w:rPr>
      </w:pPr>
    </w:p>
    <w:p w:rsidR="00F42E9B" w:rsidRDefault="00F42E9B" w:rsidP="002870FF">
      <w:pPr>
        <w:rPr>
          <w:b/>
          <w:sz w:val="24"/>
        </w:rPr>
      </w:pPr>
    </w:p>
    <w:p w:rsidR="00E360A0" w:rsidRDefault="00E360A0" w:rsidP="00E360A0">
      <w:pPr>
        <w:rPr>
          <w:b/>
          <w:sz w:val="24"/>
        </w:rPr>
      </w:pPr>
    </w:p>
    <w:p w:rsidR="00E360A0" w:rsidRDefault="00E360A0" w:rsidP="00E360A0">
      <w:pPr>
        <w:numPr>
          <w:ilvl w:val="0"/>
          <w:numId w:val="2"/>
        </w:numPr>
        <w:rPr>
          <w:b/>
          <w:sz w:val="24"/>
        </w:rPr>
      </w:pPr>
      <w:r>
        <w:rPr>
          <w:b/>
          <w:sz w:val="24"/>
        </w:rPr>
        <w:lastRenderedPageBreak/>
        <w:t>Background</w:t>
      </w:r>
    </w:p>
    <w:p w:rsidR="00E360A0" w:rsidRDefault="00E360A0" w:rsidP="00E360A0">
      <w:pPr>
        <w:rPr>
          <w:sz w:val="24"/>
        </w:rPr>
      </w:pPr>
    </w:p>
    <w:p w:rsidR="00D2616D" w:rsidRPr="0059687A" w:rsidRDefault="00476A9B" w:rsidP="00D2616D">
      <w:r w:rsidRPr="00476A9B">
        <w:t xml:space="preserve">This submission proposes </w:t>
      </w:r>
      <w:r w:rsidR="00BF7B0C">
        <w:t>the resolution</w:t>
      </w:r>
      <w:r w:rsidR="00E67B83">
        <w:t>s</w:t>
      </w:r>
      <w:r w:rsidR="00F42E9B">
        <w:t xml:space="preserve"> to</w:t>
      </w:r>
      <w:r w:rsidRPr="00476A9B">
        <w:t xml:space="preserve"> </w:t>
      </w:r>
      <w:r w:rsidR="00BF7B0C">
        <w:t>comment</w:t>
      </w:r>
      <w:r w:rsidR="00E67B83">
        <w:t>s</w:t>
      </w:r>
      <w:r w:rsidR="00DC121F">
        <w:t xml:space="preserve"> </w:t>
      </w:r>
      <w:r w:rsidR="00706581">
        <w:t>in Clauses 7, 9 and 11</w:t>
      </w:r>
      <w:r w:rsidR="00F81AC0">
        <w:t>.</w:t>
      </w:r>
    </w:p>
    <w:p w:rsidR="00E360A0" w:rsidRDefault="00E360A0" w:rsidP="00E360A0">
      <w:pPr>
        <w:rPr>
          <w:sz w:val="24"/>
        </w:rPr>
      </w:pPr>
    </w:p>
    <w:p w:rsidR="00CA09B2" w:rsidRPr="003B7E91" w:rsidRDefault="00E360A0" w:rsidP="003B7E91">
      <w:pPr>
        <w:rPr>
          <w:sz w:val="24"/>
        </w:rPr>
      </w:pPr>
      <w:r>
        <w:br w:type="page"/>
      </w:r>
      <w:r w:rsidR="00CA09B2">
        <w:rPr>
          <w:b/>
          <w:sz w:val="24"/>
        </w:rPr>
        <w:lastRenderedPageBreak/>
        <w:t>References:</w:t>
      </w:r>
    </w:p>
    <w:p w:rsidR="00CA09B2" w:rsidRDefault="00CA09B2"/>
    <w:sectPr w:rsidR="00CA09B2" w:rsidSect="00022B0D">
      <w:headerReference w:type="default" r:id="rId7"/>
      <w:footerReference w:type="default" r:id="rId8"/>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9F" w:rsidRDefault="00134F9F">
      <w:r>
        <w:separator/>
      </w:r>
    </w:p>
  </w:endnote>
  <w:endnote w:type="continuationSeparator" w:id="0">
    <w:p w:rsidR="00134F9F" w:rsidRDefault="00134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F2" w:rsidRDefault="007D29F2" w:rsidP="0010762A">
    <w:pPr>
      <w:pStyle w:val="Footer"/>
      <w:tabs>
        <w:tab w:val="clear" w:pos="6480"/>
        <w:tab w:val="center" w:pos="4680"/>
        <w:tab w:val="right" w:pos="9360"/>
      </w:tabs>
    </w:pPr>
    <w:fldSimple w:instr=" SUBJECT  \* MERGEFORMAT ">
      <w:r>
        <w:t>Submission</w:t>
      </w:r>
    </w:fldSimple>
    <w:r>
      <w:t xml:space="preserve">                                                                              page </w:t>
    </w:r>
    <w:fldSimple w:instr="page ">
      <w:r w:rsidR="00C54096">
        <w:rPr>
          <w:noProof/>
        </w:rPr>
        <w:t>1</w:t>
      </w:r>
    </w:fldSimple>
    <w:r>
      <w:tab/>
    </w:r>
    <w:r>
      <w:tab/>
      <w:t xml:space="preserve">Justin McNew, Kapsch TrafficCom </w:t>
    </w:r>
  </w:p>
  <w:p w:rsidR="007D29F2" w:rsidRDefault="007D29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9F" w:rsidRDefault="00134F9F">
      <w:r>
        <w:separator/>
      </w:r>
    </w:p>
  </w:footnote>
  <w:footnote w:type="continuationSeparator" w:id="0">
    <w:p w:rsidR="00134F9F" w:rsidRDefault="00134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F2" w:rsidRDefault="00F14DFC" w:rsidP="0010762A">
    <w:pPr>
      <w:pStyle w:val="Header"/>
      <w:tabs>
        <w:tab w:val="clear" w:pos="6480"/>
        <w:tab w:val="center" w:pos="4680"/>
        <w:tab w:val="right" w:pos="9360"/>
      </w:tabs>
    </w:pPr>
    <w:r>
      <w:t>January 2010</w:t>
    </w:r>
    <w:r w:rsidR="007D29F2">
      <w:tab/>
    </w:r>
    <w:r w:rsidR="007D29F2">
      <w:tab/>
    </w:r>
    <w:r w:rsidR="007D29F2">
      <w:tab/>
    </w:r>
    <w:fldSimple w:instr=" TITLE  &quot;doc.: IEEE 802.11-09/XXXXr0&quot;  \* MERGEFORMAT ">
      <w:r w:rsidR="00C54096">
        <w:t>doc.: IEEE 802.11-09/0045</w:t>
      </w:r>
      <w:r w:rsidR="007D29F2">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602"/>
    <w:multiLevelType w:val="hybridMultilevel"/>
    <w:tmpl w:val="77BAA3DC"/>
    <w:lvl w:ilvl="0" w:tplc="EE0A9F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C3829"/>
    <w:multiLevelType w:val="hybridMultilevel"/>
    <w:tmpl w:val="FDC04306"/>
    <w:lvl w:ilvl="0" w:tplc="B0C4C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312A1"/>
    <w:multiLevelType w:val="hybridMultilevel"/>
    <w:tmpl w:val="00423408"/>
    <w:lvl w:ilvl="0" w:tplc="902E9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6046D"/>
    <w:multiLevelType w:val="hybridMultilevel"/>
    <w:tmpl w:val="9A24CCD6"/>
    <w:lvl w:ilvl="0" w:tplc="902E99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E2A27"/>
    <w:multiLevelType w:val="hybridMultilevel"/>
    <w:tmpl w:val="05E6C2D6"/>
    <w:lvl w:ilvl="0" w:tplc="E8885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40A24"/>
    <w:multiLevelType w:val="hybridMultilevel"/>
    <w:tmpl w:val="9A24CCD6"/>
    <w:lvl w:ilvl="0" w:tplc="902E99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A66DF"/>
    <w:multiLevelType w:val="hybridMultilevel"/>
    <w:tmpl w:val="A74C8B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71672"/>
    <w:multiLevelType w:val="hybridMultilevel"/>
    <w:tmpl w:val="FEF004A6"/>
    <w:lvl w:ilvl="0" w:tplc="4FF027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F2509D"/>
    <w:multiLevelType w:val="hybridMultilevel"/>
    <w:tmpl w:val="A93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02589"/>
    <w:multiLevelType w:val="hybridMultilevel"/>
    <w:tmpl w:val="5D88A302"/>
    <w:lvl w:ilvl="0" w:tplc="4CF4A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B30AC"/>
    <w:multiLevelType w:val="hybridMultilevel"/>
    <w:tmpl w:val="70CA51F4"/>
    <w:lvl w:ilvl="0" w:tplc="869CAD1A">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4C6A9B"/>
    <w:multiLevelType w:val="hybridMultilevel"/>
    <w:tmpl w:val="96A60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84414"/>
    <w:multiLevelType w:val="hybridMultilevel"/>
    <w:tmpl w:val="BDFE350C"/>
    <w:lvl w:ilvl="0" w:tplc="902E9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05250"/>
    <w:multiLevelType w:val="hybridMultilevel"/>
    <w:tmpl w:val="9A24CCD6"/>
    <w:lvl w:ilvl="0" w:tplc="902E99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E3595"/>
    <w:multiLevelType w:val="hybridMultilevel"/>
    <w:tmpl w:val="B67A0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D55F6B"/>
    <w:multiLevelType w:val="hybridMultilevel"/>
    <w:tmpl w:val="EA823CAC"/>
    <w:lvl w:ilvl="0" w:tplc="04090001">
      <w:start w:val="1"/>
      <w:numFmt w:val="bullet"/>
      <w:lvlText w:val=""/>
      <w:lvlJc w:val="left"/>
      <w:pPr>
        <w:ind w:left="720" w:hanging="360"/>
      </w:pPr>
      <w:rPr>
        <w:rFonts w:ascii="Symbol" w:hAnsi="Symbol" w:hint="default"/>
      </w:rPr>
    </w:lvl>
    <w:lvl w:ilvl="1" w:tplc="AC92F8CA">
      <w:numFmt w:val="bullet"/>
      <w:lvlText w:val="•"/>
      <w:lvlJc w:val="left"/>
      <w:pPr>
        <w:ind w:left="1440" w:hanging="360"/>
      </w:pPr>
      <w:rPr>
        <w:rFonts w:ascii="TimesNewRomanPSMT" w:eastAsia="Times New Roman"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F67036"/>
    <w:multiLevelType w:val="hybridMultilevel"/>
    <w:tmpl w:val="A6049426"/>
    <w:lvl w:ilvl="0" w:tplc="69D4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9F537A"/>
    <w:multiLevelType w:val="hybridMultilevel"/>
    <w:tmpl w:val="B3D4766A"/>
    <w:lvl w:ilvl="0" w:tplc="DF6A96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97F6C77"/>
    <w:multiLevelType w:val="hybridMultilevel"/>
    <w:tmpl w:val="9A24CCD6"/>
    <w:lvl w:ilvl="0" w:tplc="902E99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362DD3"/>
    <w:multiLevelType w:val="hybridMultilevel"/>
    <w:tmpl w:val="5ECE6930"/>
    <w:lvl w:ilvl="0" w:tplc="902E99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7"/>
  </w:num>
  <w:num w:numId="6">
    <w:abstractNumId w:val="15"/>
  </w:num>
  <w:num w:numId="7">
    <w:abstractNumId w:val="4"/>
  </w:num>
  <w:num w:numId="8">
    <w:abstractNumId w:val="0"/>
  </w:num>
  <w:num w:numId="9">
    <w:abstractNumId w:val="9"/>
  </w:num>
  <w:num w:numId="10">
    <w:abstractNumId w:val="11"/>
  </w:num>
  <w:num w:numId="11">
    <w:abstractNumId w:val="18"/>
  </w:num>
  <w:num w:numId="12">
    <w:abstractNumId w:val="13"/>
  </w:num>
  <w:num w:numId="13">
    <w:abstractNumId w:val="5"/>
  </w:num>
  <w:num w:numId="14">
    <w:abstractNumId w:val="3"/>
  </w:num>
  <w:num w:numId="15">
    <w:abstractNumId w:val="2"/>
  </w:num>
  <w:num w:numId="16">
    <w:abstractNumId w:val="12"/>
  </w:num>
  <w:num w:numId="17">
    <w:abstractNumId w:val="19"/>
  </w:num>
  <w:num w:numId="18">
    <w:abstractNumId w:val="1"/>
  </w:num>
  <w:num w:numId="19">
    <w:abstractNumId w:val="1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BE68C2"/>
    <w:rsid w:val="00012598"/>
    <w:rsid w:val="00012E3D"/>
    <w:rsid w:val="000134D8"/>
    <w:rsid w:val="00022B0D"/>
    <w:rsid w:val="0002499B"/>
    <w:rsid w:val="00031FD8"/>
    <w:rsid w:val="00036D39"/>
    <w:rsid w:val="00042B25"/>
    <w:rsid w:val="00045F6F"/>
    <w:rsid w:val="00052F6F"/>
    <w:rsid w:val="00053F2A"/>
    <w:rsid w:val="00055383"/>
    <w:rsid w:val="00055D0E"/>
    <w:rsid w:val="00062666"/>
    <w:rsid w:val="00070D93"/>
    <w:rsid w:val="000774C7"/>
    <w:rsid w:val="00082F35"/>
    <w:rsid w:val="00093DE5"/>
    <w:rsid w:val="00095474"/>
    <w:rsid w:val="00097A4B"/>
    <w:rsid w:val="000A004C"/>
    <w:rsid w:val="000A49EC"/>
    <w:rsid w:val="000B0BAF"/>
    <w:rsid w:val="000D1911"/>
    <w:rsid w:val="001010B4"/>
    <w:rsid w:val="001010D3"/>
    <w:rsid w:val="00102273"/>
    <w:rsid w:val="00104C53"/>
    <w:rsid w:val="00105780"/>
    <w:rsid w:val="0010762A"/>
    <w:rsid w:val="001130B1"/>
    <w:rsid w:val="00121DF0"/>
    <w:rsid w:val="00134F9F"/>
    <w:rsid w:val="00146864"/>
    <w:rsid w:val="00146ADE"/>
    <w:rsid w:val="0015271E"/>
    <w:rsid w:val="00163C73"/>
    <w:rsid w:val="001748F3"/>
    <w:rsid w:val="00174F37"/>
    <w:rsid w:val="00196340"/>
    <w:rsid w:val="001977C8"/>
    <w:rsid w:val="001A2598"/>
    <w:rsid w:val="001A381A"/>
    <w:rsid w:val="001B248A"/>
    <w:rsid w:val="001B452E"/>
    <w:rsid w:val="001B6792"/>
    <w:rsid w:val="001B7B18"/>
    <w:rsid w:val="001C0371"/>
    <w:rsid w:val="001C34D8"/>
    <w:rsid w:val="001C7412"/>
    <w:rsid w:val="001D2540"/>
    <w:rsid w:val="001D2CE3"/>
    <w:rsid w:val="001D459E"/>
    <w:rsid w:val="001E179A"/>
    <w:rsid w:val="001E1F55"/>
    <w:rsid w:val="001E541B"/>
    <w:rsid w:val="001E58F4"/>
    <w:rsid w:val="001F70A4"/>
    <w:rsid w:val="0022616D"/>
    <w:rsid w:val="00231078"/>
    <w:rsid w:val="00243910"/>
    <w:rsid w:val="00245A18"/>
    <w:rsid w:val="002575A1"/>
    <w:rsid w:val="00265A69"/>
    <w:rsid w:val="00277CEE"/>
    <w:rsid w:val="00282268"/>
    <w:rsid w:val="002870FF"/>
    <w:rsid w:val="002A2522"/>
    <w:rsid w:val="002A561B"/>
    <w:rsid w:val="002A5FA1"/>
    <w:rsid w:val="002B1DE7"/>
    <w:rsid w:val="002B7E15"/>
    <w:rsid w:val="002C69C7"/>
    <w:rsid w:val="002D0A2A"/>
    <w:rsid w:val="002D2C4C"/>
    <w:rsid w:val="002D6E39"/>
    <w:rsid w:val="002E16F1"/>
    <w:rsid w:val="003003AC"/>
    <w:rsid w:val="00301B70"/>
    <w:rsid w:val="00316EE7"/>
    <w:rsid w:val="003231E8"/>
    <w:rsid w:val="00341ED9"/>
    <w:rsid w:val="00342A3D"/>
    <w:rsid w:val="00350D25"/>
    <w:rsid w:val="00362640"/>
    <w:rsid w:val="003677E7"/>
    <w:rsid w:val="00381829"/>
    <w:rsid w:val="00396043"/>
    <w:rsid w:val="003A4995"/>
    <w:rsid w:val="003A607E"/>
    <w:rsid w:val="003A715E"/>
    <w:rsid w:val="003B0040"/>
    <w:rsid w:val="003B5966"/>
    <w:rsid w:val="003B75D3"/>
    <w:rsid w:val="003B7A9B"/>
    <w:rsid w:val="003B7E91"/>
    <w:rsid w:val="003C42FE"/>
    <w:rsid w:val="003C468E"/>
    <w:rsid w:val="003E0BCC"/>
    <w:rsid w:val="003E3351"/>
    <w:rsid w:val="003E5D47"/>
    <w:rsid w:val="003F5740"/>
    <w:rsid w:val="0040296E"/>
    <w:rsid w:val="004068D8"/>
    <w:rsid w:val="00411FA5"/>
    <w:rsid w:val="00412F7A"/>
    <w:rsid w:val="00415D08"/>
    <w:rsid w:val="00416017"/>
    <w:rsid w:val="00416B3A"/>
    <w:rsid w:val="004226A6"/>
    <w:rsid w:val="00436B29"/>
    <w:rsid w:val="004409CF"/>
    <w:rsid w:val="004459C1"/>
    <w:rsid w:val="0044683E"/>
    <w:rsid w:val="004540CF"/>
    <w:rsid w:val="0045432E"/>
    <w:rsid w:val="00461C30"/>
    <w:rsid w:val="00464BBB"/>
    <w:rsid w:val="00465D14"/>
    <w:rsid w:val="004719D3"/>
    <w:rsid w:val="00471D2E"/>
    <w:rsid w:val="00474309"/>
    <w:rsid w:val="00475E2D"/>
    <w:rsid w:val="00476A9B"/>
    <w:rsid w:val="004832A6"/>
    <w:rsid w:val="00485B79"/>
    <w:rsid w:val="00495CA5"/>
    <w:rsid w:val="004A68D7"/>
    <w:rsid w:val="004A711C"/>
    <w:rsid w:val="004C0A92"/>
    <w:rsid w:val="004C70BF"/>
    <w:rsid w:val="004D3D17"/>
    <w:rsid w:val="004D54BA"/>
    <w:rsid w:val="004D7BF9"/>
    <w:rsid w:val="004F0B4C"/>
    <w:rsid w:val="004F7EFF"/>
    <w:rsid w:val="00502BB7"/>
    <w:rsid w:val="005032BB"/>
    <w:rsid w:val="005041F8"/>
    <w:rsid w:val="00504455"/>
    <w:rsid w:val="005066A0"/>
    <w:rsid w:val="005146C1"/>
    <w:rsid w:val="0051569D"/>
    <w:rsid w:val="0052084A"/>
    <w:rsid w:val="00522707"/>
    <w:rsid w:val="00527AF6"/>
    <w:rsid w:val="00531C7B"/>
    <w:rsid w:val="00542387"/>
    <w:rsid w:val="00546961"/>
    <w:rsid w:val="00565A63"/>
    <w:rsid w:val="00567EA9"/>
    <w:rsid w:val="0058032D"/>
    <w:rsid w:val="00582AF5"/>
    <w:rsid w:val="0058667C"/>
    <w:rsid w:val="0059236E"/>
    <w:rsid w:val="0059687A"/>
    <w:rsid w:val="005A0A35"/>
    <w:rsid w:val="005A438C"/>
    <w:rsid w:val="005A4F52"/>
    <w:rsid w:val="005B2489"/>
    <w:rsid w:val="005B3419"/>
    <w:rsid w:val="005B419E"/>
    <w:rsid w:val="005C366F"/>
    <w:rsid w:val="005C5399"/>
    <w:rsid w:val="005C5C72"/>
    <w:rsid w:val="005D1C11"/>
    <w:rsid w:val="005D257B"/>
    <w:rsid w:val="005E6DBF"/>
    <w:rsid w:val="005F1B2C"/>
    <w:rsid w:val="005F23BE"/>
    <w:rsid w:val="005F7A5A"/>
    <w:rsid w:val="00600ACC"/>
    <w:rsid w:val="0060247C"/>
    <w:rsid w:val="00606968"/>
    <w:rsid w:val="00607147"/>
    <w:rsid w:val="0062422C"/>
    <w:rsid w:val="00637F42"/>
    <w:rsid w:val="00650785"/>
    <w:rsid w:val="0065143B"/>
    <w:rsid w:val="00651F1F"/>
    <w:rsid w:val="006536EF"/>
    <w:rsid w:val="0065583D"/>
    <w:rsid w:val="00660BC8"/>
    <w:rsid w:val="00661158"/>
    <w:rsid w:val="00676102"/>
    <w:rsid w:val="00687DAA"/>
    <w:rsid w:val="00690693"/>
    <w:rsid w:val="00692426"/>
    <w:rsid w:val="00696770"/>
    <w:rsid w:val="006A5328"/>
    <w:rsid w:val="006A78CD"/>
    <w:rsid w:val="006A79B5"/>
    <w:rsid w:val="006C1C5C"/>
    <w:rsid w:val="006C2457"/>
    <w:rsid w:val="006C36A8"/>
    <w:rsid w:val="006C5A21"/>
    <w:rsid w:val="006E4612"/>
    <w:rsid w:val="006F16EB"/>
    <w:rsid w:val="006F4040"/>
    <w:rsid w:val="006F73DA"/>
    <w:rsid w:val="00706503"/>
    <w:rsid w:val="00706581"/>
    <w:rsid w:val="00714680"/>
    <w:rsid w:val="00714896"/>
    <w:rsid w:val="00732356"/>
    <w:rsid w:val="007327E6"/>
    <w:rsid w:val="0074750C"/>
    <w:rsid w:val="00770296"/>
    <w:rsid w:val="00770406"/>
    <w:rsid w:val="007722A1"/>
    <w:rsid w:val="00772FA5"/>
    <w:rsid w:val="00773D8F"/>
    <w:rsid w:val="00783762"/>
    <w:rsid w:val="00794817"/>
    <w:rsid w:val="00794E24"/>
    <w:rsid w:val="00796F42"/>
    <w:rsid w:val="007B1041"/>
    <w:rsid w:val="007C0EE3"/>
    <w:rsid w:val="007D29F2"/>
    <w:rsid w:val="007F59CD"/>
    <w:rsid w:val="007F5EF9"/>
    <w:rsid w:val="007F7C01"/>
    <w:rsid w:val="00811185"/>
    <w:rsid w:val="00827B18"/>
    <w:rsid w:val="00834D81"/>
    <w:rsid w:val="00853339"/>
    <w:rsid w:val="00853C55"/>
    <w:rsid w:val="00854A32"/>
    <w:rsid w:val="0087293A"/>
    <w:rsid w:val="0088192F"/>
    <w:rsid w:val="008840E8"/>
    <w:rsid w:val="008927A6"/>
    <w:rsid w:val="00893792"/>
    <w:rsid w:val="00896A74"/>
    <w:rsid w:val="00896B19"/>
    <w:rsid w:val="008B46C6"/>
    <w:rsid w:val="008C407D"/>
    <w:rsid w:val="008D2841"/>
    <w:rsid w:val="008E04DF"/>
    <w:rsid w:val="0090001F"/>
    <w:rsid w:val="00905FB5"/>
    <w:rsid w:val="0090627D"/>
    <w:rsid w:val="00906370"/>
    <w:rsid w:val="00906D39"/>
    <w:rsid w:val="009113D2"/>
    <w:rsid w:val="00922194"/>
    <w:rsid w:val="00933F04"/>
    <w:rsid w:val="009342AC"/>
    <w:rsid w:val="00935BAF"/>
    <w:rsid w:val="00937BC3"/>
    <w:rsid w:val="00937C94"/>
    <w:rsid w:val="009443DA"/>
    <w:rsid w:val="00950967"/>
    <w:rsid w:val="00951FDC"/>
    <w:rsid w:val="0095201A"/>
    <w:rsid w:val="00965015"/>
    <w:rsid w:val="00965843"/>
    <w:rsid w:val="00973870"/>
    <w:rsid w:val="00975C35"/>
    <w:rsid w:val="00976288"/>
    <w:rsid w:val="009808D3"/>
    <w:rsid w:val="00984F60"/>
    <w:rsid w:val="0099143B"/>
    <w:rsid w:val="00995B0B"/>
    <w:rsid w:val="009B66B3"/>
    <w:rsid w:val="009C0F8F"/>
    <w:rsid w:val="009C67FD"/>
    <w:rsid w:val="009D0FBD"/>
    <w:rsid w:val="009D22E9"/>
    <w:rsid w:val="009D249F"/>
    <w:rsid w:val="009D305C"/>
    <w:rsid w:val="009D656C"/>
    <w:rsid w:val="009E05EE"/>
    <w:rsid w:val="009F0325"/>
    <w:rsid w:val="009F05C1"/>
    <w:rsid w:val="009F5B97"/>
    <w:rsid w:val="00A00325"/>
    <w:rsid w:val="00A01C58"/>
    <w:rsid w:val="00A01CA7"/>
    <w:rsid w:val="00A0483F"/>
    <w:rsid w:val="00A0731D"/>
    <w:rsid w:val="00A20254"/>
    <w:rsid w:val="00A2378C"/>
    <w:rsid w:val="00A23D7F"/>
    <w:rsid w:val="00A24B32"/>
    <w:rsid w:val="00A270AD"/>
    <w:rsid w:val="00A31662"/>
    <w:rsid w:val="00A40EB0"/>
    <w:rsid w:val="00A4629C"/>
    <w:rsid w:val="00A46EA0"/>
    <w:rsid w:val="00A56F3F"/>
    <w:rsid w:val="00A576C8"/>
    <w:rsid w:val="00A60902"/>
    <w:rsid w:val="00A739C8"/>
    <w:rsid w:val="00A74647"/>
    <w:rsid w:val="00A80C66"/>
    <w:rsid w:val="00A85FC9"/>
    <w:rsid w:val="00A92E9C"/>
    <w:rsid w:val="00A93EC8"/>
    <w:rsid w:val="00AA5C02"/>
    <w:rsid w:val="00AB0CA0"/>
    <w:rsid w:val="00AB2F61"/>
    <w:rsid w:val="00AB4B59"/>
    <w:rsid w:val="00AB4D39"/>
    <w:rsid w:val="00AF3A83"/>
    <w:rsid w:val="00AF518C"/>
    <w:rsid w:val="00AF6B04"/>
    <w:rsid w:val="00B02F44"/>
    <w:rsid w:val="00B05672"/>
    <w:rsid w:val="00B13F90"/>
    <w:rsid w:val="00B1449F"/>
    <w:rsid w:val="00B17128"/>
    <w:rsid w:val="00B208F8"/>
    <w:rsid w:val="00B2704F"/>
    <w:rsid w:val="00B274A5"/>
    <w:rsid w:val="00B36C9D"/>
    <w:rsid w:val="00B40E52"/>
    <w:rsid w:val="00B460B3"/>
    <w:rsid w:val="00B51AD7"/>
    <w:rsid w:val="00B5560B"/>
    <w:rsid w:val="00B63ADF"/>
    <w:rsid w:val="00B72E55"/>
    <w:rsid w:val="00B82F59"/>
    <w:rsid w:val="00B84B37"/>
    <w:rsid w:val="00B94CB5"/>
    <w:rsid w:val="00B95038"/>
    <w:rsid w:val="00B968F5"/>
    <w:rsid w:val="00BA396B"/>
    <w:rsid w:val="00BB120E"/>
    <w:rsid w:val="00BC67CB"/>
    <w:rsid w:val="00BD2BD0"/>
    <w:rsid w:val="00BE1759"/>
    <w:rsid w:val="00BE58D4"/>
    <w:rsid w:val="00BE68C2"/>
    <w:rsid w:val="00BF1920"/>
    <w:rsid w:val="00BF4487"/>
    <w:rsid w:val="00BF7B0C"/>
    <w:rsid w:val="00C10551"/>
    <w:rsid w:val="00C15CB9"/>
    <w:rsid w:val="00C43257"/>
    <w:rsid w:val="00C53597"/>
    <w:rsid w:val="00C54096"/>
    <w:rsid w:val="00C54F6E"/>
    <w:rsid w:val="00C6699A"/>
    <w:rsid w:val="00C67FA5"/>
    <w:rsid w:val="00C77084"/>
    <w:rsid w:val="00C84921"/>
    <w:rsid w:val="00C92C0C"/>
    <w:rsid w:val="00CA09B2"/>
    <w:rsid w:val="00CA1632"/>
    <w:rsid w:val="00CA2F36"/>
    <w:rsid w:val="00CB1C92"/>
    <w:rsid w:val="00CB588D"/>
    <w:rsid w:val="00CC0D11"/>
    <w:rsid w:val="00CC2575"/>
    <w:rsid w:val="00CD57F0"/>
    <w:rsid w:val="00CF4CB2"/>
    <w:rsid w:val="00CF512A"/>
    <w:rsid w:val="00CF63D8"/>
    <w:rsid w:val="00D0420D"/>
    <w:rsid w:val="00D04D30"/>
    <w:rsid w:val="00D04DE7"/>
    <w:rsid w:val="00D12EFC"/>
    <w:rsid w:val="00D131DA"/>
    <w:rsid w:val="00D2616D"/>
    <w:rsid w:val="00D30993"/>
    <w:rsid w:val="00D36C05"/>
    <w:rsid w:val="00D36C2F"/>
    <w:rsid w:val="00D4006F"/>
    <w:rsid w:val="00D434A2"/>
    <w:rsid w:val="00D46EAF"/>
    <w:rsid w:val="00D51BD1"/>
    <w:rsid w:val="00D52046"/>
    <w:rsid w:val="00D53B30"/>
    <w:rsid w:val="00D57125"/>
    <w:rsid w:val="00D606D5"/>
    <w:rsid w:val="00D66BD8"/>
    <w:rsid w:val="00D82417"/>
    <w:rsid w:val="00D8637C"/>
    <w:rsid w:val="00D9256F"/>
    <w:rsid w:val="00D941AB"/>
    <w:rsid w:val="00DB0A59"/>
    <w:rsid w:val="00DB2267"/>
    <w:rsid w:val="00DC0252"/>
    <w:rsid w:val="00DC121F"/>
    <w:rsid w:val="00DD5B5F"/>
    <w:rsid w:val="00E102F1"/>
    <w:rsid w:val="00E20DE8"/>
    <w:rsid w:val="00E27962"/>
    <w:rsid w:val="00E3010C"/>
    <w:rsid w:val="00E30A7A"/>
    <w:rsid w:val="00E3483E"/>
    <w:rsid w:val="00E360A0"/>
    <w:rsid w:val="00E4376D"/>
    <w:rsid w:val="00E450C3"/>
    <w:rsid w:val="00E4640E"/>
    <w:rsid w:val="00E46BB5"/>
    <w:rsid w:val="00E46C69"/>
    <w:rsid w:val="00E539BE"/>
    <w:rsid w:val="00E639BF"/>
    <w:rsid w:val="00E64C9A"/>
    <w:rsid w:val="00E67889"/>
    <w:rsid w:val="00E67B83"/>
    <w:rsid w:val="00E70081"/>
    <w:rsid w:val="00E7159C"/>
    <w:rsid w:val="00E76F51"/>
    <w:rsid w:val="00E8335A"/>
    <w:rsid w:val="00E85217"/>
    <w:rsid w:val="00E9045A"/>
    <w:rsid w:val="00E97A64"/>
    <w:rsid w:val="00EA4965"/>
    <w:rsid w:val="00EC25F1"/>
    <w:rsid w:val="00ED4E95"/>
    <w:rsid w:val="00EF4CDA"/>
    <w:rsid w:val="00F02E1B"/>
    <w:rsid w:val="00F03F86"/>
    <w:rsid w:val="00F049B4"/>
    <w:rsid w:val="00F14DFC"/>
    <w:rsid w:val="00F20307"/>
    <w:rsid w:val="00F32CFF"/>
    <w:rsid w:val="00F36DC6"/>
    <w:rsid w:val="00F41A29"/>
    <w:rsid w:val="00F41ECF"/>
    <w:rsid w:val="00F42E9B"/>
    <w:rsid w:val="00F504D9"/>
    <w:rsid w:val="00F507FC"/>
    <w:rsid w:val="00F6168F"/>
    <w:rsid w:val="00F63313"/>
    <w:rsid w:val="00F65FD8"/>
    <w:rsid w:val="00F67825"/>
    <w:rsid w:val="00F81AC0"/>
    <w:rsid w:val="00F93CFF"/>
    <w:rsid w:val="00F96F21"/>
    <w:rsid w:val="00FA49AE"/>
    <w:rsid w:val="00FA566A"/>
    <w:rsid w:val="00FA74BA"/>
    <w:rsid w:val="00FA7613"/>
    <w:rsid w:val="00FA7F32"/>
    <w:rsid w:val="00FB515E"/>
    <w:rsid w:val="00FB553D"/>
    <w:rsid w:val="00FB772B"/>
    <w:rsid w:val="00FC200E"/>
    <w:rsid w:val="00FC2EE3"/>
    <w:rsid w:val="00FC6BE1"/>
    <w:rsid w:val="00FC7054"/>
    <w:rsid w:val="00FD05B6"/>
    <w:rsid w:val="00FD4418"/>
    <w:rsid w:val="00FD7D68"/>
    <w:rsid w:val="00FE4061"/>
    <w:rsid w:val="00FE599F"/>
    <w:rsid w:val="00FF4026"/>
    <w:rsid w:val="00FF5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E36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10762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link w:val="DocumentMapChar"/>
    <w:rsid w:val="00495CA5"/>
    <w:rPr>
      <w:rFonts w:ascii="Tahoma" w:hAnsi="Tahoma" w:cs="Tahoma"/>
      <w:sz w:val="16"/>
      <w:szCs w:val="16"/>
    </w:rPr>
  </w:style>
  <w:style w:type="character" w:customStyle="1" w:styleId="DocumentMapChar">
    <w:name w:val="Document Map Char"/>
    <w:basedOn w:val="DefaultParagraphFont"/>
    <w:link w:val="DocumentMap"/>
    <w:rsid w:val="00495CA5"/>
    <w:rPr>
      <w:rFonts w:ascii="Tahoma" w:hAnsi="Tahoma" w:cs="Tahoma"/>
      <w:sz w:val="16"/>
      <w:szCs w:val="16"/>
      <w:lang w:val="en-GB"/>
    </w:rPr>
  </w:style>
  <w:style w:type="paragraph" w:customStyle="1" w:styleId="T">
    <w:name w:val="T"/>
    <w:aliases w:val="Text"/>
    <w:uiPriority w:val="99"/>
    <w:rsid w:val="009658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w:hAnsi="Times" w:cs="Times"/>
      <w:color w:val="000000"/>
      <w:w w:val="0"/>
    </w:rPr>
  </w:style>
  <w:style w:type="paragraph" w:customStyle="1" w:styleId="Editor1">
    <w:name w:val="Editor1"/>
    <w:rsid w:val="009658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after="260" w:line="260" w:lineRule="atLeast"/>
      <w:jc w:val="both"/>
    </w:pPr>
    <w:rPr>
      <w:b/>
      <w:bCs/>
      <w:i/>
      <w:iCs/>
      <w:color w:val="000000"/>
      <w:w w:val="0"/>
      <w:sz w:val="22"/>
      <w:szCs w:val="22"/>
    </w:rPr>
  </w:style>
  <w:style w:type="paragraph" w:customStyle="1" w:styleId="LP3">
    <w:name w:val="LP3"/>
    <w:aliases w:val="ListParagraph3"/>
    <w:rsid w:val="002E16F1"/>
    <w:pPr>
      <w:tabs>
        <w:tab w:val="left" w:pos="640"/>
      </w:tabs>
      <w:autoSpaceDE w:val="0"/>
      <w:autoSpaceDN w:val="0"/>
      <w:adjustRightInd w:val="0"/>
      <w:spacing w:line="240" w:lineRule="atLeast"/>
      <w:ind w:left="1440"/>
      <w:jc w:val="both"/>
    </w:pPr>
    <w:rPr>
      <w:rFonts w:ascii="Times" w:hAnsi="Times" w:cs="Times"/>
      <w:color w:val="000000"/>
      <w:w w:val="0"/>
    </w:rPr>
  </w:style>
  <w:style w:type="paragraph" w:customStyle="1" w:styleId="CellBody">
    <w:name w:val="CellBody"/>
    <w:rsid w:val="00783762"/>
    <w:pPr>
      <w:widowControl w:val="0"/>
      <w:autoSpaceDE w:val="0"/>
      <w:autoSpaceDN w:val="0"/>
      <w:adjustRightInd w:val="0"/>
      <w:spacing w:line="200" w:lineRule="atLeast"/>
    </w:pPr>
    <w:rPr>
      <w:rFonts w:ascii="Times" w:hAnsi="Times" w:cs="Times"/>
      <w:color w:val="000000"/>
      <w:w w:val="0"/>
      <w:sz w:val="18"/>
      <w:szCs w:val="18"/>
    </w:rPr>
  </w:style>
  <w:style w:type="paragraph" w:customStyle="1" w:styleId="CellHeading">
    <w:name w:val="CellHeading"/>
    <w:rsid w:val="00783762"/>
    <w:pPr>
      <w:widowControl w:val="0"/>
      <w:suppressAutoHyphens/>
      <w:autoSpaceDE w:val="0"/>
      <w:autoSpaceDN w:val="0"/>
      <w:adjustRightInd w:val="0"/>
      <w:spacing w:line="200" w:lineRule="atLeast"/>
      <w:jc w:val="center"/>
    </w:pPr>
    <w:rPr>
      <w:rFonts w:ascii="Times" w:hAnsi="Times" w:cs="Times"/>
      <w:b/>
      <w:bCs/>
      <w:color w:val="000000"/>
      <w:w w:val="0"/>
      <w:sz w:val="18"/>
      <w:szCs w:val="18"/>
    </w:rPr>
  </w:style>
  <w:style w:type="paragraph" w:styleId="BalloonText">
    <w:name w:val="Balloon Text"/>
    <w:basedOn w:val="Normal"/>
    <w:link w:val="BalloonTextChar"/>
    <w:rsid w:val="00783762"/>
    <w:rPr>
      <w:rFonts w:ascii="Tahoma" w:hAnsi="Tahoma" w:cs="Tahoma"/>
      <w:sz w:val="16"/>
      <w:szCs w:val="16"/>
    </w:rPr>
  </w:style>
  <w:style w:type="character" w:customStyle="1" w:styleId="BalloonTextChar">
    <w:name w:val="Balloon Text Char"/>
    <w:basedOn w:val="DefaultParagraphFont"/>
    <w:link w:val="BalloonText"/>
    <w:rsid w:val="00783762"/>
    <w:rPr>
      <w:rFonts w:ascii="Tahoma" w:hAnsi="Tahoma" w:cs="Tahoma"/>
      <w:sz w:val="16"/>
      <w:szCs w:val="16"/>
      <w:lang w:val="en-GB"/>
    </w:rPr>
  </w:style>
  <w:style w:type="character" w:customStyle="1" w:styleId="sectionhead">
    <w:name w:val="sectionhead"/>
    <w:basedOn w:val="DefaultParagraphFont"/>
    <w:rsid w:val="005A438C"/>
  </w:style>
  <w:style w:type="paragraph" w:customStyle="1" w:styleId="Default">
    <w:name w:val="Default"/>
    <w:rsid w:val="00316EE7"/>
    <w:pPr>
      <w:autoSpaceDE w:val="0"/>
      <w:autoSpaceDN w:val="0"/>
      <w:adjustRightInd w:val="0"/>
    </w:pPr>
    <w:rPr>
      <w:color w:val="000000"/>
      <w:sz w:val="24"/>
      <w:szCs w:val="24"/>
    </w:rPr>
  </w:style>
  <w:style w:type="paragraph" w:customStyle="1" w:styleId="Preformatted">
    <w:name w:val="Preformatted"/>
    <w:rsid w:val="005F1B2C"/>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eastAsia="ja-JP"/>
    </w:rPr>
  </w:style>
</w:styles>
</file>

<file path=word/webSettings.xml><?xml version="1.0" encoding="utf-8"?>
<w:webSettings xmlns:r="http://schemas.openxmlformats.org/officeDocument/2006/relationships" xmlns:w="http://schemas.openxmlformats.org/wordprocessingml/2006/main">
  <w:divs>
    <w:div w:id="13314741">
      <w:bodyDiv w:val="1"/>
      <w:marLeft w:val="0"/>
      <w:marRight w:val="0"/>
      <w:marTop w:val="0"/>
      <w:marBottom w:val="0"/>
      <w:divBdr>
        <w:top w:val="none" w:sz="0" w:space="0" w:color="auto"/>
        <w:left w:val="none" w:sz="0" w:space="0" w:color="auto"/>
        <w:bottom w:val="none" w:sz="0" w:space="0" w:color="auto"/>
        <w:right w:val="none" w:sz="0" w:space="0" w:color="auto"/>
      </w:divBdr>
    </w:div>
    <w:div w:id="44765123">
      <w:bodyDiv w:val="1"/>
      <w:marLeft w:val="0"/>
      <w:marRight w:val="0"/>
      <w:marTop w:val="0"/>
      <w:marBottom w:val="0"/>
      <w:divBdr>
        <w:top w:val="none" w:sz="0" w:space="0" w:color="auto"/>
        <w:left w:val="none" w:sz="0" w:space="0" w:color="auto"/>
        <w:bottom w:val="none" w:sz="0" w:space="0" w:color="auto"/>
        <w:right w:val="none" w:sz="0" w:space="0" w:color="auto"/>
      </w:divBdr>
    </w:div>
    <w:div w:id="98069904">
      <w:bodyDiv w:val="1"/>
      <w:marLeft w:val="0"/>
      <w:marRight w:val="0"/>
      <w:marTop w:val="0"/>
      <w:marBottom w:val="0"/>
      <w:divBdr>
        <w:top w:val="none" w:sz="0" w:space="0" w:color="auto"/>
        <w:left w:val="none" w:sz="0" w:space="0" w:color="auto"/>
        <w:bottom w:val="none" w:sz="0" w:space="0" w:color="auto"/>
        <w:right w:val="none" w:sz="0" w:space="0" w:color="auto"/>
      </w:divBdr>
    </w:div>
    <w:div w:id="139657708">
      <w:bodyDiv w:val="1"/>
      <w:marLeft w:val="0"/>
      <w:marRight w:val="0"/>
      <w:marTop w:val="0"/>
      <w:marBottom w:val="0"/>
      <w:divBdr>
        <w:top w:val="none" w:sz="0" w:space="0" w:color="auto"/>
        <w:left w:val="none" w:sz="0" w:space="0" w:color="auto"/>
        <w:bottom w:val="none" w:sz="0" w:space="0" w:color="auto"/>
        <w:right w:val="none" w:sz="0" w:space="0" w:color="auto"/>
      </w:divBdr>
    </w:div>
    <w:div w:id="220486405">
      <w:bodyDiv w:val="1"/>
      <w:marLeft w:val="0"/>
      <w:marRight w:val="0"/>
      <w:marTop w:val="0"/>
      <w:marBottom w:val="0"/>
      <w:divBdr>
        <w:top w:val="none" w:sz="0" w:space="0" w:color="auto"/>
        <w:left w:val="none" w:sz="0" w:space="0" w:color="auto"/>
        <w:bottom w:val="none" w:sz="0" w:space="0" w:color="auto"/>
        <w:right w:val="none" w:sz="0" w:space="0" w:color="auto"/>
      </w:divBdr>
    </w:div>
    <w:div w:id="239753919">
      <w:bodyDiv w:val="1"/>
      <w:marLeft w:val="0"/>
      <w:marRight w:val="0"/>
      <w:marTop w:val="0"/>
      <w:marBottom w:val="0"/>
      <w:divBdr>
        <w:top w:val="none" w:sz="0" w:space="0" w:color="auto"/>
        <w:left w:val="none" w:sz="0" w:space="0" w:color="auto"/>
        <w:bottom w:val="none" w:sz="0" w:space="0" w:color="auto"/>
        <w:right w:val="none" w:sz="0" w:space="0" w:color="auto"/>
      </w:divBdr>
    </w:div>
    <w:div w:id="288896477">
      <w:bodyDiv w:val="1"/>
      <w:marLeft w:val="0"/>
      <w:marRight w:val="0"/>
      <w:marTop w:val="0"/>
      <w:marBottom w:val="0"/>
      <w:divBdr>
        <w:top w:val="none" w:sz="0" w:space="0" w:color="auto"/>
        <w:left w:val="none" w:sz="0" w:space="0" w:color="auto"/>
        <w:bottom w:val="none" w:sz="0" w:space="0" w:color="auto"/>
        <w:right w:val="none" w:sz="0" w:space="0" w:color="auto"/>
      </w:divBdr>
    </w:div>
    <w:div w:id="309020503">
      <w:bodyDiv w:val="1"/>
      <w:marLeft w:val="0"/>
      <w:marRight w:val="0"/>
      <w:marTop w:val="0"/>
      <w:marBottom w:val="0"/>
      <w:divBdr>
        <w:top w:val="none" w:sz="0" w:space="0" w:color="auto"/>
        <w:left w:val="none" w:sz="0" w:space="0" w:color="auto"/>
        <w:bottom w:val="none" w:sz="0" w:space="0" w:color="auto"/>
        <w:right w:val="none" w:sz="0" w:space="0" w:color="auto"/>
      </w:divBdr>
    </w:div>
    <w:div w:id="348991132">
      <w:bodyDiv w:val="1"/>
      <w:marLeft w:val="0"/>
      <w:marRight w:val="0"/>
      <w:marTop w:val="0"/>
      <w:marBottom w:val="0"/>
      <w:divBdr>
        <w:top w:val="none" w:sz="0" w:space="0" w:color="auto"/>
        <w:left w:val="none" w:sz="0" w:space="0" w:color="auto"/>
        <w:bottom w:val="none" w:sz="0" w:space="0" w:color="auto"/>
        <w:right w:val="none" w:sz="0" w:space="0" w:color="auto"/>
      </w:divBdr>
    </w:div>
    <w:div w:id="462582000">
      <w:bodyDiv w:val="1"/>
      <w:marLeft w:val="0"/>
      <w:marRight w:val="0"/>
      <w:marTop w:val="0"/>
      <w:marBottom w:val="0"/>
      <w:divBdr>
        <w:top w:val="none" w:sz="0" w:space="0" w:color="auto"/>
        <w:left w:val="none" w:sz="0" w:space="0" w:color="auto"/>
        <w:bottom w:val="none" w:sz="0" w:space="0" w:color="auto"/>
        <w:right w:val="none" w:sz="0" w:space="0" w:color="auto"/>
      </w:divBdr>
    </w:div>
    <w:div w:id="598492834">
      <w:bodyDiv w:val="1"/>
      <w:marLeft w:val="0"/>
      <w:marRight w:val="0"/>
      <w:marTop w:val="0"/>
      <w:marBottom w:val="0"/>
      <w:divBdr>
        <w:top w:val="none" w:sz="0" w:space="0" w:color="auto"/>
        <w:left w:val="none" w:sz="0" w:space="0" w:color="auto"/>
        <w:bottom w:val="none" w:sz="0" w:space="0" w:color="auto"/>
        <w:right w:val="none" w:sz="0" w:space="0" w:color="auto"/>
      </w:divBdr>
    </w:div>
    <w:div w:id="624166099">
      <w:bodyDiv w:val="1"/>
      <w:marLeft w:val="0"/>
      <w:marRight w:val="0"/>
      <w:marTop w:val="0"/>
      <w:marBottom w:val="0"/>
      <w:divBdr>
        <w:top w:val="none" w:sz="0" w:space="0" w:color="auto"/>
        <w:left w:val="none" w:sz="0" w:space="0" w:color="auto"/>
        <w:bottom w:val="none" w:sz="0" w:space="0" w:color="auto"/>
        <w:right w:val="none" w:sz="0" w:space="0" w:color="auto"/>
      </w:divBdr>
    </w:div>
    <w:div w:id="658114651">
      <w:bodyDiv w:val="1"/>
      <w:marLeft w:val="0"/>
      <w:marRight w:val="0"/>
      <w:marTop w:val="0"/>
      <w:marBottom w:val="0"/>
      <w:divBdr>
        <w:top w:val="none" w:sz="0" w:space="0" w:color="auto"/>
        <w:left w:val="none" w:sz="0" w:space="0" w:color="auto"/>
        <w:bottom w:val="none" w:sz="0" w:space="0" w:color="auto"/>
        <w:right w:val="none" w:sz="0" w:space="0" w:color="auto"/>
      </w:divBdr>
    </w:div>
    <w:div w:id="670567634">
      <w:bodyDiv w:val="1"/>
      <w:marLeft w:val="0"/>
      <w:marRight w:val="0"/>
      <w:marTop w:val="0"/>
      <w:marBottom w:val="0"/>
      <w:divBdr>
        <w:top w:val="none" w:sz="0" w:space="0" w:color="auto"/>
        <w:left w:val="none" w:sz="0" w:space="0" w:color="auto"/>
        <w:bottom w:val="none" w:sz="0" w:space="0" w:color="auto"/>
        <w:right w:val="none" w:sz="0" w:space="0" w:color="auto"/>
      </w:divBdr>
    </w:div>
    <w:div w:id="690061015">
      <w:bodyDiv w:val="1"/>
      <w:marLeft w:val="0"/>
      <w:marRight w:val="0"/>
      <w:marTop w:val="0"/>
      <w:marBottom w:val="0"/>
      <w:divBdr>
        <w:top w:val="none" w:sz="0" w:space="0" w:color="auto"/>
        <w:left w:val="none" w:sz="0" w:space="0" w:color="auto"/>
        <w:bottom w:val="none" w:sz="0" w:space="0" w:color="auto"/>
        <w:right w:val="none" w:sz="0" w:space="0" w:color="auto"/>
      </w:divBdr>
    </w:div>
    <w:div w:id="704407309">
      <w:bodyDiv w:val="1"/>
      <w:marLeft w:val="0"/>
      <w:marRight w:val="0"/>
      <w:marTop w:val="0"/>
      <w:marBottom w:val="0"/>
      <w:divBdr>
        <w:top w:val="none" w:sz="0" w:space="0" w:color="auto"/>
        <w:left w:val="none" w:sz="0" w:space="0" w:color="auto"/>
        <w:bottom w:val="none" w:sz="0" w:space="0" w:color="auto"/>
        <w:right w:val="none" w:sz="0" w:space="0" w:color="auto"/>
      </w:divBdr>
    </w:div>
    <w:div w:id="714500542">
      <w:bodyDiv w:val="1"/>
      <w:marLeft w:val="0"/>
      <w:marRight w:val="0"/>
      <w:marTop w:val="0"/>
      <w:marBottom w:val="0"/>
      <w:divBdr>
        <w:top w:val="none" w:sz="0" w:space="0" w:color="auto"/>
        <w:left w:val="none" w:sz="0" w:space="0" w:color="auto"/>
        <w:bottom w:val="none" w:sz="0" w:space="0" w:color="auto"/>
        <w:right w:val="none" w:sz="0" w:space="0" w:color="auto"/>
      </w:divBdr>
    </w:div>
    <w:div w:id="714624409">
      <w:bodyDiv w:val="1"/>
      <w:marLeft w:val="0"/>
      <w:marRight w:val="0"/>
      <w:marTop w:val="0"/>
      <w:marBottom w:val="0"/>
      <w:divBdr>
        <w:top w:val="none" w:sz="0" w:space="0" w:color="auto"/>
        <w:left w:val="none" w:sz="0" w:space="0" w:color="auto"/>
        <w:bottom w:val="none" w:sz="0" w:space="0" w:color="auto"/>
        <w:right w:val="none" w:sz="0" w:space="0" w:color="auto"/>
      </w:divBdr>
    </w:div>
    <w:div w:id="756445661">
      <w:bodyDiv w:val="1"/>
      <w:marLeft w:val="0"/>
      <w:marRight w:val="0"/>
      <w:marTop w:val="0"/>
      <w:marBottom w:val="0"/>
      <w:divBdr>
        <w:top w:val="none" w:sz="0" w:space="0" w:color="auto"/>
        <w:left w:val="none" w:sz="0" w:space="0" w:color="auto"/>
        <w:bottom w:val="none" w:sz="0" w:space="0" w:color="auto"/>
        <w:right w:val="none" w:sz="0" w:space="0" w:color="auto"/>
      </w:divBdr>
    </w:div>
    <w:div w:id="826676658">
      <w:bodyDiv w:val="1"/>
      <w:marLeft w:val="0"/>
      <w:marRight w:val="0"/>
      <w:marTop w:val="0"/>
      <w:marBottom w:val="0"/>
      <w:divBdr>
        <w:top w:val="none" w:sz="0" w:space="0" w:color="auto"/>
        <w:left w:val="none" w:sz="0" w:space="0" w:color="auto"/>
        <w:bottom w:val="none" w:sz="0" w:space="0" w:color="auto"/>
        <w:right w:val="none" w:sz="0" w:space="0" w:color="auto"/>
      </w:divBdr>
    </w:div>
    <w:div w:id="904031005">
      <w:bodyDiv w:val="1"/>
      <w:marLeft w:val="0"/>
      <w:marRight w:val="0"/>
      <w:marTop w:val="0"/>
      <w:marBottom w:val="0"/>
      <w:divBdr>
        <w:top w:val="none" w:sz="0" w:space="0" w:color="auto"/>
        <w:left w:val="none" w:sz="0" w:space="0" w:color="auto"/>
        <w:bottom w:val="none" w:sz="0" w:space="0" w:color="auto"/>
        <w:right w:val="none" w:sz="0" w:space="0" w:color="auto"/>
      </w:divBdr>
    </w:div>
    <w:div w:id="1026639191">
      <w:bodyDiv w:val="1"/>
      <w:marLeft w:val="0"/>
      <w:marRight w:val="0"/>
      <w:marTop w:val="0"/>
      <w:marBottom w:val="0"/>
      <w:divBdr>
        <w:top w:val="none" w:sz="0" w:space="0" w:color="auto"/>
        <w:left w:val="none" w:sz="0" w:space="0" w:color="auto"/>
        <w:bottom w:val="none" w:sz="0" w:space="0" w:color="auto"/>
        <w:right w:val="none" w:sz="0" w:space="0" w:color="auto"/>
      </w:divBdr>
    </w:div>
    <w:div w:id="1077871059">
      <w:bodyDiv w:val="1"/>
      <w:marLeft w:val="0"/>
      <w:marRight w:val="0"/>
      <w:marTop w:val="0"/>
      <w:marBottom w:val="0"/>
      <w:divBdr>
        <w:top w:val="none" w:sz="0" w:space="0" w:color="auto"/>
        <w:left w:val="none" w:sz="0" w:space="0" w:color="auto"/>
        <w:bottom w:val="none" w:sz="0" w:space="0" w:color="auto"/>
        <w:right w:val="none" w:sz="0" w:space="0" w:color="auto"/>
      </w:divBdr>
    </w:div>
    <w:div w:id="1262835141">
      <w:bodyDiv w:val="1"/>
      <w:marLeft w:val="0"/>
      <w:marRight w:val="0"/>
      <w:marTop w:val="0"/>
      <w:marBottom w:val="0"/>
      <w:divBdr>
        <w:top w:val="none" w:sz="0" w:space="0" w:color="auto"/>
        <w:left w:val="none" w:sz="0" w:space="0" w:color="auto"/>
        <w:bottom w:val="none" w:sz="0" w:space="0" w:color="auto"/>
        <w:right w:val="none" w:sz="0" w:space="0" w:color="auto"/>
      </w:divBdr>
    </w:div>
    <w:div w:id="1313409477">
      <w:bodyDiv w:val="1"/>
      <w:marLeft w:val="0"/>
      <w:marRight w:val="0"/>
      <w:marTop w:val="0"/>
      <w:marBottom w:val="0"/>
      <w:divBdr>
        <w:top w:val="none" w:sz="0" w:space="0" w:color="auto"/>
        <w:left w:val="none" w:sz="0" w:space="0" w:color="auto"/>
        <w:bottom w:val="none" w:sz="0" w:space="0" w:color="auto"/>
        <w:right w:val="none" w:sz="0" w:space="0" w:color="auto"/>
      </w:divBdr>
    </w:div>
    <w:div w:id="1334526910">
      <w:bodyDiv w:val="1"/>
      <w:marLeft w:val="0"/>
      <w:marRight w:val="0"/>
      <w:marTop w:val="0"/>
      <w:marBottom w:val="0"/>
      <w:divBdr>
        <w:top w:val="none" w:sz="0" w:space="0" w:color="auto"/>
        <w:left w:val="none" w:sz="0" w:space="0" w:color="auto"/>
        <w:bottom w:val="none" w:sz="0" w:space="0" w:color="auto"/>
        <w:right w:val="none" w:sz="0" w:space="0" w:color="auto"/>
      </w:divBdr>
    </w:div>
    <w:div w:id="1382703556">
      <w:bodyDiv w:val="1"/>
      <w:marLeft w:val="0"/>
      <w:marRight w:val="0"/>
      <w:marTop w:val="0"/>
      <w:marBottom w:val="0"/>
      <w:divBdr>
        <w:top w:val="none" w:sz="0" w:space="0" w:color="auto"/>
        <w:left w:val="none" w:sz="0" w:space="0" w:color="auto"/>
        <w:bottom w:val="none" w:sz="0" w:space="0" w:color="auto"/>
        <w:right w:val="none" w:sz="0" w:space="0" w:color="auto"/>
      </w:divBdr>
    </w:div>
    <w:div w:id="1417245319">
      <w:bodyDiv w:val="1"/>
      <w:marLeft w:val="0"/>
      <w:marRight w:val="0"/>
      <w:marTop w:val="0"/>
      <w:marBottom w:val="0"/>
      <w:divBdr>
        <w:top w:val="none" w:sz="0" w:space="0" w:color="auto"/>
        <w:left w:val="none" w:sz="0" w:space="0" w:color="auto"/>
        <w:bottom w:val="none" w:sz="0" w:space="0" w:color="auto"/>
        <w:right w:val="none" w:sz="0" w:space="0" w:color="auto"/>
      </w:divBdr>
    </w:div>
    <w:div w:id="1555117290">
      <w:bodyDiv w:val="1"/>
      <w:marLeft w:val="0"/>
      <w:marRight w:val="0"/>
      <w:marTop w:val="0"/>
      <w:marBottom w:val="0"/>
      <w:divBdr>
        <w:top w:val="none" w:sz="0" w:space="0" w:color="auto"/>
        <w:left w:val="none" w:sz="0" w:space="0" w:color="auto"/>
        <w:bottom w:val="none" w:sz="0" w:space="0" w:color="auto"/>
        <w:right w:val="none" w:sz="0" w:space="0" w:color="auto"/>
      </w:divBdr>
    </w:div>
    <w:div w:id="1601797188">
      <w:bodyDiv w:val="1"/>
      <w:marLeft w:val="0"/>
      <w:marRight w:val="0"/>
      <w:marTop w:val="0"/>
      <w:marBottom w:val="0"/>
      <w:divBdr>
        <w:top w:val="none" w:sz="0" w:space="0" w:color="auto"/>
        <w:left w:val="none" w:sz="0" w:space="0" w:color="auto"/>
        <w:bottom w:val="none" w:sz="0" w:space="0" w:color="auto"/>
        <w:right w:val="none" w:sz="0" w:space="0" w:color="auto"/>
      </w:divBdr>
    </w:div>
    <w:div w:id="1625576463">
      <w:bodyDiv w:val="1"/>
      <w:marLeft w:val="0"/>
      <w:marRight w:val="0"/>
      <w:marTop w:val="0"/>
      <w:marBottom w:val="0"/>
      <w:divBdr>
        <w:top w:val="none" w:sz="0" w:space="0" w:color="auto"/>
        <w:left w:val="none" w:sz="0" w:space="0" w:color="auto"/>
        <w:bottom w:val="none" w:sz="0" w:space="0" w:color="auto"/>
        <w:right w:val="none" w:sz="0" w:space="0" w:color="auto"/>
      </w:divBdr>
    </w:div>
    <w:div w:id="1698509705">
      <w:bodyDiv w:val="1"/>
      <w:marLeft w:val="0"/>
      <w:marRight w:val="0"/>
      <w:marTop w:val="0"/>
      <w:marBottom w:val="0"/>
      <w:divBdr>
        <w:top w:val="none" w:sz="0" w:space="0" w:color="auto"/>
        <w:left w:val="none" w:sz="0" w:space="0" w:color="auto"/>
        <w:bottom w:val="none" w:sz="0" w:space="0" w:color="auto"/>
        <w:right w:val="none" w:sz="0" w:space="0" w:color="auto"/>
      </w:divBdr>
    </w:div>
    <w:div w:id="1815944573">
      <w:bodyDiv w:val="1"/>
      <w:marLeft w:val="0"/>
      <w:marRight w:val="0"/>
      <w:marTop w:val="0"/>
      <w:marBottom w:val="0"/>
      <w:divBdr>
        <w:top w:val="none" w:sz="0" w:space="0" w:color="auto"/>
        <w:left w:val="none" w:sz="0" w:space="0" w:color="auto"/>
        <w:bottom w:val="none" w:sz="0" w:space="0" w:color="auto"/>
        <w:right w:val="none" w:sz="0" w:space="0" w:color="auto"/>
      </w:divBdr>
    </w:div>
    <w:div w:id="1839467319">
      <w:bodyDiv w:val="1"/>
      <w:marLeft w:val="0"/>
      <w:marRight w:val="0"/>
      <w:marTop w:val="0"/>
      <w:marBottom w:val="0"/>
      <w:divBdr>
        <w:top w:val="none" w:sz="0" w:space="0" w:color="auto"/>
        <w:left w:val="none" w:sz="0" w:space="0" w:color="auto"/>
        <w:bottom w:val="none" w:sz="0" w:space="0" w:color="auto"/>
        <w:right w:val="none" w:sz="0" w:space="0" w:color="auto"/>
      </w:divBdr>
    </w:div>
    <w:div w:id="1913809600">
      <w:bodyDiv w:val="1"/>
      <w:marLeft w:val="0"/>
      <w:marRight w:val="0"/>
      <w:marTop w:val="0"/>
      <w:marBottom w:val="0"/>
      <w:divBdr>
        <w:top w:val="none" w:sz="0" w:space="0" w:color="auto"/>
        <w:left w:val="none" w:sz="0" w:space="0" w:color="auto"/>
        <w:bottom w:val="none" w:sz="0" w:space="0" w:color="auto"/>
        <w:right w:val="none" w:sz="0" w:space="0" w:color="auto"/>
      </w:divBdr>
    </w:div>
    <w:div w:id="1927153890">
      <w:bodyDiv w:val="1"/>
      <w:marLeft w:val="0"/>
      <w:marRight w:val="0"/>
      <w:marTop w:val="0"/>
      <w:marBottom w:val="0"/>
      <w:divBdr>
        <w:top w:val="none" w:sz="0" w:space="0" w:color="auto"/>
        <w:left w:val="none" w:sz="0" w:space="0" w:color="auto"/>
        <w:bottom w:val="none" w:sz="0" w:space="0" w:color="auto"/>
        <w:right w:val="none" w:sz="0" w:space="0" w:color="auto"/>
      </w:divBdr>
    </w:div>
    <w:div w:id="1993484532">
      <w:bodyDiv w:val="1"/>
      <w:marLeft w:val="0"/>
      <w:marRight w:val="0"/>
      <w:marTop w:val="0"/>
      <w:marBottom w:val="0"/>
      <w:divBdr>
        <w:top w:val="none" w:sz="0" w:space="0" w:color="auto"/>
        <w:left w:val="none" w:sz="0" w:space="0" w:color="auto"/>
        <w:bottom w:val="none" w:sz="0" w:space="0" w:color="auto"/>
        <w:right w:val="none" w:sz="0" w:space="0" w:color="auto"/>
      </w:divBdr>
    </w:div>
    <w:div w:id="2003776388">
      <w:bodyDiv w:val="1"/>
      <w:marLeft w:val="0"/>
      <w:marRight w:val="0"/>
      <w:marTop w:val="0"/>
      <w:marBottom w:val="0"/>
      <w:divBdr>
        <w:top w:val="none" w:sz="0" w:space="0" w:color="auto"/>
        <w:left w:val="none" w:sz="0" w:space="0" w:color="auto"/>
        <w:bottom w:val="none" w:sz="0" w:space="0" w:color="auto"/>
        <w:right w:val="none" w:sz="0" w:space="0" w:color="auto"/>
      </w:divBdr>
    </w:div>
    <w:div w:id="2046060496">
      <w:bodyDiv w:val="1"/>
      <w:marLeft w:val="0"/>
      <w:marRight w:val="0"/>
      <w:marTop w:val="0"/>
      <w:marBottom w:val="0"/>
      <w:divBdr>
        <w:top w:val="none" w:sz="0" w:space="0" w:color="auto"/>
        <w:left w:val="none" w:sz="0" w:space="0" w:color="auto"/>
        <w:bottom w:val="none" w:sz="0" w:space="0" w:color="auto"/>
        <w:right w:val="none" w:sz="0" w:space="0" w:color="auto"/>
      </w:divBdr>
    </w:div>
    <w:div w:id="21094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fisher\My%20Documents\A_WKF_Docs_07\a_IEEE_Admin\New_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21</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802.11-09/XXXXr0</vt:lpstr>
    </vt:vector>
  </TitlesOfParts>
  <Company>Kapsch TrafficCom</Company>
  <LinksUpToDate>false</LinksUpToDate>
  <CharactersWithSpaces>21314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802.11-09/XXXXr0</dc:title>
  <dc:subject>Submission</dc:subject>
  <dc:creator>Justin McNew</dc:creator>
  <cp:keywords>July 2008</cp:keywords>
  <dc:description>Justin McNew, Kapsch TrafficCom</dc:description>
  <cp:lastModifiedBy>mcnewj</cp:lastModifiedBy>
  <cp:revision>3</cp:revision>
  <cp:lastPrinted>2007-01-05T19:08:00Z</cp:lastPrinted>
  <dcterms:created xsi:type="dcterms:W3CDTF">2010-01-14T18:42:00Z</dcterms:created>
  <dcterms:modified xsi:type="dcterms:W3CDTF">2010-01-14T18:47:00Z</dcterms:modified>
</cp:coreProperties>
</file>