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364"/>
        <w:gridCol w:w="1998"/>
      </w:tblGrid>
      <w:tr w:rsidR="00CA09B2">
        <w:trPr>
          <w:trHeight w:val="485"/>
          <w:jc w:val="center"/>
        </w:trPr>
        <w:tc>
          <w:tcPr>
            <w:tcW w:w="9576" w:type="dxa"/>
            <w:gridSpan w:val="5"/>
            <w:vAlign w:val="center"/>
          </w:tcPr>
          <w:p w:rsidR="00CA09B2" w:rsidRDefault="00AD7D4B" w:rsidP="00BE3499">
            <w:pPr>
              <w:pStyle w:val="T2"/>
            </w:pPr>
            <w:r>
              <w:t>Sub 1 GHz non-licensed</w:t>
            </w:r>
            <w:r w:rsidR="0058151E">
              <w:t xml:space="preserve"> PAR</w:t>
            </w:r>
            <w:r w:rsidR="002A751F">
              <w:t xml:space="preserve"> </w:t>
            </w:r>
            <w:r w:rsidR="00BE3499">
              <w:t xml:space="preserve">and </w:t>
            </w:r>
            <w:r w:rsidR="002A751F">
              <w:t>5C</w:t>
            </w:r>
          </w:p>
        </w:tc>
      </w:tr>
      <w:tr w:rsidR="00CA09B2">
        <w:trPr>
          <w:trHeight w:val="359"/>
          <w:jc w:val="center"/>
        </w:trPr>
        <w:tc>
          <w:tcPr>
            <w:tcW w:w="9576" w:type="dxa"/>
            <w:gridSpan w:val="5"/>
            <w:vAlign w:val="center"/>
          </w:tcPr>
          <w:p w:rsidR="00CA09B2" w:rsidRDefault="00CA09B2" w:rsidP="00F2586B">
            <w:pPr>
              <w:pStyle w:val="T2"/>
              <w:ind w:left="0"/>
              <w:rPr>
                <w:sz w:val="20"/>
              </w:rPr>
            </w:pPr>
            <w:r>
              <w:rPr>
                <w:sz w:val="20"/>
              </w:rPr>
              <w:t>Date:</w:t>
            </w:r>
            <w:r>
              <w:rPr>
                <w:b w:val="0"/>
                <w:sz w:val="20"/>
              </w:rPr>
              <w:t xml:space="preserve">  </w:t>
            </w:r>
            <w:r w:rsidR="00C61942">
              <w:rPr>
                <w:b w:val="0"/>
                <w:sz w:val="20"/>
              </w:rPr>
              <w:t>2010</w:t>
            </w:r>
            <w:r>
              <w:rPr>
                <w:b w:val="0"/>
                <w:sz w:val="20"/>
              </w:rPr>
              <w:t>-</w:t>
            </w:r>
            <w:r w:rsidR="00F003E8">
              <w:rPr>
                <w:b w:val="0"/>
                <w:sz w:val="20"/>
              </w:rPr>
              <w:t>0</w:t>
            </w:r>
            <w:r w:rsidR="00C61942">
              <w:rPr>
                <w:b w:val="0"/>
                <w:sz w:val="20"/>
              </w:rPr>
              <w:t>1</w:t>
            </w:r>
            <w:r>
              <w:rPr>
                <w:b w:val="0"/>
                <w:sz w:val="20"/>
              </w:rPr>
              <w:t>-</w:t>
            </w:r>
            <w:r w:rsidR="00AD7D4B">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64" w:type="dxa"/>
            <w:vAlign w:val="center"/>
          </w:tcPr>
          <w:p w:rsidR="00CA09B2" w:rsidRDefault="00CA09B2">
            <w:pPr>
              <w:pStyle w:val="T2"/>
              <w:spacing w:after="0"/>
              <w:ind w:left="0" w:right="0"/>
              <w:jc w:val="left"/>
              <w:rPr>
                <w:sz w:val="20"/>
              </w:rPr>
            </w:pPr>
            <w:r>
              <w:rPr>
                <w:sz w:val="20"/>
              </w:rPr>
              <w:t>Phone</w:t>
            </w:r>
          </w:p>
        </w:tc>
        <w:tc>
          <w:tcPr>
            <w:tcW w:w="199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91664">
            <w:pPr>
              <w:pStyle w:val="T2"/>
              <w:spacing w:after="0"/>
              <w:ind w:left="0" w:right="0"/>
              <w:rPr>
                <w:b w:val="0"/>
                <w:sz w:val="20"/>
              </w:rPr>
            </w:pPr>
            <w:r>
              <w:rPr>
                <w:b w:val="0"/>
                <w:sz w:val="20"/>
              </w:rPr>
              <w:t xml:space="preserve">Dave </w:t>
            </w:r>
            <w:proofErr w:type="spellStart"/>
            <w:r>
              <w:rPr>
                <w:b w:val="0"/>
                <w:sz w:val="20"/>
              </w:rPr>
              <w:t>Halasz</w:t>
            </w:r>
            <w:proofErr w:type="spellEnd"/>
          </w:p>
        </w:tc>
        <w:tc>
          <w:tcPr>
            <w:tcW w:w="2064" w:type="dxa"/>
            <w:vAlign w:val="center"/>
          </w:tcPr>
          <w:p w:rsidR="00CA09B2" w:rsidRDefault="00391664">
            <w:pPr>
              <w:pStyle w:val="T2"/>
              <w:spacing w:after="0"/>
              <w:ind w:left="0" w:right="0"/>
              <w:rPr>
                <w:b w:val="0"/>
                <w:sz w:val="20"/>
              </w:rPr>
            </w:pPr>
            <w:proofErr w:type="spellStart"/>
            <w:r>
              <w:rPr>
                <w:b w:val="0"/>
                <w:sz w:val="20"/>
              </w:rPr>
              <w:t>Aclara</w:t>
            </w:r>
            <w:proofErr w:type="spellEnd"/>
          </w:p>
        </w:tc>
        <w:tc>
          <w:tcPr>
            <w:tcW w:w="2814" w:type="dxa"/>
            <w:vAlign w:val="center"/>
          </w:tcPr>
          <w:p w:rsidR="0008292B" w:rsidRDefault="0008292B" w:rsidP="0008292B">
            <w:pPr>
              <w:pStyle w:val="T2"/>
              <w:spacing w:after="0"/>
              <w:ind w:left="0" w:right="0"/>
              <w:rPr>
                <w:b w:val="0"/>
                <w:sz w:val="20"/>
              </w:rPr>
            </w:pPr>
            <w:r>
              <w:rPr>
                <w:b w:val="0"/>
                <w:sz w:val="20"/>
              </w:rPr>
              <w:t xml:space="preserve">30400 </w:t>
            </w:r>
            <w:proofErr w:type="spellStart"/>
            <w:r>
              <w:rPr>
                <w:b w:val="0"/>
                <w:sz w:val="20"/>
              </w:rPr>
              <w:t>Solon</w:t>
            </w:r>
            <w:proofErr w:type="spellEnd"/>
            <w:r>
              <w:rPr>
                <w:b w:val="0"/>
                <w:sz w:val="20"/>
              </w:rPr>
              <w:t xml:space="preserve"> Road</w:t>
            </w:r>
          </w:p>
          <w:p w:rsidR="00747999" w:rsidRDefault="0008292B" w:rsidP="0008292B">
            <w:pPr>
              <w:pStyle w:val="T2"/>
              <w:spacing w:after="0"/>
              <w:ind w:left="0" w:right="0"/>
              <w:rPr>
                <w:b w:val="0"/>
                <w:sz w:val="20"/>
              </w:rPr>
            </w:pPr>
            <w:r>
              <w:rPr>
                <w:b w:val="0"/>
                <w:sz w:val="20"/>
              </w:rPr>
              <w:t xml:space="preserve"> </w:t>
            </w:r>
            <w:proofErr w:type="spellStart"/>
            <w:r>
              <w:rPr>
                <w:b w:val="0"/>
                <w:sz w:val="20"/>
              </w:rPr>
              <w:t>Solon</w:t>
            </w:r>
            <w:proofErr w:type="spellEnd"/>
            <w:r>
              <w:rPr>
                <w:b w:val="0"/>
                <w:sz w:val="20"/>
              </w:rPr>
              <w:t>, OH 44139</w:t>
            </w:r>
          </w:p>
        </w:tc>
        <w:tc>
          <w:tcPr>
            <w:tcW w:w="1364" w:type="dxa"/>
            <w:vAlign w:val="center"/>
          </w:tcPr>
          <w:p w:rsidR="00CA09B2" w:rsidRDefault="0008292B">
            <w:pPr>
              <w:pStyle w:val="T2"/>
              <w:spacing w:after="0"/>
              <w:ind w:left="0" w:right="0"/>
              <w:rPr>
                <w:b w:val="0"/>
                <w:sz w:val="20"/>
              </w:rPr>
            </w:pPr>
            <w:r>
              <w:rPr>
                <w:b w:val="0"/>
                <w:sz w:val="20"/>
              </w:rPr>
              <w:t>440-528-7477</w:t>
            </w:r>
          </w:p>
        </w:tc>
        <w:tc>
          <w:tcPr>
            <w:tcW w:w="1998" w:type="dxa"/>
            <w:vAlign w:val="center"/>
          </w:tcPr>
          <w:p w:rsidR="00CA09B2" w:rsidRDefault="0008292B">
            <w:pPr>
              <w:pStyle w:val="T2"/>
              <w:spacing w:after="0"/>
              <w:ind w:left="0" w:right="0"/>
              <w:rPr>
                <w:b w:val="0"/>
                <w:sz w:val="16"/>
              </w:rPr>
            </w:pPr>
            <w:r>
              <w:rPr>
                <w:b w:val="0"/>
                <w:sz w:val="16"/>
              </w:rPr>
              <w:t>dhalasz@aclara.com</w:t>
            </w:r>
          </w:p>
        </w:tc>
      </w:tr>
    </w:tbl>
    <w:p w:rsidR="00CA09B2" w:rsidRDefault="00CA09B2">
      <w:pPr>
        <w:pStyle w:val="T1"/>
        <w:spacing w:after="120"/>
        <w:rPr>
          <w:sz w:val="22"/>
        </w:rPr>
      </w:pPr>
    </w:p>
    <w:p w:rsidR="00CA09B2" w:rsidRDefault="00E97BCB">
      <w:r w:rsidRPr="00E97BCB">
        <w:rPr>
          <w:noProof/>
          <w:sz w:val="28"/>
        </w:rPr>
        <w:pict>
          <v:shapetype id="_x0000_t202" coordsize="21600,21600" o:spt="202" path="m,l,21600r21600,l21600,xe">
            <v:stroke joinstyle="miter"/>
            <v:path gradientshapeok="t" o:connecttype="rect"/>
          </v:shapetype>
          <v:shape id="_x0000_s1027" type="#_x0000_t202" style="position:absolute;margin-left:-.6pt;margin-top:22.45pt;width:468pt;height:1in;z-index:251657728;mso-position-horizontal-relative:text;mso-position-vertical-relative:text" o:allowincell="f" stroked="f">
            <v:textbox style="mso-next-textbox:#_x0000_s1027">
              <w:txbxContent>
                <w:p w:rsidR="002550E9" w:rsidRDefault="002550E9">
                  <w:pPr>
                    <w:pStyle w:val="T1"/>
                    <w:spacing w:after="120"/>
                  </w:pPr>
                  <w:r>
                    <w:t>Abstract</w:t>
                  </w:r>
                </w:p>
                <w:p w:rsidR="002550E9" w:rsidRDefault="002550E9">
                  <w:pPr>
                    <w:jc w:val="both"/>
                  </w:pPr>
                  <w:r>
                    <w:t>This doc</w:t>
                  </w:r>
                  <w:r w:rsidR="00AD7D4B">
                    <w:t>ument proposes a Sub 1 GHz non-licensed</w:t>
                  </w:r>
                  <w:r>
                    <w:t xml:space="preserve"> PAR in </w:t>
                  </w:r>
                  <w:proofErr w:type="spellStart"/>
                  <w:r>
                    <w:t>NesCom</w:t>
                  </w:r>
                  <w:proofErr w:type="spellEnd"/>
                  <w:r>
                    <w:t xml:space="preserve"> format plus 5 Criteria</w:t>
                  </w:r>
                </w:p>
                <w:p w:rsidR="002550E9" w:rsidRDefault="002550E9">
                  <w:pPr>
                    <w:jc w:val="both"/>
                  </w:pPr>
                </w:p>
                <w:p w:rsidR="002550E9" w:rsidRDefault="002550E9" w:rsidP="00747999">
                  <w:pPr>
                    <w:jc w:val="both"/>
                  </w:pPr>
                </w:p>
              </w:txbxContent>
            </v:textbox>
          </v:shape>
        </w:pict>
      </w:r>
      <w:r w:rsidR="00CA09B2">
        <w:br w:type="page"/>
      </w:r>
    </w:p>
    <w:p w:rsidR="00CA09B2" w:rsidRDefault="00CA09B2"/>
    <w:p w:rsidR="00E64C46" w:rsidRDefault="00E64C46"/>
    <w:p w:rsidR="00E64C46" w:rsidRDefault="00E64C46"/>
    <w:p w:rsidR="00E64C46" w:rsidRDefault="00E64C46"/>
    <w:p w:rsidR="00E64C46" w:rsidRDefault="00E64C46"/>
    <w:p w:rsidR="00E64C46" w:rsidRDefault="00CA09B2" w:rsidP="00E64C46">
      <w:pPr>
        <w:pStyle w:val="z-TopofForm"/>
      </w:pPr>
      <w:r>
        <w:br w:type="page"/>
      </w:r>
      <w:r w:rsidR="00E64C46">
        <w:t>Top of Form</w:t>
      </w:r>
    </w:p>
    <w:p w:rsidR="00E64C46" w:rsidRDefault="00E97BCB" w:rsidP="00E64C46">
      <w:pPr>
        <w:pStyle w:val="NormalWeb"/>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9.9pt;height:22.7pt" o:ole="">
            <v:imagedata r:id="rId7" o:title=""/>
          </v:shape>
          <w:control r:id="rId8" w:name="DefaultOcxName" w:shapeid="_x0000_i1053"/>
        </w:object>
      </w:r>
      <w:r w:rsidR="00E64C46">
        <w:t>   </w:t>
      </w:r>
      <w:r>
        <w:object w:dxaOrig="225" w:dyaOrig="225">
          <v:shape id="_x0000_i1056" type="#_x0000_t75" style="width:131.45pt;height:22.7pt" o:ole="">
            <v:imagedata r:id="rId9" o:title=""/>
          </v:shape>
          <w:control r:id="rId10" w:name="DefaultOcxName1" w:shapeid="_x0000_i1056"/>
        </w:object>
      </w:r>
      <w:r w:rsidR="00E64C46">
        <w:t>   </w:t>
      </w:r>
      <w:r>
        <w:object w:dxaOrig="225" w:dyaOrig="225">
          <v:shape id="_x0000_i1059" type="#_x0000_t75" style="width:88.45pt;height:22.7pt" o:ole="">
            <v:imagedata r:id="rId11" o:title=""/>
          </v:shape>
          <w:control r:id="rId12" w:name="DefaultOcxName2" w:shapeid="_x0000_i1059"/>
        </w:object>
      </w:r>
    </w:p>
    <w:p w:rsidR="00E64C46" w:rsidRDefault="00E97BCB" w:rsidP="00E64C46">
      <w:r>
        <w:object w:dxaOrig="225" w:dyaOrig="225">
          <v:shape id="_x0000_i1062" type="#_x0000_t75" style="width:1in;height:17.9pt" o:ole="">
            <v:imagedata r:id="rId13" o:title=""/>
          </v:shape>
          <w:control r:id="rId14" w:name="DefaultOcxName3" w:shapeid="_x0000_i1062"/>
        </w:object>
      </w:r>
      <w:r>
        <w:object w:dxaOrig="225" w:dyaOrig="225">
          <v:shape id="_x0000_i1065" type="#_x0000_t75" style="width:1in;height:17.9pt" o:ole="">
            <v:imagedata r:id="rId15" o:title=""/>
          </v:shape>
          <w:control r:id="rId16" w:name="DefaultOcxName4" w:shapeid="_x0000_i1065"/>
        </w:object>
      </w:r>
      <w:r>
        <w:object w:dxaOrig="225" w:dyaOrig="225">
          <v:shape id="_x0000_i1068" type="#_x0000_t75" style="width:1in;height:17.9pt" o:ole="">
            <v:imagedata r:id="rId17" o:title=""/>
          </v:shape>
          <w:control r:id="rId18" w:name="DefaultOcxName5" w:shapeid="_x0000_i1068"/>
        </w:object>
      </w:r>
      <w:r>
        <w:object w:dxaOrig="225" w:dyaOrig="225">
          <v:shape id="_x0000_i1071" type="#_x0000_t75" style="width:1in;height:17.9pt" o:ole="">
            <v:imagedata r:id="rId19" o:title=""/>
          </v:shape>
          <w:control r:id="rId20" w:name="DefaultOcxName6" w:shapeid="_x0000_i1071"/>
        </w:object>
      </w:r>
      <w:r>
        <w:object w:dxaOrig="225" w:dyaOrig="225">
          <v:shape id="_x0000_i1074" type="#_x0000_t75" style="width:1in;height:17.9pt" o:ole="">
            <v:imagedata r:id="rId21" o:title=""/>
          </v:shape>
          <w:control r:id="rId22" w:name="DefaultOcxName7" w:shapeid="_x0000_i1074"/>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color w:val="808080"/>
              </w:rPr>
              <w:t xml:space="preserve">Draft PAR Confirmation Number  </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280B00">
            <w:r>
              <w:rPr>
                <w:b/>
                <w:bCs/>
              </w:rPr>
              <w:t xml:space="preserve">Submittal Email: </w:t>
            </w:r>
            <w:r w:rsidR="0008292B">
              <w:t>dhalasz@aclara</w:t>
            </w:r>
            <w:r w:rsidR="00280B00">
              <w:t>.com</w:t>
            </w:r>
            <w:r>
              <w:t>  </w:t>
            </w:r>
            <w:r w:rsidR="00E97BCB">
              <w:object w:dxaOrig="225" w:dyaOrig="225">
                <v:shape id="_x0000_i1077" type="#_x0000_t75" style="width:96.65pt;height:22.7pt" o:ole="">
                  <v:imagedata r:id="rId23" o:title=""/>
                </v:shape>
                <w:control r:id="rId24" w:name="DefaultOcxName8" w:shapeid="_x0000_i1077"/>
              </w:objec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rPr>
              <w:t xml:space="preserve">Type of Project: </w:t>
            </w:r>
            <w:r>
              <w:t>PAR for an amendment to existing Standard 802.11-2007</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rPr>
              <w:t xml:space="preserve">1.1 Project Number: </w:t>
            </w:r>
            <w:r>
              <w:t xml:space="preserve">P802.11 </w:t>
            </w:r>
            <w:r w:rsidR="00E97BCB">
              <w:object w:dxaOrig="225" w:dyaOrig="225">
                <v:shape id="_x0000_i1080" type="#_x0000_t75" style="width:37.7pt;height:22.7pt" o:ole="">
                  <v:imagedata r:id="rId25" o:title=""/>
                </v:shape>
                <w:control r:id="rId26" w:name="DefaultOcxName9" w:shapeid="_x0000_i1080"/>
              </w:objec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rPr>
              <w:t>1.2 Type of Document:</w:t>
            </w:r>
            <w:r>
              <w:t xml:space="preserve"> Standard for</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rPr>
              <w:t xml:space="preserve">1.3 Life Cycle: </w:t>
            </w:r>
            <w:r>
              <w:t>Full</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rPr>
              <w:t>1.4 Is this project in ballot now?</w:t>
            </w:r>
            <w:r>
              <w:t xml:space="preserve"> No</w:t>
            </w:r>
          </w:p>
        </w:tc>
      </w:tr>
    </w:tbl>
    <w:p w:rsidR="00E64C46" w:rsidRDefault="00E64C46" w:rsidP="00E64C46">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rPr>
              <w:t xml:space="preserve">2.1 Title of Standard: </w:t>
            </w:r>
            <w:r>
              <w:t xml:space="preserve">IEEE Standard for Information Technology - Telecommunications and Information Exchange Between Systems - Local and Metropolitan Area Networks - Specific Requirements - Part 11: Wireless LAN Medium Access Control (MAC) and Physical Layer (PHY) Specifications - Amendment: </w:t>
            </w:r>
            <w:r w:rsidR="00AD7D4B">
              <w:rPr>
                <w:szCs w:val="22"/>
              </w:rPr>
              <w:t>Sub 1 GHz non-licensed operation</w:t>
            </w:r>
          </w:p>
        </w:tc>
      </w:tr>
    </w:tbl>
    <w:p w:rsidR="00E64C46" w:rsidRDefault="00E64C46" w:rsidP="00E64C46">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rPr>
              <w:t xml:space="preserve">3.1 Name of Working Group: </w:t>
            </w:r>
            <w:r>
              <w:t>Wireless LAN Working Group(C/LM/WG802.11)  </w:t>
            </w:r>
            <w:r w:rsidR="00E97BCB">
              <w:object w:dxaOrig="225" w:dyaOrig="225">
                <v:shape id="_x0000_i1083" type="#_x0000_t75" style="width:102.95pt;height:22.7pt" o:ole="">
                  <v:imagedata r:id="rId27" o:title=""/>
                </v:shape>
                <w:control r:id="rId28" w:name="DefaultOcxName10" w:shapeid="_x0000_i1083"/>
              </w:object>
            </w:r>
            <w:r>
              <w:t xml:space="preserve"> </w:t>
            </w:r>
            <w:r>
              <w:br/>
            </w:r>
            <w:r>
              <w:rPr>
                <w:b/>
                <w:bCs/>
              </w:rPr>
              <w:t>Contact information for Working Group Chair</w:t>
            </w:r>
            <w:r>
              <w:t xml:space="preserve"> </w:t>
            </w:r>
            <w:r>
              <w:br/>
            </w:r>
            <w:smartTag w:uri="urn:schemas-microsoft-com:office:smarttags" w:element="PersonName">
              <w:r>
                <w:t>Bruce Kraemer</w:t>
              </w:r>
            </w:smartTag>
            <w:r>
              <w:br/>
              <w:t xml:space="preserve">517 La Costa Court </w:t>
            </w:r>
            <w:r>
              <w:br/>
              <w:t>Melbourne, FL 32940</w:t>
            </w:r>
            <w:r>
              <w:br/>
              <w:t>US</w:t>
            </w:r>
            <w:r>
              <w:br/>
              <w:t xml:space="preserve">bkraemer@marvell.com </w:t>
            </w:r>
            <w:r>
              <w:br/>
            </w:r>
            <w:r>
              <w:rPr>
                <w:b/>
                <w:bCs/>
              </w:rPr>
              <w:t xml:space="preserve">Working Group Vice Chair: </w:t>
            </w:r>
            <w:smartTag w:uri="urn:schemas-microsoft-com:office:smarttags" w:element="PersonName">
              <w:r>
                <w:t xml:space="preserve">Jon </w:t>
              </w:r>
              <w:proofErr w:type="spellStart"/>
              <w:r>
                <w:t>Rosdahl</w:t>
              </w:r>
            </w:smartTag>
            <w:proofErr w:type="spellEnd"/>
            <w:r>
              <w:br/>
              <w:t xml:space="preserve">10871 N 5750 West </w:t>
            </w:r>
            <w:r>
              <w:br/>
              <w:t>Highland, UT 84003</w:t>
            </w:r>
            <w:r>
              <w:br/>
              <w:t xml:space="preserve">US, </w:t>
            </w:r>
            <w:r>
              <w:rPr>
                <w:b/>
                <w:bCs/>
              </w:rPr>
              <w:t xml:space="preserve">Email: </w:t>
            </w:r>
            <w:r>
              <w:t>jrosdahl@ieee.org</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pPr>
              <w:spacing w:after="240"/>
            </w:pPr>
            <w:r>
              <w:rPr>
                <w:b/>
                <w:bCs/>
              </w:rPr>
              <w:t>3.2 Sponsoring Society and Committee:</w:t>
            </w:r>
            <w:r w:rsidR="00E05912">
              <w:rPr>
                <w:b/>
                <w:bCs/>
              </w:rPr>
              <w:t xml:space="preserve"> </w:t>
            </w:r>
            <w:r>
              <w:t xml:space="preserve">IEEE Computer Society/Local and Metropolitan Area Networks(C/LM) </w:t>
            </w:r>
            <w:r>
              <w:br/>
            </w:r>
            <w:r>
              <w:rPr>
                <w:b/>
                <w:bCs/>
              </w:rPr>
              <w:t>Contact information for Sponsor Chair:</w:t>
            </w:r>
            <w:r>
              <w:t xml:space="preserve"> </w:t>
            </w:r>
            <w:r>
              <w:br/>
              <w:t xml:space="preserve">Paul </w:t>
            </w:r>
            <w:proofErr w:type="spellStart"/>
            <w:r>
              <w:t>Nikolich</w:t>
            </w:r>
            <w:proofErr w:type="spellEnd"/>
            <w:r>
              <w:br/>
              <w:t xml:space="preserve">18 </w:t>
            </w:r>
            <w:smartTag w:uri="urn:schemas-microsoft-com:office:smarttags" w:element="address">
              <w:smartTag w:uri="urn:schemas-microsoft-com:office:smarttags" w:element="Street">
                <w:r>
                  <w:t>Bishops Lane</w:t>
                </w:r>
              </w:smartTag>
              <w:r>
                <w:t xml:space="preserve"> </w:t>
              </w:r>
              <w:r>
                <w:br/>
              </w:r>
              <w:smartTag w:uri="urn:schemas-microsoft-com:office:smarttags" w:element="City">
                <w:r>
                  <w:t>Lynnfield</w:t>
                </w:r>
              </w:smartTag>
              <w:r>
                <w:t xml:space="preserve">, </w:t>
              </w:r>
              <w:smartTag w:uri="urn:schemas-microsoft-com:office:smarttags" w:element="State">
                <w:r>
                  <w:t>MA</w:t>
                </w:r>
              </w:smartTag>
              <w:r>
                <w:t xml:space="preserve"> </w:t>
              </w:r>
              <w:smartTag w:uri="urn:schemas-microsoft-com:office:smarttags" w:element="PostalCode">
                <w:r>
                  <w:t>01940</w:t>
                </w:r>
              </w:smartTag>
              <w:r>
                <w:br/>
              </w:r>
              <w:smartTag w:uri="urn:schemas-microsoft-com:office:smarttags" w:element="country-region">
                <w:r>
                  <w:t>US</w:t>
                </w:r>
              </w:smartTag>
            </w:smartTag>
            <w:r>
              <w:br/>
              <w:t>p.nikolich@ieee.org</w:t>
            </w:r>
            <w:r>
              <w:br/>
            </w:r>
            <w:r>
              <w:rPr>
                <w:b/>
                <w:bCs/>
              </w:rPr>
              <w:t>Contact information for Standards Representative:</w:t>
            </w:r>
            <w:r>
              <w:br/>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rPr>
              <w:t xml:space="preserve">4.1 Type of Ballot: </w:t>
            </w:r>
            <w:r>
              <w:t xml:space="preserve">Individual </w:t>
            </w:r>
            <w:r w:rsidR="00E97BCB">
              <w:object w:dxaOrig="225" w:dyaOrig="225">
                <v:shape id="_x0000_i1086" type="#_x0000_t75" style="width:37.7pt;height:22.7pt" o:ole="">
                  <v:imagedata r:id="rId29" o:title=""/>
                </v:shape>
                <w:control r:id="rId30" w:name="DefaultOcxName11" w:shapeid="_x0000_i1086"/>
              </w:objec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280B00">
            <w:r>
              <w:rPr>
                <w:b/>
                <w:bCs/>
              </w:rPr>
              <w:lastRenderedPageBreak/>
              <w:t>4.2 Expected Date of Submission for Initial Sponsor Ballot:</w:t>
            </w:r>
            <w:r>
              <w:t xml:space="preserve"> 201</w:t>
            </w:r>
            <w:r w:rsidR="00D9392E">
              <w:t>1</w:t>
            </w:r>
            <w:r>
              <w:t>-12</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rPr>
              <w:t xml:space="preserve">4.3 Projected Completion Date for Submittal to </w:t>
            </w:r>
            <w:proofErr w:type="spellStart"/>
            <w:r>
              <w:rPr>
                <w:b/>
                <w:bCs/>
              </w:rPr>
              <w:t>RevCom</w:t>
            </w:r>
            <w:proofErr w:type="spellEnd"/>
            <w:r>
              <w:rPr>
                <w:b/>
                <w:bCs/>
              </w:rPr>
              <w:t xml:space="preserve">: </w:t>
            </w:r>
            <w:r w:rsidR="00D9392E">
              <w:t>2012</w:t>
            </w:r>
            <w:r>
              <w:t>-</w:t>
            </w:r>
            <w:r w:rsidR="00D9392E">
              <w:t>09</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280B00">
            <w:r>
              <w:rPr>
                <w:b/>
                <w:bCs/>
              </w:rPr>
              <w:t>5.1 Approximate number of people expected to work on this project:</w:t>
            </w:r>
            <w:r>
              <w:t xml:space="preserve"> </w:t>
            </w:r>
            <w:r w:rsidR="00280B00">
              <w:t>50</w:t>
            </w:r>
            <w:r>
              <w:t xml:space="preserve"> </w:t>
            </w:r>
            <w:r w:rsidR="00E97BCB">
              <w:object w:dxaOrig="225" w:dyaOrig="225">
                <v:shape id="_x0000_i1089" type="#_x0000_t75" style="width:37.7pt;height:22.7pt" o:ole="">
                  <v:imagedata r:id="rId31" o:title=""/>
                </v:shape>
                <w:control r:id="rId32" w:name="DefaultOcxName12" w:shapeid="_x0000_i1089"/>
              </w:object>
            </w:r>
          </w:p>
        </w:tc>
      </w:tr>
    </w:tbl>
    <w:p w:rsidR="00E64C46" w:rsidRDefault="00E64C46" w:rsidP="00E64C46">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4597"/>
        <w:gridCol w:w="4597"/>
      </w:tblGrid>
      <w:tr w:rsidR="00E64C46">
        <w:trPr>
          <w:tblCellSpacing w:w="7" w:type="dxa"/>
        </w:trPr>
        <w:tc>
          <w:tcPr>
            <w:tcW w:w="2500" w:type="pct"/>
            <w:tcBorders>
              <w:top w:val="outset" w:sz="6" w:space="0" w:color="999966"/>
              <w:left w:val="outset" w:sz="6" w:space="0" w:color="999966"/>
              <w:bottom w:val="outset" w:sz="6" w:space="0" w:color="999966"/>
              <w:right w:val="outset" w:sz="6" w:space="0" w:color="999966"/>
            </w:tcBorders>
            <w:vAlign w:val="center"/>
          </w:tcPr>
          <w:p w:rsidR="00B02363" w:rsidRDefault="00E64C46" w:rsidP="00B02363">
            <w:r>
              <w:rPr>
                <w:b/>
                <w:bCs/>
              </w:rPr>
              <w:t xml:space="preserve">5.2 Scope of Proposed Standard: </w:t>
            </w:r>
            <w:r w:rsidR="00D21D8E">
              <w:t>A</w:t>
            </w:r>
            <w:r w:rsidR="00A2754C" w:rsidRPr="00A2754C">
              <w:t>n amendment that define</w:t>
            </w:r>
            <w:r w:rsidR="00D21D8E">
              <w:t>s</w:t>
            </w:r>
            <w:r w:rsidR="00A2754C" w:rsidRPr="00A2754C">
              <w:t xml:space="preserve"> modifications to both the 802.11 physical layers (PHY) and the 802.11 Medium Access Control Layer (MAC)</w:t>
            </w:r>
            <w:r w:rsidR="00D21D8E">
              <w:t>,</w:t>
            </w:r>
            <w:r w:rsidR="00A2754C" w:rsidRPr="00A2754C">
              <w:t xml:space="preserve"> </w:t>
            </w:r>
            <w:r w:rsidR="00D9392E">
              <w:t>for standardization of</w:t>
            </w:r>
            <w:r w:rsidR="00A644F4">
              <w:t xml:space="preserve"> non-licensed</w:t>
            </w:r>
            <w:r w:rsidR="00D9392E">
              <w:t xml:space="preserve"> opera</w:t>
            </w:r>
            <w:r w:rsidR="00A644F4">
              <w:t>tion below 1 GHz</w:t>
            </w:r>
            <w:r w:rsidR="00D9392E">
              <w:t>.</w:t>
            </w:r>
          </w:p>
          <w:p w:rsidR="00E64C46" w:rsidRDefault="00E64C46" w:rsidP="00E64C46"/>
        </w:tc>
        <w:tc>
          <w:tcPr>
            <w:tcW w:w="0" w:type="auto"/>
            <w:tcBorders>
              <w:top w:val="outset" w:sz="6" w:space="0" w:color="999966"/>
              <w:left w:val="outset" w:sz="6" w:space="0" w:color="999966"/>
              <w:bottom w:val="outset" w:sz="6" w:space="0" w:color="999966"/>
              <w:right w:val="outset" w:sz="6" w:space="0" w:color="999966"/>
            </w:tcBorders>
            <w:vAlign w:val="center"/>
          </w:tcPr>
          <w:p w:rsidR="00E725D2" w:rsidRDefault="00E64C46" w:rsidP="00E725D2">
            <w:r>
              <w:rPr>
                <w:b/>
                <w:bCs/>
              </w:rPr>
              <w:t xml:space="preserve">Old Scope: </w:t>
            </w:r>
          </w:p>
          <w:p w:rsidR="00E64C46" w:rsidRDefault="00E64C46" w:rsidP="00B02363"/>
        </w:tc>
      </w:tr>
    </w:tbl>
    <w:p w:rsidR="00E64C46" w:rsidRDefault="00E64C46" w:rsidP="00E64C46">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rPr>
              <w:t>5.3 Is the completion of this standard is dependent upon the completion of another standard:</w:t>
            </w:r>
            <w:r>
              <w:t xml:space="preserve"> </w:t>
            </w:r>
            <w:r w:rsidR="00280B00">
              <w:t>No</w:t>
            </w:r>
            <w:r w:rsidR="00903445">
              <w:t xml:space="preserve"> </w:t>
            </w:r>
            <w:r>
              <w:br/>
            </w:r>
            <w:r>
              <w:rPr>
                <w:b/>
                <w:bCs/>
              </w:rPr>
              <w:t>If yes, please explain:</w:t>
            </w:r>
            <w:r w:rsidR="00903445">
              <w:rPr>
                <w:b/>
                <w:bCs/>
              </w:rPr>
              <w:t xml:space="preserve"> </w:t>
            </w:r>
          </w:p>
        </w:tc>
      </w:tr>
    </w:tbl>
    <w:p w:rsidR="00E64C46" w:rsidRDefault="00E64C46" w:rsidP="00E64C46">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4597"/>
        <w:gridCol w:w="4597"/>
      </w:tblGrid>
      <w:tr w:rsidR="00E64C46">
        <w:trPr>
          <w:tblCellSpacing w:w="7" w:type="dxa"/>
        </w:trPr>
        <w:tc>
          <w:tcPr>
            <w:tcW w:w="2500" w:type="pct"/>
            <w:tcBorders>
              <w:top w:val="outset" w:sz="6" w:space="0" w:color="999966"/>
              <w:left w:val="outset" w:sz="6" w:space="0" w:color="999966"/>
              <w:bottom w:val="outset" w:sz="6" w:space="0" w:color="999966"/>
              <w:right w:val="outset" w:sz="6" w:space="0" w:color="999966"/>
            </w:tcBorders>
            <w:vAlign w:val="center"/>
          </w:tcPr>
          <w:p w:rsidR="00E64C46" w:rsidRDefault="00E64C46" w:rsidP="003E4351">
            <w:r>
              <w:rPr>
                <w:b/>
                <w:bCs/>
              </w:rPr>
              <w:t>5.</w:t>
            </w:r>
            <w:r w:rsidR="00621DFE">
              <w:rPr>
                <w:b/>
                <w:bCs/>
              </w:rPr>
              <w:t xml:space="preserve">4 Purpose of Proposed Standard: </w:t>
            </w:r>
            <w:r w:rsidR="008E611D" w:rsidRPr="008E611D">
              <w:t xml:space="preserve">The purpose of this amendment is to allow </w:t>
            </w:r>
            <w:r w:rsidR="00A644F4">
              <w:t xml:space="preserve">non-licensed </w:t>
            </w:r>
            <w:r w:rsidR="008E611D" w:rsidRPr="008E611D">
              <w:t>802.11 wire</w:t>
            </w:r>
            <w:r w:rsidR="00A644F4">
              <w:t>less networks to be used below 1 GHz</w:t>
            </w:r>
            <w:r w:rsidR="00D9392E">
              <w:t>.</w:t>
            </w:r>
          </w:p>
        </w:tc>
        <w:tc>
          <w:tcPr>
            <w:tcW w:w="2500" w:type="pct"/>
            <w:tcBorders>
              <w:top w:val="outset" w:sz="6" w:space="0" w:color="999966"/>
              <w:left w:val="outset" w:sz="6" w:space="0" w:color="999966"/>
              <w:bottom w:val="outset" w:sz="6" w:space="0" w:color="999966"/>
              <w:right w:val="outset" w:sz="6" w:space="0" w:color="999966"/>
            </w:tcBorders>
            <w:vAlign w:val="center"/>
          </w:tcPr>
          <w:p w:rsidR="00E64C46" w:rsidRDefault="00E64C46" w:rsidP="00E725D2">
            <w:r>
              <w:rPr>
                <w:b/>
                <w:bCs/>
              </w:rPr>
              <w:t xml:space="preserve">Old Purpose: </w:t>
            </w:r>
          </w:p>
        </w:tc>
      </w:tr>
    </w:tbl>
    <w:p w:rsidR="00E64C46" w:rsidRDefault="00E64C46" w:rsidP="00E64C46">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D9392E">
            <w:r>
              <w:rPr>
                <w:b/>
                <w:bCs/>
              </w:rPr>
              <w:t xml:space="preserve">5.5 Need for the Project: </w:t>
            </w:r>
            <w:r w:rsidR="00D9392E">
              <w:t>Equipment ships today that runs IEEE 80</w:t>
            </w:r>
            <w:r w:rsidR="00A644F4">
              <w:t>2.11 below 1 GHz</w:t>
            </w:r>
            <w:r w:rsidR="00D9392E">
              <w:t xml:space="preserve">. However, the channel width and </w:t>
            </w:r>
            <w:proofErr w:type="spellStart"/>
            <w:r w:rsidR="00A644F4">
              <w:t>center</w:t>
            </w:r>
            <w:proofErr w:type="spellEnd"/>
            <w:r w:rsidR="00A644F4">
              <w:t xml:space="preserve"> frequencies are not for these bands</w:t>
            </w:r>
            <w:r w:rsidR="00D9392E">
              <w:t xml:space="preserve">. This amendment is needed to establish the channel widths and </w:t>
            </w:r>
            <w:proofErr w:type="spellStart"/>
            <w:r w:rsidR="00D9392E">
              <w:t>center</w:t>
            </w:r>
            <w:proofErr w:type="spellEnd"/>
            <w:r w:rsidR="00D9392E">
              <w:t xml:space="preserve"> frequencies. </w:t>
            </w:r>
            <w:r w:rsidR="00571027">
              <w:t xml:space="preserve">The changes should largely be done in new regulatory classes (extending 802.11 annex </w:t>
            </w:r>
            <w:proofErr w:type="spellStart"/>
            <w:r w:rsidR="00571027">
              <w:t>i</w:t>
            </w:r>
            <w:proofErr w:type="spellEnd"/>
            <w:r w:rsidR="00571027">
              <w:t xml:space="preserve"> and j</w:t>
            </w:r>
            <w:r w:rsidR="00A644F4">
              <w:t xml:space="preserve"> of IEEE 802.11-2007</w:t>
            </w:r>
            <w:r w:rsidR="00571027">
              <w:t>).</w:t>
            </w:r>
            <w:r>
              <w:t xml:space="preserve"> </w:t>
            </w:r>
            <w:r w:rsidR="00A644F4">
              <w:t xml:space="preserve"> Changes for channel widths down to 1.25 MHz are expected to change clause 17.</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54330F" w:rsidRDefault="00E64C46" w:rsidP="0054330F">
            <w:r>
              <w:rPr>
                <w:b/>
                <w:bCs/>
              </w:rPr>
              <w:t xml:space="preserve">5.6 Stakeholders for the Standard: </w:t>
            </w:r>
            <w:r w:rsidR="004901AA">
              <w:rPr>
                <w:b/>
                <w:bCs/>
              </w:rPr>
              <w:t xml:space="preserve">Manufacturers and users of </w:t>
            </w:r>
            <w:r w:rsidR="004901AA">
              <w:t>semiconductor</w:t>
            </w:r>
            <w:r>
              <w:t xml:space="preserve">, personal computer, </w:t>
            </w:r>
            <w:r w:rsidR="003912FE">
              <w:t>enterprise</w:t>
            </w:r>
            <w:r>
              <w:t xml:space="preserve"> networking device</w:t>
            </w:r>
            <w:r w:rsidR="004628BA">
              <w:t>s</w:t>
            </w:r>
            <w:r>
              <w:t>, consumer electronic device</w:t>
            </w:r>
            <w:r w:rsidR="004628BA">
              <w:t>s</w:t>
            </w:r>
            <w:r>
              <w:t xml:space="preserve">, </w:t>
            </w:r>
            <w:r w:rsidR="004901AA">
              <w:t xml:space="preserve">home </w:t>
            </w:r>
            <w:r>
              <w:t>networking equipment</w:t>
            </w:r>
            <w:r w:rsidR="0054330F">
              <w:t>, mobile devices</w:t>
            </w:r>
            <w:r>
              <w:t>.</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64C46" w:rsidRDefault="00E64C46" w:rsidP="00E64C46">
            <w:r>
              <w:rPr>
                <w:b/>
                <w:bCs/>
              </w:rPr>
              <w:t>Intellectual Property</w:t>
            </w:r>
            <w:r>
              <w:br/>
            </w:r>
            <w:r>
              <w:rPr>
                <w:b/>
                <w:bCs/>
              </w:rPr>
              <w:t xml:space="preserve">6.1.a. </w:t>
            </w:r>
            <w:r>
              <w:t>Has the IEEE-SA policy on intellectual property been presented to those responsible for preparing/submitting this PAR prior to the PAR submittal to the IEEE-SA Standards Board? Ye</w:t>
            </w:r>
            <w:r w:rsidR="001842F9">
              <w:t xml:space="preserve">s </w:t>
            </w:r>
            <w:r w:rsidR="001842F9" w:rsidRPr="001842F9">
              <w:rPr>
                <w:highlight w:val="yellow"/>
              </w:rPr>
              <w:t>(Needs follow up</w:t>
            </w:r>
            <w:proofErr w:type="gramStart"/>
            <w:r w:rsidR="001842F9" w:rsidRPr="001842F9">
              <w:rPr>
                <w:highlight w:val="yellow"/>
              </w:rPr>
              <w:t>)</w:t>
            </w:r>
            <w:proofErr w:type="gramEnd"/>
            <w:r w:rsidR="001842F9" w:rsidRPr="001842F9">
              <w:rPr>
                <w:highlight w:val="yellow"/>
              </w:rPr>
              <w:br/>
              <w:t>If yes, state date: 2010</w:t>
            </w:r>
            <w:r w:rsidR="00B02363" w:rsidRPr="001842F9">
              <w:rPr>
                <w:highlight w:val="yellow"/>
              </w:rPr>
              <w:t>-xx-xx</w:t>
            </w:r>
            <w:r>
              <w:br/>
              <w:t xml:space="preserve">If no, please explain: </w:t>
            </w:r>
            <w:r>
              <w:br/>
            </w:r>
            <w:r>
              <w:rPr>
                <w:b/>
                <w:bCs/>
              </w:rPr>
              <w:t>6.1.b.</w:t>
            </w:r>
            <w:r>
              <w:t xml:space="preserve"> Is the Sponsor aware of any copyright </w:t>
            </w:r>
            <w:proofErr w:type="gramStart"/>
            <w:r>
              <w:t>permissions</w:t>
            </w:r>
            <w:proofErr w:type="gramEnd"/>
            <w:r>
              <w:t xml:space="preserve"> needed for this project? No</w:t>
            </w:r>
            <w:r>
              <w:br/>
              <w:t xml:space="preserve">If yes, please </w:t>
            </w:r>
            <w:proofErr w:type="gramStart"/>
            <w:r>
              <w:t>explain</w:t>
            </w:r>
            <w:proofErr w:type="gramEnd"/>
            <w:r>
              <w:t xml:space="preserve">: </w:t>
            </w:r>
            <w:r>
              <w:br/>
            </w:r>
            <w:r>
              <w:rPr>
                <w:b/>
                <w:bCs/>
              </w:rPr>
              <w:t xml:space="preserve">6.1.c. </w:t>
            </w:r>
            <w:r>
              <w:t>Is the Sponsor aware of possible registration activity related to this project? No</w:t>
            </w:r>
            <w:r>
              <w:br/>
              <w:t xml:space="preserve">If yes, please explain: </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3F0331" w:rsidRDefault="00E64C46" w:rsidP="00571027">
            <w:pPr>
              <w:pStyle w:val="NormalWeb"/>
            </w:pPr>
            <w:r>
              <w:rPr>
                <w:b/>
                <w:bCs/>
              </w:rPr>
              <w:t>7.1 Are there other standards or projects with a similar scope?</w:t>
            </w:r>
            <w:r w:rsidR="00B02363">
              <w:t xml:space="preserve"> Yes</w:t>
            </w:r>
            <w:r>
              <w:br/>
              <w:t xml:space="preserve">Explanation: </w:t>
            </w:r>
            <w:r w:rsidR="00B02363">
              <w:t xml:space="preserve">IEEE </w:t>
            </w:r>
            <w:r w:rsidR="00C0091C">
              <w:t>P</w:t>
            </w:r>
            <w:r w:rsidR="00571027">
              <w:t>802.15</w:t>
            </w:r>
            <w:r w:rsidR="00B02363">
              <w:t xml:space="preserve"> </w:t>
            </w:r>
            <w:r w:rsidR="00E05912">
              <w:t>addresses</w:t>
            </w:r>
            <w:r w:rsidR="00B02363">
              <w:t xml:space="preserve"> one product segment of the new regulatory rules. </w:t>
            </w:r>
            <w:r>
              <w:br/>
              <w:t xml:space="preserve">Sponsor Organization: </w:t>
            </w:r>
            <w:r w:rsidR="00B02363">
              <w:t>IEEE</w:t>
            </w:r>
            <w:r>
              <w:br/>
              <w:t xml:space="preserve">Project/Standard Number: </w:t>
            </w:r>
            <w:r w:rsidR="004911CA">
              <w:t>P</w:t>
            </w:r>
            <w:r w:rsidR="00571027">
              <w:t>802.15</w:t>
            </w:r>
            <w:r>
              <w:br/>
              <w:t>Project/Standard Date: 0000-00-00</w:t>
            </w:r>
            <w:r>
              <w:br/>
              <w:t>Project/Standard Title:</w:t>
            </w:r>
            <w:r w:rsidR="00B02363">
              <w:t xml:space="preserve"> </w:t>
            </w:r>
            <w:r w:rsidR="004911CA">
              <w:t>Draft Standard for Wireles</w:t>
            </w:r>
            <w:r w:rsidR="00571027">
              <w:t>s Regional Area Networks Part 15</w:t>
            </w:r>
            <w:r w:rsidR="004911CA">
              <w:t xml:space="preserve">: </w:t>
            </w:r>
            <w:r w:rsidR="00571027" w:rsidRPr="00571027">
              <w:rPr>
                <w:highlight w:val="yellow"/>
              </w:rPr>
              <w:t>Call out 802.15.4g</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4901AA" w:rsidRPr="004901AA" w:rsidRDefault="00E64C46" w:rsidP="004901AA">
            <w:pPr>
              <w:rPr>
                <w:lang w:val="en-US"/>
              </w:rPr>
            </w:pPr>
            <w:r>
              <w:rPr>
                <w:b/>
                <w:bCs/>
              </w:rPr>
              <w:t>7.2 International Standards Activities</w:t>
            </w:r>
            <w:r>
              <w:t xml:space="preserve"> </w:t>
            </w:r>
            <w:r>
              <w:br/>
            </w:r>
            <w:r>
              <w:rPr>
                <w:b/>
                <w:bCs/>
              </w:rPr>
              <w:t>a. Adoptions</w:t>
            </w:r>
            <w:r>
              <w:t xml:space="preserve"> </w:t>
            </w:r>
            <w:r>
              <w:br/>
              <w:t xml:space="preserve"> Is there potential for this standard to be adopted by another organization? </w:t>
            </w:r>
            <w:r w:rsidR="004901AA" w:rsidRPr="004901AA">
              <w:rPr>
                <w:b/>
                <w:bCs/>
                <w:lang w:val="en-US"/>
              </w:rPr>
              <w:t>Do not know at this time</w:t>
            </w:r>
          </w:p>
          <w:p w:rsidR="00E64C46" w:rsidRDefault="00E64C46" w:rsidP="00E64C46">
            <w:r>
              <w:br/>
              <w:t xml:space="preserve"> Organization: </w:t>
            </w:r>
            <w:r>
              <w:br/>
              <w:t xml:space="preserve"> Technical Committee Name: </w:t>
            </w:r>
            <w:r>
              <w:br/>
              <w:t xml:space="preserve"> Technical Committee Number: </w:t>
            </w:r>
            <w:r>
              <w:br/>
            </w:r>
            <w:r>
              <w:lastRenderedPageBreak/>
              <w:t xml:space="preserve"> Contact person Name: </w:t>
            </w:r>
            <w:r>
              <w:br/>
              <w:t xml:space="preserve"> Contact Phone: </w:t>
            </w:r>
            <w:r>
              <w:br/>
              <w:t xml:space="preserve"> Contact Email: </w:t>
            </w:r>
            <w:r>
              <w:br/>
            </w:r>
            <w:r>
              <w:rPr>
                <w:b/>
                <w:bCs/>
              </w:rPr>
              <w:t>b. Joint Development</w:t>
            </w:r>
            <w:r>
              <w:t xml:space="preserve"> </w:t>
            </w:r>
            <w:r>
              <w:br/>
              <w:t> Is it the intent to develop this document jointly with another organization? No</w:t>
            </w:r>
            <w:r>
              <w:br/>
              <w:t xml:space="preserve"> Organization: </w:t>
            </w:r>
            <w:r>
              <w:br/>
              <w:t xml:space="preserve"> Technical Committee Name: </w:t>
            </w:r>
            <w:r>
              <w:br/>
              <w:t xml:space="preserve"> Technical Committee Number: </w:t>
            </w:r>
            <w:r>
              <w:br/>
              <w:t xml:space="preserve"> Contact person Name: </w:t>
            </w:r>
            <w:r>
              <w:br/>
              <w:t xml:space="preserve"> Contact Phone: </w:t>
            </w:r>
            <w:r>
              <w:br/>
              <w:t xml:space="preserve"> Contact Email: </w:t>
            </w:r>
            <w:r>
              <w:br/>
            </w:r>
            <w:r>
              <w:rPr>
                <w:b/>
                <w:bCs/>
              </w:rPr>
              <w:t>c. Harmonization</w:t>
            </w:r>
            <w:r>
              <w:t xml:space="preserve"> </w:t>
            </w:r>
            <w:r>
              <w:br/>
              <w:t> Are you aware of another organization that may be interested in portions of this document in their standardization development efforts? No</w:t>
            </w:r>
            <w:r>
              <w:br/>
              <w:t xml:space="preserve"> Organization: </w:t>
            </w:r>
            <w:r>
              <w:br/>
              <w:t xml:space="preserve"> Technical Committee Name: </w:t>
            </w:r>
            <w:r>
              <w:br/>
              <w:t xml:space="preserve"> Technical Committee Number: </w:t>
            </w:r>
            <w:r>
              <w:br/>
              <w:t xml:space="preserve"> Contact person Name: </w:t>
            </w:r>
            <w:r>
              <w:br/>
              <w:t xml:space="preserve"> Contact Phone: </w:t>
            </w:r>
            <w:r>
              <w:br/>
              <w:t xml:space="preserve"> Contact Email: </w:t>
            </w:r>
          </w:p>
        </w:tc>
      </w:tr>
      <w:tr w:rsidR="00E64C46">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E70796" w:rsidRPr="009A7224" w:rsidRDefault="00E64C46" w:rsidP="00E70796">
            <w:r>
              <w:rPr>
                <w:b/>
                <w:bCs/>
              </w:rPr>
              <w:lastRenderedPageBreak/>
              <w:t xml:space="preserve">8.1 Additional Explanatory Notes: (Item Number and Explanation) </w:t>
            </w:r>
            <w:r>
              <w:br/>
            </w:r>
          </w:p>
          <w:p w:rsidR="00B13FD6" w:rsidRPr="009A7224" w:rsidRDefault="00B13FD6" w:rsidP="00DE06FF"/>
        </w:tc>
      </w:tr>
    </w:tbl>
    <w:p w:rsidR="00E64C46" w:rsidRDefault="00E64C46" w:rsidP="00E64C46">
      <w:pPr>
        <w:pStyle w:val="z-BottomofForm"/>
      </w:pPr>
      <w:r>
        <w:t>Bottom of Form</w:t>
      </w:r>
    </w:p>
    <w:p w:rsidR="00E64C46" w:rsidRDefault="00E97BCB" w:rsidP="00E64C46">
      <w:r>
        <w:pict>
          <v:rect id="_x0000_i1051" style="width:0;height:.75pt" o:hralign="center" o:hrstd="t" o:hrnoshade="t" o:hr="t" fillcolor="#4f657d" stroked="f"/>
        </w:pict>
      </w:r>
    </w:p>
    <w:p w:rsidR="00E64C46" w:rsidRDefault="00E64C46" w:rsidP="00E64C46">
      <w:r>
        <w:t xml:space="preserve">Contact the </w:t>
      </w:r>
      <w:hyperlink r:id="rId33" w:history="1">
        <w:proofErr w:type="spellStart"/>
        <w:r>
          <w:rPr>
            <w:rStyle w:val="Hyperlink"/>
          </w:rPr>
          <w:t>NesCom</w:t>
        </w:r>
        <w:proofErr w:type="spellEnd"/>
        <w:r>
          <w:rPr>
            <w:rStyle w:val="Hyperlink"/>
          </w:rPr>
          <w:t xml:space="preserve"> Administrator</w:t>
        </w:r>
      </w:hyperlink>
    </w:p>
    <w:p w:rsidR="00CA09B2" w:rsidRDefault="00E64C46" w:rsidP="00E64C46">
      <w:r>
        <w:t xml:space="preserve"> </w:t>
      </w:r>
      <w:r w:rsidR="00CA09B2">
        <w:t>[</w:t>
      </w:r>
      <w:proofErr w:type="gramStart"/>
      <w:r w:rsidR="00CA09B2">
        <w:t>place</w:t>
      </w:r>
      <w:proofErr w:type="gramEnd"/>
      <w:r w:rsidR="00CA09B2">
        <w:t xml:space="preserve"> document body text here]</w:t>
      </w:r>
    </w:p>
    <w:p w:rsidR="00CA09B2" w:rsidRDefault="00CA09B2"/>
    <w:p w:rsidR="002A751F" w:rsidRPr="006A587F" w:rsidRDefault="002A751F" w:rsidP="002A751F">
      <w:pPr>
        <w:pStyle w:val="Heading1"/>
      </w:pPr>
      <w:r>
        <w:br w:type="page"/>
      </w:r>
      <w:r>
        <w:lastRenderedPageBreak/>
        <w:t>Five Criteria</w:t>
      </w:r>
    </w:p>
    <w:p w:rsidR="002A751F" w:rsidRPr="006A587F" w:rsidRDefault="002A751F" w:rsidP="002A751F">
      <w:pPr>
        <w:numPr>
          <w:ilvl w:val="0"/>
          <w:numId w:val="1"/>
        </w:numPr>
        <w:autoSpaceDE w:val="0"/>
        <w:autoSpaceDN w:val="0"/>
        <w:adjustRightInd w:val="0"/>
        <w:spacing w:before="240" w:after="60"/>
        <w:outlineLvl w:val="2"/>
        <w:rPr>
          <w:rFonts w:eastAsia="MS Mincho"/>
          <w:sz w:val="24"/>
          <w:szCs w:val="24"/>
          <w:lang w:val="en-US" w:eastAsia="ja-JP"/>
        </w:rPr>
      </w:pPr>
      <w:r w:rsidRPr="006A587F">
        <w:rPr>
          <w:rFonts w:eastAsia="MS Mincho"/>
          <w:b/>
          <w:bCs/>
          <w:sz w:val="24"/>
          <w:szCs w:val="24"/>
          <w:lang w:val="en-US" w:eastAsia="ja-JP"/>
        </w:rPr>
        <w:t xml:space="preserve">17.5.1 Broad Market Potential </w:t>
      </w:r>
    </w:p>
    <w:p w:rsidR="002A751F" w:rsidRPr="006A587F" w:rsidRDefault="002A751F" w:rsidP="002A751F">
      <w:pPr>
        <w:autoSpaceDE w:val="0"/>
        <w:autoSpaceDN w:val="0"/>
        <w:adjustRightInd w:val="0"/>
        <w:rPr>
          <w:rFonts w:eastAsia="MS Mincho"/>
          <w:sz w:val="24"/>
          <w:szCs w:val="24"/>
          <w:lang w:val="en-US" w:eastAsia="ja-JP"/>
        </w:rPr>
      </w:pPr>
    </w:p>
    <w:p w:rsidR="002A751F" w:rsidRPr="00940450" w:rsidRDefault="002A751F" w:rsidP="002A751F">
      <w:pPr>
        <w:autoSpaceDE w:val="0"/>
        <w:autoSpaceDN w:val="0"/>
        <w:adjustRightInd w:val="0"/>
        <w:rPr>
          <w:rFonts w:eastAsia="MS Mincho"/>
          <w:b/>
          <w:sz w:val="24"/>
          <w:szCs w:val="24"/>
          <w:lang w:val="en-US" w:eastAsia="ja-JP"/>
        </w:rPr>
      </w:pPr>
      <w:r w:rsidRPr="00940450">
        <w:rPr>
          <w:rFonts w:eastAsia="MS Mincho"/>
          <w:b/>
          <w:sz w:val="24"/>
          <w:szCs w:val="24"/>
          <w:lang w:val="en-US" w:eastAsia="ja-JP"/>
        </w:rPr>
        <w:t xml:space="preserve">A standards project authorized by IEEE 802 shall have a broad market potential. Specifically, it shall have the potential for: </w:t>
      </w:r>
    </w:p>
    <w:p w:rsidR="002A751F" w:rsidRDefault="002A751F" w:rsidP="002A751F">
      <w:pPr>
        <w:autoSpaceDE w:val="0"/>
        <w:autoSpaceDN w:val="0"/>
        <w:adjustRightInd w:val="0"/>
        <w:rPr>
          <w:rFonts w:eastAsia="MS Mincho"/>
          <w:b/>
          <w:sz w:val="24"/>
          <w:szCs w:val="24"/>
          <w:lang w:val="en-US" w:eastAsia="ja-JP"/>
        </w:rPr>
      </w:pPr>
      <w:r w:rsidRPr="00940450">
        <w:rPr>
          <w:rFonts w:eastAsia="MS Mincho"/>
          <w:b/>
          <w:sz w:val="24"/>
          <w:szCs w:val="24"/>
          <w:lang w:val="en-US" w:eastAsia="ja-JP"/>
        </w:rPr>
        <w:t xml:space="preserve">a) Broad sets of applicability. </w:t>
      </w:r>
      <w:r w:rsidR="00924D84">
        <w:t>T</w:t>
      </w:r>
      <w:r w:rsidR="007435FE">
        <w:t>here are a number of unlicensed bands below 1 GHz. For instance, t</w:t>
      </w:r>
      <w:r w:rsidR="00924D84">
        <w:t>he 902-928 MHz ISM band i</w:t>
      </w:r>
      <w:r w:rsidR="007435FE">
        <w:t>s available in the U.S.</w:t>
      </w:r>
    </w:p>
    <w:p w:rsidR="00564EB3" w:rsidRPr="00626584" w:rsidRDefault="00564EB3" w:rsidP="002A751F">
      <w:pPr>
        <w:autoSpaceDE w:val="0"/>
        <w:autoSpaceDN w:val="0"/>
        <w:adjustRightInd w:val="0"/>
        <w:rPr>
          <w:rFonts w:eastAsia="MS Mincho"/>
          <w:b/>
          <w:sz w:val="24"/>
          <w:szCs w:val="22"/>
          <w:lang w:val="en-US" w:eastAsia="ja-JP"/>
        </w:rPr>
      </w:pPr>
    </w:p>
    <w:p w:rsidR="002A751F" w:rsidRDefault="002A751F" w:rsidP="002A751F">
      <w:pPr>
        <w:autoSpaceDE w:val="0"/>
        <w:autoSpaceDN w:val="0"/>
        <w:adjustRightInd w:val="0"/>
        <w:rPr>
          <w:rFonts w:eastAsia="MS Mincho"/>
          <w:b/>
          <w:sz w:val="24"/>
          <w:szCs w:val="24"/>
          <w:lang w:val="en-US" w:eastAsia="ja-JP"/>
        </w:rPr>
      </w:pPr>
      <w:r>
        <w:rPr>
          <w:rFonts w:eastAsia="MS Mincho"/>
          <w:b/>
          <w:sz w:val="24"/>
          <w:szCs w:val="24"/>
          <w:lang w:val="en-US" w:eastAsia="ja-JP"/>
        </w:rPr>
        <w:t xml:space="preserve">b) Multiple </w:t>
      </w:r>
      <w:r w:rsidRPr="00940450">
        <w:rPr>
          <w:rFonts w:eastAsia="MS Mincho"/>
          <w:b/>
          <w:sz w:val="24"/>
          <w:szCs w:val="24"/>
          <w:lang w:val="en-US" w:eastAsia="ja-JP"/>
        </w:rPr>
        <w:t xml:space="preserve">vendors and numerous users. </w:t>
      </w:r>
      <w:r w:rsidR="00924D84">
        <w:t xml:space="preserve">There are a number of vendors that run IEEE 802.11 on 900 </w:t>
      </w:r>
      <w:proofErr w:type="spellStart"/>
      <w:r w:rsidR="00924D84">
        <w:t>MHz.</w:t>
      </w:r>
      <w:proofErr w:type="spellEnd"/>
      <w:r w:rsidR="00924D84">
        <w:t xml:space="preserve"> Standardization is needed for interoperability.</w:t>
      </w:r>
    </w:p>
    <w:p w:rsidR="00564EB3" w:rsidRPr="008500EF" w:rsidRDefault="00564EB3" w:rsidP="002A751F">
      <w:pPr>
        <w:autoSpaceDE w:val="0"/>
        <w:autoSpaceDN w:val="0"/>
        <w:adjustRightInd w:val="0"/>
        <w:rPr>
          <w:rFonts w:eastAsia="MS Mincho"/>
          <w:szCs w:val="22"/>
        </w:rPr>
      </w:pPr>
    </w:p>
    <w:p w:rsidR="002A751F" w:rsidRDefault="002A751F" w:rsidP="002A751F">
      <w:pPr>
        <w:autoSpaceDE w:val="0"/>
        <w:autoSpaceDN w:val="0"/>
        <w:adjustRightInd w:val="0"/>
        <w:rPr>
          <w:color w:val="000000"/>
          <w:szCs w:val="22"/>
        </w:rPr>
      </w:pPr>
      <w:r w:rsidRPr="00940450">
        <w:rPr>
          <w:rFonts w:eastAsia="MS Mincho"/>
          <w:b/>
          <w:sz w:val="24"/>
          <w:szCs w:val="24"/>
          <w:lang w:val="en-US" w:eastAsia="ja-JP"/>
        </w:rPr>
        <w:t xml:space="preserve">c) Balanced costs (LAN versus attached stations). </w:t>
      </w:r>
      <w:r w:rsidR="00924D84">
        <w:t>O</w:t>
      </w:r>
      <w:r w:rsidR="007435FE">
        <w:t>peration below 1 GHz</w:t>
      </w:r>
      <w:r w:rsidR="00924D84">
        <w:t xml:space="preserve"> is not expected to impact the cost of clients versus base stations, which is expected to be the same as the 5 GHz bands.</w:t>
      </w:r>
    </w:p>
    <w:p w:rsidR="00721DF7" w:rsidRDefault="00721DF7" w:rsidP="002A751F">
      <w:pPr>
        <w:autoSpaceDE w:val="0"/>
        <w:autoSpaceDN w:val="0"/>
        <w:adjustRightInd w:val="0"/>
        <w:rPr>
          <w:color w:val="000000"/>
          <w:szCs w:val="22"/>
        </w:rPr>
      </w:pPr>
    </w:p>
    <w:p w:rsidR="00721DF7" w:rsidRDefault="00721DF7" w:rsidP="002A751F">
      <w:pPr>
        <w:autoSpaceDE w:val="0"/>
        <w:autoSpaceDN w:val="0"/>
        <w:adjustRightInd w:val="0"/>
        <w:rPr>
          <w:color w:val="000000"/>
          <w:szCs w:val="22"/>
        </w:rPr>
      </w:pPr>
    </w:p>
    <w:p w:rsidR="00721DF7" w:rsidRDefault="00721DF7" w:rsidP="002A751F">
      <w:pPr>
        <w:autoSpaceDE w:val="0"/>
        <w:autoSpaceDN w:val="0"/>
        <w:adjustRightInd w:val="0"/>
        <w:rPr>
          <w:color w:val="000000"/>
          <w:szCs w:val="22"/>
        </w:rPr>
      </w:pPr>
    </w:p>
    <w:p w:rsidR="00721DF7" w:rsidRDefault="00721DF7" w:rsidP="002A751F">
      <w:pPr>
        <w:autoSpaceDE w:val="0"/>
        <w:autoSpaceDN w:val="0"/>
        <w:adjustRightInd w:val="0"/>
        <w:rPr>
          <w:color w:val="000000"/>
          <w:szCs w:val="22"/>
        </w:rPr>
      </w:pPr>
    </w:p>
    <w:p w:rsidR="00721DF7" w:rsidRDefault="00721DF7" w:rsidP="002A751F">
      <w:pPr>
        <w:autoSpaceDE w:val="0"/>
        <w:autoSpaceDN w:val="0"/>
        <w:adjustRightInd w:val="0"/>
        <w:rPr>
          <w:color w:val="000000"/>
          <w:szCs w:val="22"/>
        </w:rPr>
      </w:pPr>
    </w:p>
    <w:p w:rsidR="00721DF7" w:rsidRDefault="00721DF7" w:rsidP="002A751F">
      <w:pPr>
        <w:autoSpaceDE w:val="0"/>
        <w:autoSpaceDN w:val="0"/>
        <w:adjustRightInd w:val="0"/>
        <w:rPr>
          <w:rFonts w:eastAsia="MS Mincho"/>
          <w:b/>
          <w:sz w:val="24"/>
          <w:szCs w:val="24"/>
          <w:lang w:val="en-US" w:eastAsia="ja-JP"/>
        </w:rPr>
      </w:pPr>
    </w:p>
    <w:p w:rsidR="002A751F" w:rsidRPr="00564EB3" w:rsidRDefault="002A751F" w:rsidP="00564EB3">
      <w:pPr>
        <w:numPr>
          <w:ilvl w:val="0"/>
          <w:numId w:val="2"/>
        </w:numPr>
        <w:autoSpaceDE w:val="0"/>
        <w:autoSpaceDN w:val="0"/>
        <w:adjustRightInd w:val="0"/>
        <w:spacing w:before="240" w:after="60"/>
        <w:outlineLvl w:val="2"/>
        <w:rPr>
          <w:rFonts w:eastAsia="MS Mincho"/>
          <w:sz w:val="24"/>
          <w:szCs w:val="24"/>
          <w:lang w:val="en-US" w:eastAsia="ja-JP"/>
        </w:rPr>
      </w:pPr>
      <w:r w:rsidRPr="00564EB3">
        <w:rPr>
          <w:rFonts w:eastAsia="MS Mincho"/>
          <w:b/>
          <w:bCs/>
          <w:sz w:val="24"/>
          <w:szCs w:val="24"/>
          <w:lang w:val="en-US" w:eastAsia="ja-JP"/>
        </w:rPr>
        <w:t xml:space="preserve">17.5.2 Compatibility </w:t>
      </w:r>
    </w:p>
    <w:p w:rsidR="002A751F" w:rsidRPr="006A587F" w:rsidRDefault="002A751F" w:rsidP="002A751F">
      <w:pPr>
        <w:autoSpaceDE w:val="0"/>
        <w:autoSpaceDN w:val="0"/>
        <w:adjustRightInd w:val="0"/>
        <w:rPr>
          <w:rFonts w:eastAsia="MS Mincho"/>
          <w:sz w:val="24"/>
          <w:szCs w:val="24"/>
          <w:lang w:val="en-US" w:eastAsia="ja-JP"/>
        </w:rPr>
      </w:pPr>
    </w:p>
    <w:p w:rsidR="002A751F" w:rsidRPr="00940450" w:rsidRDefault="002A751F" w:rsidP="002A751F">
      <w:pPr>
        <w:autoSpaceDE w:val="0"/>
        <w:autoSpaceDN w:val="0"/>
        <w:adjustRightInd w:val="0"/>
        <w:rPr>
          <w:rFonts w:eastAsia="MS Mincho"/>
          <w:b/>
          <w:sz w:val="24"/>
          <w:szCs w:val="24"/>
          <w:lang w:val="en-US" w:eastAsia="ja-JP"/>
        </w:rPr>
      </w:pPr>
      <w:r w:rsidRPr="00940450">
        <w:rPr>
          <w:rFonts w:eastAsia="MS Mincho"/>
          <w:b/>
          <w:sz w:val="24"/>
          <w:szCs w:val="24"/>
          <w:lang w:val="en-US" w:eastAsia="ja-JP"/>
        </w:rPr>
        <w:t xml:space="preserve">IEEE 802 defines a family of standards. All standards shall be in conformance with the IEEE 802.1 Architecture, Management, and Interworking documents as follows: 802. </w:t>
      </w:r>
      <w:proofErr w:type="gramStart"/>
      <w:r w:rsidRPr="00940450">
        <w:rPr>
          <w:rFonts w:eastAsia="MS Mincho"/>
          <w:b/>
          <w:sz w:val="24"/>
          <w:szCs w:val="24"/>
          <w:lang w:val="en-US" w:eastAsia="ja-JP"/>
        </w:rPr>
        <w:t>Overview and Architecture, 802.1D, 802.1Q, and parts of 802.1f.</w:t>
      </w:r>
      <w:proofErr w:type="gramEnd"/>
      <w:r w:rsidRPr="00940450">
        <w:rPr>
          <w:rFonts w:eastAsia="MS Mincho"/>
          <w:b/>
          <w:sz w:val="24"/>
          <w:szCs w:val="24"/>
          <w:lang w:val="en-US" w:eastAsia="ja-JP"/>
        </w:rPr>
        <w:t xml:space="preserve"> If any variances in conformance emerge, they shall be thoroughly disclosed and reviewed with 802. </w:t>
      </w:r>
    </w:p>
    <w:p w:rsidR="002A751F" w:rsidRPr="00940450" w:rsidRDefault="002A751F" w:rsidP="002A751F">
      <w:pPr>
        <w:autoSpaceDE w:val="0"/>
        <w:autoSpaceDN w:val="0"/>
        <w:adjustRightInd w:val="0"/>
        <w:rPr>
          <w:rFonts w:eastAsia="MS Mincho"/>
          <w:b/>
          <w:sz w:val="24"/>
          <w:szCs w:val="24"/>
          <w:lang w:val="en-US" w:eastAsia="ja-JP"/>
        </w:rPr>
      </w:pPr>
      <w:r w:rsidRPr="00940450">
        <w:rPr>
          <w:rFonts w:eastAsia="MS Mincho"/>
          <w:b/>
          <w:sz w:val="24"/>
          <w:szCs w:val="24"/>
          <w:lang w:val="en-US" w:eastAsia="ja-JP"/>
        </w:rPr>
        <w:t xml:space="preserve">Each standard in the IEEE 802 family of standards shall include a definition of managed objects that are compatible with systems management standards. </w:t>
      </w:r>
    </w:p>
    <w:p w:rsidR="002A751F" w:rsidRDefault="002A751F" w:rsidP="002A751F">
      <w:pPr>
        <w:autoSpaceDE w:val="0"/>
        <w:autoSpaceDN w:val="0"/>
        <w:adjustRightInd w:val="0"/>
        <w:rPr>
          <w:rFonts w:eastAsia="MS Mincho"/>
          <w:sz w:val="24"/>
          <w:szCs w:val="24"/>
          <w:lang w:val="en-US" w:eastAsia="ja-JP"/>
        </w:rPr>
      </w:pPr>
    </w:p>
    <w:p w:rsidR="002A751F" w:rsidRDefault="002A751F" w:rsidP="002A751F">
      <w:pPr>
        <w:autoSpaceDE w:val="0"/>
        <w:autoSpaceDN w:val="0"/>
        <w:adjustRightInd w:val="0"/>
        <w:rPr>
          <w:rFonts w:eastAsia="MS Mincho"/>
          <w:szCs w:val="22"/>
          <w:lang w:val="en-US" w:eastAsia="ja-JP"/>
        </w:rPr>
      </w:pPr>
      <w:r w:rsidRPr="009E2233">
        <w:rPr>
          <w:rFonts w:eastAsia="MS Mincho"/>
          <w:szCs w:val="22"/>
          <w:lang w:val="en-US" w:eastAsia="ja-JP"/>
        </w:rPr>
        <w:t xml:space="preserve">Compatibility with IEEE 802 requirements will result from keeping the MAC SAP interface the same as for the existing 802.11 standard.  The </w:t>
      </w:r>
      <w:r w:rsidRPr="00AF1B5B">
        <w:rPr>
          <w:rFonts w:eastAsia="MS Mincho"/>
          <w:szCs w:val="22"/>
          <w:lang w:val="en-US" w:eastAsia="ja-JP"/>
        </w:rPr>
        <w:t>proposed amendment s</w:t>
      </w:r>
      <w:r w:rsidRPr="009E2233">
        <w:rPr>
          <w:rFonts w:eastAsia="MS Mincho"/>
          <w:szCs w:val="22"/>
          <w:lang w:val="en-US" w:eastAsia="ja-JP"/>
        </w:rPr>
        <w:t>hall introduce no 802.1 architectural changes.  The MAC SAP definition shall not be altered, ensuring that all LLC and MAC interfaces are compatible to and in conformance with the IEEE 802.1 Architecture, Management and Internetworking standards.  New managed objects shall be defined as necessary in a format and structure consistent with existing 802.11 managed objects.</w:t>
      </w:r>
    </w:p>
    <w:p w:rsidR="00721DF7" w:rsidRPr="009E2233" w:rsidRDefault="00721DF7" w:rsidP="002A751F">
      <w:pPr>
        <w:autoSpaceDE w:val="0"/>
        <w:autoSpaceDN w:val="0"/>
        <w:adjustRightInd w:val="0"/>
        <w:rPr>
          <w:rFonts w:eastAsia="MS Mincho"/>
          <w:szCs w:val="22"/>
          <w:lang w:val="en-US" w:eastAsia="ja-JP"/>
        </w:rPr>
      </w:pPr>
    </w:p>
    <w:p w:rsidR="002A751F" w:rsidRPr="006A587F" w:rsidRDefault="002A751F" w:rsidP="002A751F">
      <w:pPr>
        <w:numPr>
          <w:ilvl w:val="0"/>
          <w:numId w:val="3"/>
        </w:numPr>
        <w:autoSpaceDE w:val="0"/>
        <w:autoSpaceDN w:val="0"/>
        <w:adjustRightInd w:val="0"/>
        <w:spacing w:before="240" w:after="60"/>
        <w:outlineLvl w:val="2"/>
        <w:rPr>
          <w:rFonts w:eastAsia="MS Mincho"/>
          <w:sz w:val="24"/>
          <w:szCs w:val="24"/>
          <w:lang w:val="en-US" w:eastAsia="ja-JP"/>
        </w:rPr>
      </w:pPr>
      <w:r>
        <w:rPr>
          <w:rFonts w:eastAsia="MS Mincho"/>
          <w:b/>
          <w:bCs/>
          <w:sz w:val="24"/>
          <w:szCs w:val="24"/>
          <w:lang w:val="en-US" w:eastAsia="ja-JP"/>
        </w:rPr>
        <w:t>1</w:t>
      </w:r>
      <w:r w:rsidRPr="006A587F">
        <w:rPr>
          <w:rFonts w:eastAsia="MS Mincho"/>
          <w:b/>
          <w:bCs/>
          <w:sz w:val="24"/>
          <w:szCs w:val="24"/>
          <w:lang w:val="en-US" w:eastAsia="ja-JP"/>
        </w:rPr>
        <w:t xml:space="preserve">7.5.3 Distinct Identity </w:t>
      </w:r>
    </w:p>
    <w:p w:rsidR="002A751F" w:rsidRPr="006A587F" w:rsidRDefault="002A751F" w:rsidP="002A751F">
      <w:pPr>
        <w:autoSpaceDE w:val="0"/>
        <w:autoSpaceDN w:val="0"/>
        <w:adjustRightInd w:val="0"/>
        <w:rPr>
          <w:rFonts w:eastAsia="MS Mincho"/>
          <w:sz w:val="24"/>
          <w:szCs w:val="24"/>
          <w:lang w:val="en-US" w:eastAsia="ja-JP"/>
        </w:rPr>
      </w:pPr>
    </w:p>
    <w:p w:rsidR="00D438FC" w:rsidRDefault="002A751F" w:rsidP="002A751F">
      <w:pPr>
        <w:autoSpaceDE w:val="0"/>
        <w:autoSpaceDN w:val="0"/>
        <w:adjustRightInd w:val="0"/>
        <w:rPr>
          <w:rFonts w:eastAsia="MS Mincho"/>
          <w:b/>
          <w:sz w:val="24"/>
          <w:szCs w:val="24"/>
          <w:lang w:val="en-US" w:eastAsia="ja-JP"/>
        </w:rPr>
      </w:pPr>
      <w:r w:rsidRPr="00940450">
        <w:rPr>
          <w:rFonts w:eastAsia="MS Mincho"/>
          <w:b/>
          <w:sz w:val="24"/>
          <w:szCs w:val="24"/>
          <w:lang w:val="en-US" w:eastAsia="ja-JP"/>
        </w:rPr>
        <w:t>Each IEEE 802 standard shall have a distinct identity. To achieve this, each authorized project shall be:</w:t>
      </w:r>
    </w:p>
    <w:p w:rsidR="002A751F" w:rsidRPr="00940450" w:rsidRDefault="002A751F" w:rsidP="002A751F">
      <w:pPr>
        <w:autoSpaceDE w:val="0"/>
        <w:autoSpaceDN w:val="0"/>
        <w:adjustRightInd w:val="0"/>
        <w:rPr>
          <w:rFonts w:eastAsia="MS Mincho"/>
          <w:b/>
          <w:sz w:val="24"/>
          <w:szCs w:val="24"/>
          <w:lang w:val="en-US" w:eastAsia="ja-JP"/>
        </w:rPr>
      </w:pPr>
      <w:r w:rsidRPr="00940450">
        <w:rPr>
          <w:rFonts w:eastAsia="MS Mincho"/>
          <w:b/>
          <w:sz w:val="24"/>
          <w:szCs w:val="24"/>
          <w:lang w:val="en-US" w:eastAsia="ja-JP"/>
        </w:rPr>
        <w:t xml:space="preserve"> </w:t>
      </w:r>
    </w:p>
    <w:p w:rsidR="00A30F08" w:rsidRDefault="002A751F" w:rsidP="00D438FC">
      <w:pPr>
        <w:numPr>
          <w:ilvl w:val="0"/>
          <w:numId w:val="8"/>
        </w:numPr>
        <w:autoSpaceDE w:val="0"/>
        <w:autoSpaceDN w:val="0"/>
        <w:adjustRightInd w:val="0"/>
        <w:rPr>
          <w:szCs w:val="22"/>
        </w:rPr>
      </w:pPr>
      <w:r w:rsidRPr="00940450">
        <w:rPr>
          <w:rFonts w:eastAsia="MS Mincho"/>
          <w:b/>
          <w:sz w:val="24"/>
          <w:szCs w:val="24"/>
          <w:lang w:val="en-US" w:eastAsia="ja-JP"/>
        </w:rPr>
        <w:t xml:space="preserve">Substantially different from other IEEE 802 standards. </w:t>
      </w:r>
      <w:r w:rsidR="00D438FC">
        <w:rPr>
          <w:szCs w:val="22"/>
        </w:rPr>
        <w:t>IEEE 802.11 does not currently cover</w:t>
      </w:r>
      <w:r w:rsidR="00763358">
        <w:rPr>
          <w:szCs w:val="22"/>
        </w:rPr>
        <w:t xml:space="preserve"> unlicensed</w:t>
      </w:r>
      <w:r w:rsidR="00D438FC">
        <w:rPr>
          <w:szCs w:val="22"/>
        </w:rPr>
        <w:t xml:space="preserve"> o</w:t>
      </w:r>
      <w:r w:rsidR="00763358">
        <w:rPr>
          <w:szCs w:val="22"/>
        </w:rPr>
        <w:t xml:space="preserve">peration below 1 </w:t>
      </w:r>
      <w:proofErr w:type="gramStart"/>
      <w:r w:rsidR="00763358">
        <w:rPr>
          <w:szCs w:val="22"/>
        </w:rPr>
        <w:t xml:space="preserve">GHz </w:t>
      </w:r>
      <w:r w:rsidR="00587D6C" w:rsidRPr="003A6F36">
        <w:rPr>
          <w:szCs w:val="22"/>
        </w:rPr>
        <w:t>.</w:t>
      </w:r>
      <w:proofErr w:type="gramEnd"/>
      <w:r w:rsidR="00587D6C" w:rsidRPr="003A6F36">
        <w:rPr>
          <w:szCs w:val="22"/>
        </w:rPr>
        <w:t xml:space="preserve"> </w:t>
      </w:r>
    </w:p>
    <w:p w:rsidR="00795210" w:rsidRDefault="00795210" w:rsidP="002A751F">
      <w:pPr>
        <w:autoSpaceDE w:val="0"/>
        <w:autoSpaceDN w:val="0"/>
        <w:adjustRightInd w:val="0"/>
        <w:rPr>
          <w:szCs w:val="22"/>
        </w:rPr>
      </w:pPr>
    </w:p>
    <w:p w:rsidR="002A751F" w:rsidRDefault="002A751F" w:rsidP="002A751F">
      <w:pPr>
        <w:autoSpaceDE w:val="0"/>
        <w:autoSpaceDN w:val="0"/>
        <w:adjustRightInd w:val="0"/>
        <w:rPr>
          <w:rFonts w:eastAsia="MS Mincho"/>
          <w:b/>
          <w:sz w:val="24"/>
          <w:szCs w:val="24"/>
          <w:lang w:val="en-US" w:eastAsia="ja-JP"/>
        </w:rPr>
      </w:pPr>
    </w:p>
    <w:p w:rsidR="00B639D2" w:rsidRPr="00AE6DAE" w:rsidRDefault="002A751F" w:rsidP="00D438FC">
      <w:pPr>
        <w:numPr>
          <w:ilvl w:val="0"/>
          <w:numId w:val="8"/>
        </w:numPr>
        <w:autoSpaceDE w:val="0"/>
        <w:autoSpaceDN w:val="0"/>
        <w:adjustRightInd w:val="0"/>
        <w:rPr>
          <w:i/>
          <w:color w:val="0066FF"/>
          <w:szCs w:val="22"/>
          <w:u w:val="single"/>
        </w:rPr>
      </w:pPr>
      <w:r w:rsidRPr="00940450">
        <w:rPr>
          <w:rFonts w:eastAsia="MS Mincho"/>
          <w:b/>
          <w:sz w:val="24"/>
          <w:szCs w:val="24"/>
          <w:lang w:val="en-US" w:eastAsia="ja-JP"/>
        </w:rPr>
        <w:t xml:space="preserve">One unique solution per problem (not two solutions to a problem). </w:t>
      </w:r>
      <w:r w:rsidR="004F6470">
        <w:t xml:space="preserve">The 802.11 Project will define </w:t>
      </w:r>
      <w:r w:rsidR="00D438FC">
        <w:t xml:space="preserve">channel widths and </w:t>
      </w:r>
      <w:proofErr w:type="spellStart"/>
      <w:r w:rsidR="00D438FC">
        <w:t>center</w:t>
      </w:r>
      <w:proofErr w:type="spellEnd"/>
      <w:r w:rsidR="00D438FC">
        <w:t xml:space="preserve"> frequencies for interoperability.</w:t>
      </w:r>
    </w:p>
    <w:p w:rsidR="002A751F" w:rsidRDefault="002A751F" w:rsidP="002A751F">
      <w:pPr>
        <w:autoSpaceDE w:val="0"/>
        <w:autoSpaceDN w:val="0"/>
        <w:adjustRightInd w:val="0"/>
        <w:rPr>
          <w:rFonts w:eastAsia="MS Mincho"/>
          <w:b/>
          <w:sz w:val="24"/>
          <w:szCs w:val="24"/>
          <w:lang w:val="en-US" w:eastAsia="ja-JP"/>
        </w:rPr>
      </w:pPr>
    </w:p>
    <w:p w:rsidR="002A751F" w:rsidRDefault="002A751F" w:rsidP="002A751F">
      <w:pPr>
        <w:pStyle w:val="BodyText"/>
        <w:ind w:left="720"/>
        <w:rPr>
          <w:rFonts w:eastAsia="MS Mincho"/>
          <w:b/>
          <w:sz w:val="24"/>
          <w:szCs w:val="24"/>
          <w:lang w:val="en-US" w:eastAsia="ja-JP"/>
        </w:rPr>
      </w:pPr>
    </w:p>
    <w:p w:rsidR="002A751F" w:rsidRPr="00940450" w:rsidRDefault="002A751F" w:rsidP="00D438FC">
      <w:pPr>
        <w:numPr>
          <w:ilvl w:val="0"/>
          <w:numId w:val="8"/>
        </w:numPr>
        <w:autoSpaceDE w:val="0"/>
        <w:autoSpaceDN w:val="0"/>
        <w:adjustRightInd w:val="0"/>
        <w:rPr>
          <w:rFonts w:eastAsia="MS Mincho"/>
          <w:b/>
          <w:sz w:val="24"/>
          <w:szCs w:val="24"/>
          <w:lang w:val="en-US" w:eastAsia="ja-JP"/>
        </w:rPr>
      </w:pPr>
      <w:r w:rsidRPr="00940450">
        <w:rPr>
          <w:rFonts w:eastAsia="MS Mincho"/>
          <w:b/>
          <w:sz w:val="24"/>
          <w:szCs w:val="24"/>
          <w:lang w:val="en-US" w:eastAsia="ja-JP"/>
        </w:rPr>
        <w:t xml:space="preserve">Easy for the document reader to select the relevant specification. </w:t>
      </w:r>
      <w:r w:rsidR="00587D6C">
        <w:t>The Project will produce an amendment to the IEEE 802.11 specification.</w:t>
      </w:r>
    </w:p>
    <w:p w:rsidR="00564EB3" w:rsidRPr="00055A43" w:rsidRDefault="00564EB3" w:rsidP="002A751F">
      <w:pPr>
        <w:overflowPunct w:val="0"/>
        <w:autoSpaceDE w:val="0"/>
        <w:autoSpaceDN w:val="0"/>
        <w:adjustRightInd w:val="0"/>
        <w:rPr>
          <w:color w:val="000000"/>
          <w:szCs w:val="22"/>
        </w:rPr>
      </w:pPr>
    </w:p>
    <w:p w:rsidR="002A751F" w:rsidRPr="006A587F" w:rsidRDefault="002A751F" w:rsidP="002A751F">
      <w:pPr>
        <w:numPr>
          <w:ilvl w:val="0"/>
          <w:numId w:val="4"/>
        </w:numPr>
        <w:autoSpaceDE w:val="0"/>
        <w:autoSpaceDN w:val="0"/>
        <w:adjustRightInd w:val="0"/>
        <w:spacing w:before="240" w:after="60"/>
        <w:outlineLvl w:val="2"/>
        <w:rPr>
          <w:rFonts w:eastAsia="MS Mincho"/>
          <w:sz w:val="24"/>
          <w:szCs w:val="24"/>
          <w:lang w:val="en-US" w:eastAsia="ja-JP"/>
        </w:rPr>
      </w:pPr>
      <w:r w:rsidRPr="006A587F">
        <w:rPr>
          <w:rFonts w:eastAsia="MS Mincho"/>
          <w:b/>
          <w:bCs/>
          <w:sz w:val="24"/>
          <w:szCs w:val="24"/>
          <w:lang w:val="en-US" w:eastAsia="ja-JP"/>
        </w:rPr>
        <w:t xml:space="preserve">17.5.4 Technical Feasibility </w:t>
      </w:r>
    </w:p>
    <w:p w:rsidR="002A751F" w:rsidRPr="006A587F" w:rsidRDefault="002A751F" w:rsidP="002A751F">
      <w:pPr>
        <w:autoSpaceDE w:val="0"/>
        <w:autoSpaceDN w:val="0"/>
        <w:adjustRightInd w:val="0"/>
        <w:rPr>
          <w:rFonts w:eastAsia="MS Mincho"/>
          <w:sz w:val="24"/>
          <w:szCs w:val="24"/>
          <w:lang w:val="en-US" w:eastAsia="ja-JP"/>
        </w:rPr>
      </w:pPr>
    </w:p>
    <w:p w:rsidR="002A751F" w:rsidRPr="00D04AA9" w:rsidRDefault="002A751F" w:rsidP="002A751F">
      <w:pPr>
        <w:autoSpaceDE w:val="0"/>
        <w:autoSpaceDN w:val="0"/>
        <w:adjustRightInd w:val="0"/>
        <w:rPr>
          <w:rFonts w:eastAsia="MS Mincho"/>
          <w:b/>
          <w:sz w:val="24"/>
          <w:szCs w:val="24"/>
          <w:lang w:val="en-US" w:eastAsia="ja-JP"/>
        </w:rPr>
      </w:pPr>
      <w:r w:rsidRPr="00D04AA9">
        <w:rPr>
          <w:rFonts w:eastAsia="MS Mincho"/>
          <w:b/>
          <w:sz w:val="24"/>
          <w:szCs w:val="24"/>
          <w:lang w:val="en-US" w:eastAsia="ja-JP"/>
        </w:rPr>
        <w:t xml:space="preserve">For a project to be authorized, it shall be able to show its technical feasibility. At a minimum, the proposed project shall show: </w:t>
      </w:r>
    </w:p>
    <w:p w:rsidR="002A751F" w:rsidRDefault="002A751F" w:rsidP="002A751F">
      <w:pPr>
        <w:autoSpaceDE w:val="0"/>
        <w:autoSpaceDN w:val="0"/>
        <w:adjustRightInd w:val="0"/>
        <w:rPr>
          <w:rFonts w:eastAsia="MS Mincho"/>
          <w:b/>
          <w:sz w:val="24"/>
          <w:szCs w:val="24"/>
          <w:lang w:val="en-US" w:eastAsia="ja-JP"/>
        </w:rPr>
      </w:pPr>
      <w:r w:rsidRPr="00D04AA9">
        <w:rPr>
          <w:rFonts w:eastAsia="MS Mincho"/>
          <w:b/>
          <w:sz w:val="24"/>
          <w:szCs w:val="24"/>
          <w:lang w:val="en-US" w:eastAsia="ja-JP"/>
        </w:rPr>
        <w:t xml:space="preserve">a) Demonstrated system feasibility. </w:t>
      </w:r>
      <w:r w:rsidR="00D438FC">
        <w:t>Equipment that conforms to IEEE 802</w:t>
      </w:r>
      <w:r w:rsidR="00763358">
        <w:t xml:space="preserve">.11a </w:t>
      </w:r>
      <w:proofErr w:type="gramStart"/>
      <w:r w:rsidR="00763358">
        <w:t>are</w:t>
      </w:r>
      <w:proofErr w:type="gramEnd"/>
      <w:r w:rsidR="00763358">
        <w:t xml:space="preserve"> in use today in the 902-928</w:t>
      </w:r>
      <w:r w:rsidR="00D438FC">
        <w:t xml:space="preserve"> MHz ISM band.</w:t>
      </w:r>
    </w:p>
    <w:p w:rsidR="00564EB3" w:rsidRPr="0020774C" w:rsidRDefault="00564EB3" w:rsidP="002A751F">
      <w:pPr>
        <w:autoSpaceDE w:val="0"/>
        <w:autoSpaceDN w:val="0"/>
        <w:adjustRightInd w:val="0"/>
        <w:rPr>
          <w:rFonts w:eastAsia="MS Mincho"/>
          <w:sz w:val="24"/>
          <w:szCs w:val="24"/>
          <w:lang w:val="en-US" w:eastAsia="ja-JP"/>
        </w:rPr>
      </w:pPr>
    </w:p>
    <w:p w:rsidR="002A751F" w:rsidRPr="00D04AA9" w:rsidRDefault="002A751F" w:rsidP="002A751F">
      <w:pPr>
        <w:autoSpaceDE w:val="0"/>
        <w:autoSpaceDN w:val="0"/>
        <w:adjustRightInd w:val="0"/>
        <w:rPr>
          <w:rFonts w:eastAsia="MS Mincho"/>
          <w:b/>
          <w:sz w:val="24"/>
          <w:szCs w:val="24"/>
          <w:lang w:val="en-US" w:eastAsia="ja-JP"/>
        </w:rPr>
      </w:pPr>
      <w:r w:rsidRPr="00D04AA9">
        <w:rPr>
          <w:rFonts w:eastAsia="MS Mincho"/>
          <w:b/>
          <w:sz w:val="24"/>
          <w:szCs w:val="24"/>
          <w:lang w:val="en-US" w:eastAsia="ja-JP"/>
        </w:rPr>
        <w:t xml:space="preserve">b) Proven technology, reasonable testing. </w:t>
      </w:r>
      <w:r w:rsidR="00587D6C">
        <w:t>The main components of radio technology and signalling are in use today.</w:t>
      </w:r>
    </w:p>
    <w:p w:rsidR="00564EB3" w:rsidRDefault="00564EB3" w:rsidP="002A751F">
      <w:pPr>
        <w:autoSpaceDE w:val="0"/>
        <w:autoSpaceDN w:val="0"/>
        <w:adjustRightInd w:val="0"/>
        <w:rPr>
          <w:rFonts w:eastAsia="MS Mincho"/>
          <w:b/>
          <w:sz w:val="24"/>
          <w:szCs w:val="24"/>
          <w:lang w:val="en-US" w:eastAsia="ja-JP"/>
        </w:rPr>
      </w:pPr>
    </w:p>
    <w:p w:rsidR="002A751F" w:rsidRDefault="002A751F" w:rsidP="002A751F">
      <w:pPr>
        <w:autoSpaceDE w:val="0"/>
        <w:autoSpaceDN w:val="0"/>
        <w:adjustRightInd w:val="0"/>
        <w:rPr>
          <w:rFonts w:eastAsia="MS Mincho"/>
          <w:b/>
          <w:sz w:val="24"/>
          <w:szCs w:val="24"/>
          <w:lang w:val="en-US" w:eastAsia="ja-JP"/>
        </w:rPr>
      </w:pPr>
      <w:r w:rsidRPr="00D04AA9">
        <w:rPr>
          <w:rFonts w:eastAsia="MS Mincho"/>
          <w:b/>
          <w:sz w:val="24"/>
          <w:szCs w:val="24"/>
          <w:lang w:val="en-US" w:eastAsia="ja-JP"/>
        </w:rPr>
        <w:t xml:space="preserve">c) Confidence in reliability. </w:t>
      </w:r>
      <w:r w:rsidR="006D1B79">
        <w:t>There are</w:t>
      </w:r>
      <w:r w:rsidR="00587D6C">
        <w:t xml:space="preserve"> IEEE 802.11 systems in operation today, and their reliability is factored into the services offered</w:t>
      </w:r>
    </w:p>
    <w:p w:rsidR="00564EB3" w:rsidRPr="004F0FF1" w:rsidRDefault="00564EB3" w:rsidP="002A751F">
      <w:pPr>
        <w:autoSpaceDE w:val="0"/>
        <w:autoSpaceDN w:val="0"/>
        <w:adjustRightInd w:val="0"/>
        <w:rPr>
          <w:rFonts w:eastAsia="MS Mincho"/>
          <w:sz w:val="24"/>
          <w:szCs w:val="24"/>
          <w:lang w:val="en-US" w:eastAsia="ja-JP"/>
        </w:rPr>
      </w:pPr>
    </w:p>
    <w:p w:rsidR="002A751F" w:rsidRPr="00F859DD" w:rsidRDefault="002A751F" w:rsidP="002A751F">
      <w:pPr>
        <w:autoSpaceDE w:val="0"/>
        <w:autoSpaceDN w:val="0"/>
        <w:adjustRightInd w:val="0"/>
        <w:rPr>
          <w:rFonts w:eastAsia="MS Mincho"/>
          <w:b/>
          <w:bCs/>
          <w:sz w:val="24"/>
          <w:szCs w:val="24"/>
          <w:lang w:val="en-US" w:eastAsia="ja-JP"/>
        </w:rPr>
      </w:pPr>
      <w:r w:rsidRPr="00F859DD">
        <w:rPr>
          <w:rFonts w:eastAsia="MS Mincho"/>
          <w:b/>
          <w:bCs/>
          <w:sz w:val="24"/>
          <w:szCs w:val="24"/>
          <w:lang w:val="en-US" w:eastAsia="ja-JP"/>
        </w:rPr>
        <w:t xml:space="preserve">17.5.4.1 Coexistence of 802 wireless standards specifying devices for unlicensed operation </w:t>
      </w:r>
    </w:p>
    <w:p w:rsidR="002A751F" w:rsidRDefault="002A751F" w:rsidP="002A751F">
      <w:pPr>
        <w:autoSpaceDE w:val="0"/>
        <w:autoSpaceDN w:val="0"/>
        <w:adjustRightInd w:val="0"/>
        <w:rPr>
          <w:rFonts w:eastAsia="MS Mincho"/>
          <w:b/>
          <w:sz w:val="24"/>
          <w:szCs w:val="24"/>
          <w:lang w:val="en-US" w:eastAsia="ja-JP"/>
        </w:rPr>
      </w:pPr>
    </w:p>
    <w:p w:rsidR="002A751F" w:rsidRDefault="002A751F" w:rsidP="002A751F">
      <w:pPr>
        <w:autoSpaceDE w:val="0"/>
        <w:autoSpaceDN w:val="0"/>
        <w:adjustRightInd w:val="0"/>
        <w:rPr>
          <w:rFonts w:eastAsia="MS Mincho"/>
          <w:sz w:val="24"/>
          <w:szCs w:val="24"/>
          <w:lang w:val="en-US" w:eastAsia="ja-JP"/>
        </w:rPr>
      </w:pPr>
      <w:r w:rsidRPr="00AA02FD">
        <w:rPr>
          <w:rFonts w:eastAsia="MS Mincho"/>
          <w:b/>
          <w:sz w:val="24"/>
          <w:szCs w:val="24"/>
          <w:lang w:val="en-US" w:eastAsia="ja-JP"/>
        </w:rPr>
        <w:t>A working group proposing a wireless project is required to demonstrate coexistence through the preparation of a Coexistence Assurance (CA) document unless it is not applicable.  The Working Group will create a CA document as part of the WG balloting process.  If the Working Group elects not to create a CA document, it will explain to the EC the reason the CA document is not applicable</w:t>
      </w:r>
      <w:r w:rsidRPr="00F859DD">
        <w:rPr>
          <w:rFonts w:eastAsia="MS Mincho"/>
          <w:sz w:val="24"/>
          <w:szCs w:val="24"/>
          <w:lang w:val="en-US" w:eastAsia="ja-JP"/>
        </w:rPr>
        <w:t xml:space="preserve">. </w:t>
      </w:r>
    </w:p>
    <w:p w:rsidR="002A751F" w:rsidRDefault="002A751F" w:rsidP="002A751F">
      <w:pPr>
        <w:autoSpaceDE w:val="0"/>
        <w:autoSpaceDN w:val="0"/>
        <w:adjustRightInd w:val="0"/>
        <w:rPr>
          <w:rFonts w:eastAsia="MS Mincho"/>
          <w:sz w:val="24"/>
          <w:szCs w:val="24"/>
          <w:lang w:val="en-US" w:eastAsia="ja-JP"/>
        </w:rPr>
      </w:pPr>
    </w:p>
    <w:p w:rsidR="001054DC" w:rsidRPr="001054DC" w:rsidRDefault="001054DC" w:rsidP="002A751F">
      <w:pPr>
        <w:numPr>
          <w:ilvl w:val="0"/>
          <w:numId w:val="4"/>
        </w:numPr>
        <w:autoSpaceDE w:val="0"/>
        <w:autoSpaceDN w:val="0"/>
        <w:adjustRightInd w:val="0"/>
        <w:spacing w:before="240" w:after="60"/>
        <w:outlineLvl w:val="2"/>
        <w:rPr>
          <w:rFonts w:eastAsia="MS Mincho"/>
          <w:b/>
          <w:bCs/>
          <w:sz w:val="24"/>
          <w:szCs w:val="24"/>
          <w:lang w:val="en-US" w:eastAsia="ja-JP"/>
        </w:rPr>
      </w:pPr>
      <w:r w:rsidRPr="00263B01">
        <w:rPr>
          <w:rFonts w:eastAsia="MS Mincho"/>
          <w:lang w:eastAsia="ja-JP"/>
        </w:rPr>
        <w:t>The working group will create a CA document as part of the WG balloting process</w:t>
      </w:r>
    </w:p>
    <w:p w:rsidR="002A751F" w:rsidRPr="001054DC" w:rsidRDefault="002A751F" w:rsidP="001054DC">
      <w:pPr>
        <w:numPr>
          <w:ilvl w:val="0"/>
          <w:numId w:val="4"/>
        </w:numPr>
        <w:autoSpaceDE w:val="0"/>
        <w:autoSpaceDN w:val="0"/>
        <w:adjustRightInd w:val="0"/>
        <w:spacing w:before="240" w:after="60"/>
        <w:outlineLvl w:val="2"/>
        <w:rPr>
          <w:rFonts w:eastAsia="MS Mincho"/>
          <w:b/>
          <w:bCs/>
          <w:sz w:val="24"/>
          <w:szCs w:val="24"/>
          <w:lang w:val="en-US" w:eastAsia="ja-JP"/>
        </w:rPr>
      </w:pPr>
      <w:r w:rsidRPr="001054DC">
        <w:rPr>
          <w:rFonts w:eastAsia="MS Mincho"/>
          <w:b/>
          <w:bCs/>
          <w:sz w:val="24"/>
          <w:szCs w:val="24"/>
          <w:lang w:val="en-US" w:eastAsia="ja-JP"/>
        </w:rPr>
        <w:t xml:space="preserve">17.5.5 Economic Feasibility </w:t>
      </w:r>
    </w:p>
    <w:p w:rsidR="002A751F" w:rsidRPr="006A587F" w:rsidRDefault="002A751F" w:rsidP="002A751F">
      <w:pPr>
        <w:autoSpaceDE w:val="0"/>
        <w:autoSpaceDN w:val="0"/>
        <w:adjustRightInd w:val="0"/>
        <w:rPr>
          <w:rFonts w:eastAsia="MS Mincho"/>
          <w:sz w:val="16"/>
          <w:szCs w:val="16"/>
          <w:lang w:val="en-US" w:eastAsia="ja-JP"/>
        </w:rPr>
      </w:pPr>
    </w:p>
    <w:p w:rsidR="002A751F" w:rsidRPr="00F577C2" w:rsidRDefault="002A751F" w:rsidP="002A751F">
      <w:pPr>
        <w:autoSpaceDE w:val="0"/>
        <w:autoSpaceDN w:val="0"/>
        <w:adjustRightInd w:val="0"/>
        <w:rPr>
          <w:rFonts w:eastAsia="MS Mincho"/>
          <w:b/>
          <w:sz w:val="24"/>
          <w:szCs w:val="24"/>
          <w:lang w:val="en-US" w:eastAsia="ja-JP"/>
        </w:rPr>
      </w:pPr>
      <w:r w:rsidRPr="00F577C2">
        <w:rPr>
          <w:rFonts w:eastAsia="MS Mincho"/>
          <w:b/>
          <w:sz w:val="24"/>
          <w:szCs w:val="24"/>
          <w:lang w:val="en-US" w:eastAsia="ja-JP"/>
        </w:rPr>
        <w:t xml:space="preserve">For a project to be authorized, it shall be able to show economic feasibility (so far as can reasonably be estimated) for its intended applications. At a minimum, the proposed project shall show: </w:t>
      </w:r>
    </w:p>
    <w:p w:rsidR="002A751F" w:rsidRDefault="002A751F" w:rsidP="002A751F">
      <w:pPr>
        <w:autoSpaceDE w:val="0"/>
        <w:autoSpaceDN w:val="0"/>
        <w:adjustRightInd w:val="0"/>
        <w:rPr>
          <w:rFonts w:eastAsia="MS Mincho"/>
          <w:b/>
          <w:sz w:val="24"/>
          <w:szCs w:val="24"/>
          <w:lang w:val="en-US" w:eastAsia="ja-JP"/>
        </w:rPr>
      </w:pPr>
      <w:r w:rsidRPr="00F577C2">
        <w:rPr>
          <w:rFonts w:eastAsia="MS Mincho"/>
          <w:b/>
          <w:sz w:val="24"/>
          <w:szCs w:val="24"/>
          <w:lang w:val="en-US" w:eastAsia="ja-JP"/>
        </w:rPr>
        <w:t xml:space="preserve">a) Known cost factors, reliable data. </w:t>
      </w:r>
      <w:r w:rsidR="00587D6C">
        <w:t>The fundamental radio and baseband architecture of the WLAN is well known, and adding another supported band is a well-understood process.</w:t>
      </w:r>
    </w:p>
    <w:p w:rsidR="00564EB3" w:rsidRPr="00EA69FC" w:rsidRDefault="00564EB3" w:rsidP="002A751F">
      <w:pPr>
        <w:autoSpaceDE w:val="0"/>
        <w:autoSpaceDN w:val="0"/>
        <w:adjustRightInd w:val="0"/>
        <w:rPr>
          <w:rFonts w:eastAsia="MS Mincho"/>
          <w:b/>
          <w:sz w:val="24"/>
          <w:szCs w:val="24"/>
          <w:lang w:eastAsia="ja-JP"/>
        </w:rPr>
      </w:pPr>
    </w:p>
    <w:p w:rsidR="002A751F" w:rsidRDefault="002A751F" w:rsidP="002A751F">
      <w:pPr>
        <w:autoSpaceDE w:val="0"/>
        <w:autoSpaceDN w:val="0"/>
        <w:adjustRightInd w:val="0"/>
        <w:rPr>
          <w:rFonts w:eastAsia="MS Mincho"/>
          <w:b/>
          <w:sz w:val="24"/>
          <w:szCs w:val="24"/>
          <w:lang w:val="en-US" w:eastAsia="ja-JP"/>
        </w:rPr>
      </w:pPr>
      <w:r w:rsidRPr="00F577C2">
        <w:rPr>
          <w:rFonts w:eastAsia="MS Mincho"/>
          <w:b/>
          <w:sz w:val="24"/>
          <w:szCs w:val="24"/>
          <w:lang w:val="en-US" w:eastAsia="ja-JP"/>
        </w:rPr>
        <w:t xml:space="preserve">b) Reasonable cost for performance. </w:t>
      </w:r>
      <w:r w:rsidR="00587D6C">
        <w:t xml:space="preserve">The extension of IEEE 802.11a products and/or chipsets to cover </w:t>
      </w:r>
      <w:r w:rsidR="00763358">
        <w:t>sub 1 GHz unlicensed</w:t>
      </w:r>
      <w:r w:rsidR="008C374D">
        <w:t xml:space="preserve"> </w:t>
      </w:r>
      <w:r w:rsidR="00587D6C">
        <w:t xml:space="preserve">operation is </w:t>
      </w:r>
      <w:r w:rsidR="001054DC">
        <w:t>similar in cost to that of adding 3650 MHz operation as specified in IEEE 802.11y.</w:t>
      </w:r>
    </w:p>
    <w:p w:rsidR="00564EB3" w:rsidRPr="000E20E8" w:rsidRDefault="00564EB3" w:rsidP="002A751F">
      <w:pPr>
        <w:autoSpaceDE w:val="0"/>
        <w:autoSpaceDN w:val="0"/>
        <w:adjustRightInd w:val="0"/>
        <w:rPr>
          <w:rFonts w:eastAsia="MS Mincho"/>
          <w:b/>
          <w:szCs w:val="22"/>
          <w:lang w:eastAsia="ja-JP"/>
        </w:rPr>
      </w:pPr>
    </w:p>
    <w:p w:rsidR="002A751F" w:rsidRPr="00F859DD" w:rsidRDefault="002A751F" w:rsidP="002A751F">
      <w:pPr>
        <w:autoSpaceDE w:val="0"/>
        <w:autoSpaceDN w:val="0"/>
        <w:adjustRightInd w:val="0"/>
        <w:rPr>
          <w:rFonts w:eastAsia="MS Mincho"/>
          <w:sz w:val="24"/>
          <w:szCs w:val="24"/>
          <w:lang w:val="en-US" w:eastAsia="ja-JP"/>
        </w:rPr>
      </w:pPr>
      <w:r w:rsidRPr="00F577C2">
        <w:rPr>
          <w:rFonts w:eastAsia="MS Mincho"/>
          <w:b/>
          <w:sz w:val="24"/>
          <w:szCs w:val="24"/>
          <w:lang w:val="en-US" w:eastAsia="ja-JP"/>
        </w:rPr>
        <w:t>c) Consideration of installation costs</w:t>
      </w:r>
      <w:r w:rsidRPr="00F859DD">
        <w:rPr>
          <w:rFonts w:eastAsia="MS Mincho"/>
          <w:sz w:val="24"/>
          <w:szCs w:val="24"/>
          <w:lang w:val="en-US" w:eastAsia="ja-JP"/>
        </w:rPr>
        <w:t>.</w:t>
      </w:r>
      <w:r w:rsidR="00587D6C">
        <w:rPr>
          <w:rFonts w:eastAsia="MS Mincho"/>
          <w:sz w:val="24"/>
          <w:szCs w:val="24"/>
          <w:lang w:val="en-US" w:eastAsia="ja-JP"/>
        </w:rPr>
        <w:t xml:space="preserve"> </w:t>
      </w:r>
      <w:r w:rsidR="00587D6C">
        <w:t xml:space="preserve">The installation cost </w:t>
      </w:r>
      <w:r w:rsidR="00763358">
        <w:t>of sub 1 GHz unlicensed</w:t>
      </w:r>
      <w:r w:rsidR="00587D6C">
        <w:t xml:space="preserve"> WLAN equipment will not change from that of installing current 5 GHz band equipment.</w:t>
      </w:r>
    </w:p>
    <w:p w:rsidR="002A751F" w:rsidRPr="000E20E8" w:rsidRDefault="002A751F" w:rsidP="002A751F">
      <w:pPr>
        <w:autoSpaceDE w:val="0"/>
        <w:autoSpaceDN w:val="0"/>
        <w:adjustRightInd w:val="0"/>
        <w:rPr>
          <w:rFonts w:eastAsia="MS Mincho"/>
          <w:szCs w:val="22"/>
          <w:lang w:val="en-US" w:eastAsia="ja-JP"/>
        </w:rPr>
      </w:pPr>
    </w:p>
    <w:p w:rsidR="00C56269" w:rsidRDefault="00C56269" w:rsidP="002A751F">
      <w:pPr>
        <w:rPr>
          <w:szCs w:val="22"/>
        </w:rPr>
      </w:pPr>
    </w:p>
    <w:p w:rsidR="00564EB3" w:rsidRDefault="00564EB3">
      <w:pPr>
        <w:rPr>
          <w:szCs w:val="22"/>
        </w:rPr>
      </w:pPr>
    </w:p>
    <w:p w:rsidR="00CA09B2" w:rsidRDefault="00CA09B2">
      <w:pPr>
        <w:rPr>
          <w:b/>
          <w:sz w:val="24"/>
        </w:rPr>
      </w:pPr>
      <w:r>
        <w:br w:type="page"/>
      </w:r>
      <w:r>
        <w:rPr>
          <w:b/>
          <w:sz w:val="24"/>
        </w:rPr>
        <w:lastRenderedPageBreak/>
        <w:t>References:</w:t>
      </w:r>
    </w:p>
    <w:p w:rsidR="00CA09B2" w:rsidRDefault="00CA09B2"/>
    <w:sectPr w:rsidR="00CA09B2" w:rsidSect="001A16B7">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F85" w:rsidRDefault="00181F85">
      <w:r>
        <w:separator/>
      </w:r>
    </w:p>
  </w:endnote>
  <w:endnote w:type="continuationSeparator" w:id="1">
    <w:p w:rsidR="00181F85" w:rsidRDefault="00181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E9" w:rsidRDefault="00E97BCB">
    <w:pPr>
      <w:pStyle w:val="Footer"/>
      <w:tabs>
        <w:tab w:val="clear" w:pos="6480"/>
        <w:tab w:val="center" w:pos="4680"/>
        <w:tab w:val="right" w:pos="9360"/>
      </w:tabs>
    </w:pPr>
    <w:fldSimple w:instr=" SUBJECT  \* MERGEFORMAT ">
      <w:r w:rsidR="006B3748">
        <w:t>Submission</w:t>
      </w:r>
    </w:fldSimple>
    <w:r w:rsidR="002550E9">
      <w:tab/>
      <w:t xml:space="preserve">page </w:t>
    </w:r>
    <w:fldSimple w:instr="page ">
      <w:r w:rsidR="00763358">
        <w:rPr>
          <w:noProof/>
        </w:rPr>
        <w:t>6</w:t>
      </w:r>
    </w:fldSimple>
    <w:r w:rsidR="00391664">
      <w:tab/>
      <w:t xml:space="preserve">Dave </w:t>
    </w:r>
    <w:proofErr w:type="spellStart"/>
    <w:r w:rsidR="00391664">
      <w:t>Halasz</w:t>
    </w:r>
    <w:proofErr w:type="spellEnd"/>
    <w:r w:rsidR="002550E9">
      <w:t xml:space="preserve">, </w:t>
    </w:r>
    <w:proofErr w:type="spellStart"/>
    <w:r w:rsidR="00391664">
      <w:t>Aclara</w:t>
    </w:r>
    <w:proofErr w:type="spellEnd"/>
  </w:p>
  <w:p w:rsidR="002550E9" w:rsidRDefault="002550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F85" w:rsidRDefault="00181F85">
      <w:r>
        <w:separator/>
      </w:r>
    </w:p>
  </w:footnote>
  <w:footnote w:type="continuationSeparator" w:id="1">
    <w:p w:rsidR="00181F85" w:rsidRDefault="00181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E9" w:rsidRDefault="00391664">
    <w:pPr>
      <w:pStyle w:val="Header"/>
      <w:tabs>
        <w:tab w:val="clear" w:pos="6480"/>
        <w:tab w:val="center" w:pos="4680"/>
        <w:tab w:val="right" w:pos="9360"/>
      </w:tabs>
    </w:pPr>
    <w:r>
      <w:t>January</w:t>
    </w:r>
    <w:r w:rsidR="002550E9">
      <w:t xml:space="preserve"> 20</w:t>
    </w:r>
    <w:r>
      <w:t>1</w:t>
    </w:r>
    <w:r w:rsidR="002550E9">
      <w:t>0</w:t>
    </w:r>
    <w:r w:rsidR="002550E9">
      <w:tab/>
    </w:r>
    <w:r w:rsidR="002550E9">
      <w:tab/>
    </w:r>
    <w:fldSimple w:instr=" TITLE  \* MERGEFORMAT ">
      <w:r w:rsidR="00C60D46">
        <w:t>doc.: IEEE 802.11-10</w:t>
      </w:r>
      <w:r w:rsidR="006B3748">
        <w:t>/0001r0</w:t>
      </w:r>
    </w:fldSimple>
    <w:r w:rsidR="00AD7D4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199EE8A"/>
    <w:multiLevelType w:val="hybridMultilevel"/>
    <w:tmpl w:val="98B1F6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DA1CD4"/>
    <w:multiLevelType w:val="hybridMultilevel"/>
    <w:tmpl w:val="1D7A496C"/>
    <w:lvl w:ilvl="0" w:tplc="3FAAC46E">
      <w:start w:val="1"/>
      <w:numFmt w:val="lowerLetter"/>
      <w:lvlText w:val="%1)"/>
      <w:lvlJc w:val="left"/>
      <w:pPr>
        <w:ind w:left="720" w:hanging="360"/>
      </w:pPr>
      <w:rPr>
        <w:rFonts w:eastAsia="MS Mincho"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D3358AA"/>
    <w:multiLevelType w:val="hybridMultilevel"/>
    <w:tmpl w:val="982EC4DA"/>
    <w:lvl w:ilvl="0" w:tplc="36F25844">
      <w:start w:val="1"/>
      <w:numFmt w:val="lowerLetter"/>
      <w:lvlText w:val="%1)"/>
      <w:lvlJc w:val="left"/>
      <w:pPr>
        <w:tabs>
          <w:tab w:val="num" w:pos="720"/>
        </w:tabs>
        <w:ind w:left="720" w:hanging="360"/>
      </w:pPr>
      <w:rPr>
        <w:rFonts w:eastAsia="MS Mincho"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3E5AE4"/>
    <w:multiLevelType w:val="hybridMultilevel"/>
    <w:tmpl w:val="5F42DA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317840"/>
    <w:multiLevelType w:val="hybridMultilevel"/>
    <w:tmpl w:val="106AF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intFractionalCharacterWidth/>
  <w:mirrorMargins/>
  <w:hideSpelling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0"/>
    <w:footnote w:id="1"/>
  </w:footnotePr>
  <w:endnotePr>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440B"/>
    <w:rsid w:val="00013D54"/>
    <w:rsid w:val="000268BD"/>
    <w:rsid w:val="00056108"/>
    <w:rsid w:val="0008292B"/>
    <w:rsid w:val="00084893"/>
    <w:rsid w:val="000A68B9"/>
    <w:rsid w:val="000D2C93"/>
    <w:rsid w:val="000D50A0"/>
    <w:rsid w:val="000F1F12"/>
    <w:rsid w:val="00100E46"/>
    <w:rsid w:val="001054DC"/>
    <w:rsid w:val="00106ECD"/>
    <w:rsid w:val="00130590"/>
    <w:rsid w:val="0013624D"/>
    <w:rsid w:val="00150738"/>
    <w:rsid w:val="00155DCE"/>
    <w:rsid w:val="00170332"/>
    <w:rsid w:val="00181F85"/>
    <w:rsid w:val="00182A9F"/>
    <w:rsid w:val="001842F9"/>
    <w:rsid w:val="001A16B7"/>
    <w:rsid w:val="001C11E7"/>
    <w:rsid w:val="001C15C5"/>
    <w:rsid w:val="001D03F5"/>
    <w:rsid w:val="001D723B"/>
    <w:rsid w:val="001F4AC6"/>
    <w:rsid w:val="002210D8"/>
    <w:rsid w:val="002550E9"/>
    <w:rsid w:val="002612FF"/>
    <w:rsid w:val="00263B01"/>
    <w:rsid w:val="0026660B"/>
    <w:rsid w:val="00280B00"/>
    <w:rsid w:val="0029020B"/>
    <w:rsid w:val="002A3FC2"/>
    <w:rsid w:val="002A751F"/>
    <w:rsid w:val="002D44BE"/>
    <w:rsid w:val="002E4179"/>
    <w:rsid w:val="002F5C99"/>
    <w:rsid w:val="0030174B"/>
    <w:rsid w:val="00311644"/>
    <w:rsid w:val="00312878"/>
    <w:rsid w:val="0031794E"/>
    <w:rsid w:val="00364CB1"/>
    <w:rsid w:val="003912FE"/>
    <w:rsid w:val="00391664"/>
    <w:rsid w:val="003A5AD6"/>
    <w:rsid w:val="003A6682"/>
    <w:rsid w:val="003A6F36"/>
    <w:rsid w:val="003E4351"/>
    <w:rsid w:val="003F0331"/>
    <w:rsid w:val="00406F7A"/>
    <w:rsid w:val="00410ABB"/>
    <w:rsid w:val="00421F14"/>
    <w:rsid w:val="00442037"/>
    <w:rsid w:val="00451DB3"/>
    <w:rsid w:val="004628BA"/>
    <w:rsid w:val="00485329"/>
    <w:rsid w:val="004901AA"/>
    <w:rsid w:val="004911CA"/>
    <w:rsid w:val="00495CC0"/>
    <w:rsid w:val="00496E44"/>
    <w:rsid w:val="004B1053"/>
    <w:rsid w:val="004B5B4E"/>
    <w:rsid w:val="004E43E3"/>
    <w:rsid w:val="004F6470"/>
    <w:rsid w:val="00535FE8"/>
    <w:rsid w:val="00540DE8"/>
    <w:rsid w:val="0054330F"/>
    <w:rsid w:val="00564EB3"/>
    <w:rsid w:val="00565967"/>
    <w:rsid w:val="00571027"/>
    <w:rsid w:val="0057239F"/>
    <w:rsid w:val="0058151E"/>
    <w:rsid w:val="00587D6C"/>
    <w:rsid w:val="00596DE0"/>
    <w:rsid w:val="005A1C81"/>
    <w:rsid w:val="005B4967"/>
    <w:rsid w:val="005F0754"/>
    <w:rsid w:val="005F0D5A"/>
    <w:rsid w:val="0060401B"/>
    <w:rsid w:val="00621DFE"/>
    <w:rsid w:val="0062440B"/>
    <w:rsid w:val="00693569"/>
    <w:rsid w:val="00696899"/>
    <w:rsid w:val="006B3748"/>
    <w:rsid w:val="006C0727"/>
    <w:rsid w:val="006C14D1"/>
    <w:rsid w:val="006D07B7"/>
    <w:rsid w:val="006D093C"/>
    <w:rsid w:val="006D0A99"/>
    <w:rsid w:val="006D19A4"/>
    <w:rsid w:val="006D1B79"/>
    <w:rsid w:val="006E145F"/>
    <w:rsid w:val="006F38C3"/>
    <w:rsid w:val="00721DF7"/>
    <w:rsid w:val="00743126"/>
    <w:rsid w:val="007435FE"/>
    <w:rsid w:val="00747999"/>
    <w:rsid w:val="007565D2"/>
    <w:rsid w:val="00763358"/>
    <w:rsid w:val="00770572"/>
    <w:rsid w:val="00795210"/>
    <w:rsid w:val="007B0D5C"/>
    <w:rsid w:val="007D09B9"/>
    <w:rsid w:val="007D1F05"/>
    <w:rsid w:val="00801A44"/>
    <w:rsid w:val="008024F2"/>
    <w:rsid w:val="008C374D"/>
    <w:rsid w:val="008C7590"/>
    <w:rsid w:val="008D0ECC"/>
    <w:rsid w:val="008E1675"/>
    <w:rsid w:val="008E1C2B"/>
    <w:rsid w:val="008E611D"/>
    <w:rsid w:val="00903445"/>
    <w:rsid w:val="00924D84"/>
    <w:rsid w:val="00931F4E"/>
    <w:rsid w:val="009321FD"/>
    <w:rsid w:val="00946890"/>
    <w:rsid w:val="00960C21"/>
    <w:rsid w:val="00963B5B"/>
    <w:rsid w:val="009A7224"/>
    <w:rsid w:val="009A7F66"/>
    <w:rsid w:val="009C0DF8"/>
    <w:rsid w:val="009C2F56"/>
    <w:rsid w:val="009F0597"/>
    <w:rsid w:val="009F3578"/>
    <w:rsid w:val="00A2754C"/>
    <w:rsid w:val="00A30F08"/>
    <w:rsid w:val="00A5774E"/>
    <w:rsid w:val="00A644F4"/>
    <w:rsid w:val="00A70071"/>
    <w:rsid w:val="00A83223"/>
    <w:rsid w:val="00A870F1"/>
    <w:rsid w:val="00AA427C"/>
    <w:rsid w:val="00AA58F2"/>
    <w:rsid w:val="00AC2C1C"/>
    <w:rsid w:val="00AD41A8"/>
    <w:rsid w:val="00AD7D4B"/>
    <w:rsid w:val="00AE4B0F"/>
    <w:rsid w:val="00AF1597"/>
    <w:rsid w:val="00B02363"/>
    <w:rsid w:val="00B02D54"/>
    <w:rsid w:val="00B13FD6"/>
    <w:rsid w:val="00B21CD0"/>
    <w:rsid w:val="00B42B58"/>
    <w:rsid w:val="00B54833"/>
    <w:rsid w:val="00B62CE6"/>
    <w:rsid w:val="00B639D2"/>
    <w:rsid w:val="00B84625"/>
    <w:rsid w:val="00B95376"/>
    <w:rsid w:val="00BA277E"/>
    <w:rsid w:val="00BA2D90"/>
    <w:rsid w:val="00BE3499"/>
    <w:rsid w:val="00BE3DF8"/>
    <w:rsid w:val="00BE68C2"/>
    <w:rsid w:val="00BE7DC8"/>
    <w:rsid w:val="00BF03DB"/>
    <w:rsid w:val="00BF15ED"/>
    <w:rsid w:val="00C0091C"/>
    <w:rsid w:val="00C05D19"/>
    <w:rsid w:val="00C25D10"/>
    <w:rsid w:val="00C56269"/>
    <w:rsid w:val="00C60D46"/>
    <w:rsid w:val="00C61942"/>
    <w:rsid w:val="00CA09B2"/>
    <w:rsid w:val="00CD1C21"/>
    <w:rsid w:val="00D16FA1"/>
    <w:rsid w:val="00D21D8E"/>
    <w:rsid w:val="00D3265C"/>
    <w:rsid w:val="00D438FC"/>
    <w:rsid w:val="00D77E0D"/>
    <w:rsid w:val="00D9392E"/>
    <w:rsid w:val="00DA57FA"/>
    <w:rsid w:val="00DC303D"/>
    <w:rsid w:val="00DC5A7B"/>
    <w:rsid w:val="00DE06FF"/>
    <w:rsid w:val="00DE5585"/>
    <w:rsid w:val="00DF089D"/>
    <w:rsid w:val="00E05912"/>
    <w:rsid w:val="00E375E3"/>
    <w:rsid w:val="00E60FAC"/>
    <w:rsid w:val="00E627C4"/>
    <w:rsid w:val="00E64C46"/>
    <w:rsid w:val="00E70796"/>
    <w:rsid w:val="00E725D2"/>
    <w:rsid w:val="00E83A3F"/>
    <w:rsid w:val="00E937BE"/>
    <w:rsid w:val="00E96EC7"/>
    <w:rsid w:val="00E97BCB"/>
    <w:rsid w:val="00EF2ECB"/>
    <w:rsid w:val="00F003E8"/>
    <w:rsid w:val="00F00931"/>
    <w:rsid w:val="00F17918"/>
    <w:rsid w:val="00F2586B"/>
    <w:rsid w:val="00F50DDE"/>
    <w:rsid w:val="00F6273C"/>
    <w:rsid w:val="00F80E21"/>
    <w:rsid w:val="00FB66DF"/>
    <w:rsid w:val="00FE63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6B7"/>
    <w:rPr>
      <w:sz w:val="22"/>
      <w:lang w:val="en-GB"/>
    </w:rPr>
  </w:style>
  <w:style w:type="paragraph" w:styleId="Heading1">
    <w:name w:val="heading 1"/>
    <w:basedOn w:val="Normal"/>
    <w:next w:val="Normal"/>
    <w:qFormat/>
    <w:rsid w:val="001A16B7"/>
    <w:pPr>
      <w:keepNext/>
      <w:keepLines/>
      <w:spacing w:before="320"/>
      <w:outlineLvl w:val="0"/>
    </w:pPr>
    <w:rPr>
      <w:rFonts w:ascii="Arial" w:hAnsi="Arial"/>
      <w:b/>
      <w:sz w:val="32"/>
      <w:u w:val="single"/>
    </w:rPr>
  </w:style>
  <w:style w:type="paragraph" w:styleId="Heading2">
    <w:name w:val="heading 2"/>
    <w:basedOn w:val="Normal"/>
    <w:next w:val="Normal"/>
    <w:qFormat/>
    <w:rsid w:val="001A16B7"/>
    <w:pPr>
      <w:keepNext/>
      <w:keepLines/>
      <w:spacing w:before="280"/>
      <w:outlineLvl w:val="1"/>
    </w:pPr>
    <w:rPr>
      <w:rFonts w:ascii="Arial" w:hAnsi="Arial"/>
      <w:b/>
      <w:sz w:val="28"/>
      <w:u w:val="single"/>
    </w:rPr>
  </w:style>
  <w:style w:type="paragraph" w:styleId="Heading3">
    <w:name w:val="heading 3"/>
    <w:basedOn w:val="Normal"/>
    <w:next w:val="Normal"/>
    <w:qFormat/>
    <w:rsid w:val="001A16B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16B7"/>
    <w:pPr>
      <w:pBdr>
        <w:top w:val="single" w:sz="6" w:space="1" w:color="auto"/>
      </w:pBdr>
      <w:tabs>
        <w:tab w:val="center" w:pos="6480"/>
        <w:tab w:val="right" w:pos="12960"/>
      </w:tabs>
    </w:pPr>
    <w:rPr>
      <w:sz w:val="24"/>
    </w:rPr>
  </w:style>
  <w:style w:type="paragraph" w:styleId="Header">
    <w:name w:val="header"/>
    <w:basedOn w:val="Normal"/>
    <w:rsid w:val="001A16B7"/>
    <w:pPr>
      <w:pBdr>
        <w:bottom w:val="single" w:sz="6" w:space="2" w:color="auto"/>
      </w:pBdr>
      <w:tabs>
        <w:tab w:val="center" w:pos="6480"/>
        <w:tab w:val="right" w:pos="12960"/>
      </w:tabs>
    </w:pPr>
    <w:rPr>
      <w:b/>
      <w:sz w:val="28"/>
    </w:rPr>
  </w:style>
  <w:style w:type="paragraph" w:customStyle="1" w:styleId="T1">
    <w:name w:val="T1"/>
    <w:basedOn w:val="Normal"/>
    <w:rsid w:val="001A16B7"/>
    <w:pPr>
      <w:jc w:val="center"/>
    </w:pPr>
    <w:rPr>
      <w:b/>
      <w:sz w:val="28"/>
    </w:rPr>
  </w:style>
  <w:style w:type="paragraph" w:customStyle="1" w:styleId="T2">
    <w:name w:val="T2"/>
    <w:basedOn w:val="T1"/>
    <w:rsid w:val="001A16B7"/>
    <w:pPr>
      <w:spacing w:after="240"/>
      <w:ind w:left="720" w:right="720"/>
    </w:pPr>
  </w:style>
  <w:style w:type="paragraph" w:customStyle="1" w:styleId="T3">
    <w:name w:val="T3"/>
    <w:basedOn w:val="T1"/>
    <w:rsid w:val="001A16B7"/>
    <w:pPr>
      <w:pBdr>
        <w:bottom w:val="single" w:sz="6" w:space="1" w:color="auto"/>
      </w:pBdr>
      <w:tabs>
        <w:tab w:val="center" w:pos="4680"/>
      </w:tabs>
      <w:spacing w:after="240"/>
      <w:jc w:val="left"/>
    </w:pPr>
    <w:rPr>
      <w:b w:val="0"/>
      <w:sz w:val="24"/>
    </w:rPr>
  </w:style>
  <w:style w:type="paragraph" w:styleId="BodyTextIndent">
    <w:name w:val="Body Text Indent"/>
    <w:basedOn w:val="Normal"/>
    <w:rsid w:val="001A16B7"/>
    <w:pPr>
      <w:ind w:left="720" w:hanging="720"/>
    </w:pPr>
  </w:style>
  <w:style w:type="character" w:styleId="Hyperlink">
    <w:name w:val="Hyperlink"/>
    <w:basedOn w:val="DefaultParagraphFont"/>
    <w:rsid w:val="001A16B7"/>
    <w:rPr>
      <w:color w:val="0000FF"/>
      <w:u w:val="single"/>
    </w:rPr>
  </w:style>
  <w:style w:type="paragraph" w:styleId="z-TopofForm">
    <w:name w:val="HTML Top of Form"/>
    <w:basedOn w:val="Normal"/>
    <w:next w:val="Normal"/>
    <w:hidden/>
    <w:rsid w:val="00E64C46"/>
    <w:pPr>
      <w:pBdr>
        <w:bottom w:val="single" w:sz="6" w:space="1" w:color="auto"/>
      </w:pBdr>
      <w:jc w:val="center"/>
    </w:pPr>
    <w:rPr>
      <w:rFonts w:ascii="Arial" w:eastAsia="MS Mincho" w:hAnsi="Arial" w:cs="Arial"/>
      <w:vanish/>
      <w:sz w:val="16"/>
      <w:szCs w:val="16"/>
      <w:lang w:val="en-US" w:eastAsia="ja-JP"/>
    </w:rPr>
  </w:style>
  <w:style w:type="paragraph" w:styleId="NormalWeb">
    <w:name w:val="Normal (Web)"/>
    <w:basedOn w:val="Normal"/>
    <w:rsid w:val="00E64C46"/>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hidden/>
    <w:rsid w:val="00E64C46"/>
    <w:pPr>
      <w:pBdr>
        <w:top w:val="single" w:sz="6" w:space="1" w:color="auto"/>
      </w:pBdr>
      <w:jc w:val="center"/>
    </w:pPr>
    <w:rPr>
      <w:rFonts w:ascii="Arial" w:eastAsia="MS Mincho" w:hAnsi="Arial" w:cs="Arial"/>
      <w:vanish/>
      <w:sz w:val="16"/>
      <w:szCs w:val="16"/>
      <w:lang w:val="en-US" w:eastAsia="ja-JP"/>
    </w:rPr>
  </w:style>
  <w:style w:type="paragraph" w:styleId="BodyText">
    <w:name w:val="Body Text"/>
    <w:basedOn w:val="Normal"/>
    <w:rsid w:val="002A751F"/>
    <w:pPr>
      <w:spacing w:after="120"/>
    </w:pPr>
  </w:style>
  <w:style w:type="paragraph" w:styleId="BalloonText">
    <w:name w:val="Balloon Text"/>
    <w:basedOn w:val="Normal"/>
    <w:semiHidden/>
    <w:rsid w:val="0054330F"/>
    <w:rPr>
      <w:rFonts w:ascii="Tahoma" w:hAnsi="Tahoma" w:cs="Tahoma"/>
      <w:sz w:val="16"/>
      <w:szCs w:val="16"/>
    </w:rPr>
  </w:style>
  <w:style w:type="character" w:styleId="CommentReference">
    <w:name w:val="annotation reference"/>
    <w:basedOn w:val="DefaultParagraphFont"/>
    <w:semiHidden/>
    <w:rsid w:val="005F0D5A"/>
    <w:rPr>
      <w:sz w:val="16"/>
      <w:szCs w:val="16"/>
    </w:rPr>
  </w:style>
  <w:style w:type="paragraph" w:styleId="CommentText">
    <w:name w:val="annotation text"/>
    <w:basedOn w:val="Normal"/>
    <w:semiHidden/>
    <w:rsid w:val="005F0D5A"/>
    <w:rPr>
      <w:sz w:val="20"/>
    </w:rPr>
  </w:style>
  <w:style w:type="paragraph" w:styleId="CommentSubject">
    <w:name w:val="annotation subject"/>
    <w:basedOn w:val="CommentText"/>
    <w:next w:val="CommentText"/>
    <w:semiHidden/>
    <w:rsid w:val="005F0D5A"/>
    <w:rPr>
      <w:b/>
      <w:bCs/>
    </w:rPr>
  </w:style>
  <w:style w:type="paragraph" w:styleId="Revision">
    <w:name w:val="Revision"/>
    <w:hidden/>
    <w:uiPriority w:val="99"/>
    <w:semiHidden/>
    <w:rsid w:val="000268BD"/>
    <w:rPr>
      <w:sz w:val="22"/>
      <w:lang w:val="en-GB"/>
    </w:rPr>
  </w:style>
  <w:style w:type="paragraph" w:customStyle="1" w:styleId="DecimalAligned">
    <w:name w:val="Decimal Aligned"/>
    <w:basedOn w:val="Normal"/>
    <w:uiPriority w:val="40"/>
    <w:qFormat/>
    <w:rsid w:val="00A30F08"/>
    <w:pPr>
      <w:tabs>
        <w:tab w:val="decimal" w:pos="360"/>
      </w:tabs>
      <w:spacing w:after="200" w:line="276" w:lineRule="auto"/>
    </w:pPr>
    <w:rPr>
      <w:rFonts w:ascii="Calibri" w:hAnsi="Calibri"/>
      <w:szCs w:val="22"/>
      <w:lang w:val="en-US"/>
    </w:rPr>
  </w:style>
  <w:style w:type="paragraph" w:styleId="FootnoteText">
    <w:name w:val="footnote text"/>
    <w:basedOn w:val="Normal"/>
    <w:link w:val="FootnoteTextChar"/>
    <w:uiPriority w:val="99"/>
    <w:unhideWhenUsed/>
    <w:rsid w:val="00A30F08"/>
    <w:rPr>
      <w:rFonts w:ascii="Calibri" w:hAnsi="Calibri"/>
      <w:sz w:val="20"/>
      <w:lang w:val="en-US"/>
    </w:rPr>
  </w:style>
  <w:style w:type="character" w:customStyle="1" w:styleId="FootnoteTextChar">
    <w:name w:val="Footnote Text Char"/>
    <w:basedOn w:val="DefaultParagraphFont"/>
    <w:link w:val="FootnoteText"/>
    <w:uiPriority w:val="99"/>
    <w:rsid w:val="00A30F08"/>
    <w:rPr>
      <w:rFonts w:ascii="Calibri" w:eastAsia="Times New Roman" w:hAnsi="Calibri" w:cs="Times New Roman"/>
    </w:rPr>
  </w:style>
  <w:style w:type="character" w:styleId="SubtleEmphasis">
    <w:name w:val="Subtle Emphasis"/>
    <w:basedOn w:val="DefaultParagraphFont"/>
    <w:uiPriority w:val="19"/>
    <w:qFormat/>
    <w:rsid w:val="00A30F08"/>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A30F08"/>
    <w:rPr>
      <w:rFonts w:ascii="Calibri" w:hAnsi="Calibri"/>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23481896">
      <w:bodyDiv w:val="1"/>
      <w:marLeft w:val="0"/>
      <w:marRight w:val="0"/>
      <w:marTop w:val="0"/>
      <w:marBottom w:val="0"/>
      <w:divBdr>
        <w:top w:val="none" w:sz="0" w:space="0" w:color="auto"/>
        <w:left w:val="none" w:sz="0" w:space="0" w:color="auto"/>
        <w:bottom w:val="none" w:sz="0" w:space="0" w:color="auto"/>
        <w:right w:val="none" w:sz="0" w:space="0" w:color="auto"/>
      </w:divBdr>
      <w:divsChild>
        <w:div w:id="713506166">
          <w:marLeft w:val="1166"/>
          <w:marRight w:val="0"/>
          <w:marTop w:val="77"/>
          <w:marBottom w:val="0"/>
          <w:divBdr>
            <w:top w:val="none" w:sz="0" w:space="0" w:color="auto"/>
            <w:left w:val="none" w:sz="0" w:space="0" w:color="auto"/>
            <w:bottom w:val="none" w:sz="0" w:space="0" w:color="auto"/>
            <w:right w:val="none" w:sz="0" w:space="0" w:color="auto"/>
          </w:divBdr>
        </w:div>
      </w:divsChild>
    </w:div>
    <w:div w:id="44451234">
      <w:bodyDiv w:val="1"/>
      <w:marLeft w:val="0"/>
      <w:marRight w:val="0"/>
      <w:marTop w:val="0"/>
      <w:marBottom w:val="0"/>
      <w:divBdr>
        <w:top w:val="none" w:sz="0" w:space="0" w:color="auto"/>
        <w:left w:val="none" w:sz="0" w:space="0" w:color="auto"/>
        <w:bottom w:val="none" w:sz="0" w:space="0" w:color="auto"/>
        <w:right w:val="none" w:sz="0" w:space="0" w:color="auto"/>
      </w:divBdr>
      <w:divsChild>
        <w:div w:id="1903254658">
          <w:marLeft w:val="0"/>
          <w:marRight w:val="0"/>
          <w:marTop w:val="0"/>
          <w:marBottom w:val="0"/>
          <w:divBdr>
            <w:top w:val="none" w:sz="0" w:space="0" w:color="auto"/>
            <w:left w:val="none" w:sz="0" w:space="0" w:color="auto"/>
            <w:bottom w:val="none" w:sz="0" w:space="0" w:color="auto"/>
            <w:right w:val="none" w:sz="0" w:space="0" w:color="auto"/>
          </w:divBdr>
          <w:divsChild>
            <w:div w:id="12070871">
              <w:marLeft w:val="0"/>
              <w:marRight w:val="0"/>
              <w:marTop w:val="0"/>
              <w:marBottom w:val="0"/>
              <w:divBdr>
                <w:top w:val="none" w:sz="0" w:space="0" w:color="auto"/>
                <w:left w:val="none" w:sz="0" w:space="0" w:color="auto"/>
                <w:bottom w:val="none" w:sz="0" w:space="0" w:color="auto"/>
                <w:right w:val="none" w:sz="0" w:space="0" w:color="auto"/>
              </w:divBdr>
            </w:div>
            <w:div w:id="11438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2072">
      <w:bodyDiv w:val="1"/>
      <w:marLeft w:val="0"/>
      <w:marRight w:val="0"/>
      <w:marTop w:val="0"/>
      <w:marBottom w:val="0"/>
      <w:divBdr>
        <w:top w:val="none" w:sz="0" w:space="0" w:color="auto"/>
        <w:left w:val="none" w:sz="0" w:space="0" w:color="auto"/>
        <w:bottom w:val="none" w:sz="0" w:space="0" w:color="auto"/>
        <w:right w:val="none" w:sz="0" w:space="0" w:color="auto"/>
      </w:divBdr>
      <w:divsChild>
        <w:div w:id="2127112131">
          <w:marLeft w:val="0"/>
          <w:marRight w:val="0"/>
          <w:marTop w:val="0"/>
          <w:marBottom w:val="0"/>
          <w:divBdr>
            <w:top w:val="none" w:sz="0" w:space="0" w:color="auto"/>
            <w:left w:val="none" w:sz="0" w:space="0" w:color="auto"/>
            <w:bottom w:val="none" w:sz="0" w:space="0" w:color="auto"/>
            <w:right w:val="none" w:sz="0" w:space="0" w:color="auto"/>
          </w:divBdr>
          <w:divsChild>
            <w:div w:id="2042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3689">
      <w:bodyDiv w:val="1"/>
      <w:marLeft w:val="0"/>
      <w:marRight w:val="0"/>
      <w:marTop w:val="0"/>
      <w:marBottom w:val="0"/>
      <w:divBdr>
        <w:top w:val="none" w:sz="0" w:space="0" w:color="auto"/>
        <w:left w:val="none" w:sz="0" w:space="0" w:color="auto"/>
        <w:bottom w:val="none" w:sz="0" w:space="0" w:color="auto"/>
        <w:right w:val="none" w:sz="0" w:space="0" w:color="auto"/>
      </w:divBdr>
    </w:div>
    <w:div w:id="476537133">
      <w:bodyDiv w:val="1"/>
      <w:marLeft w:val="0"/>
      <w:marRight w:val="0"/>
      <w:marTop w:val="0"/>
      <w:marBottom w:val="0"/>
      <w:divBdr>
        <w:top w:val="none" w:sz="0" w:space="0" w:color="auto"/>
        <w:left w:val="none" w:sz="0" w:space="0" w:color="auto"/>
        <w:bottom w:val="none" w:sz="0" w:space="0" w:color="auto"/>
        <w:right w:val="none" w:sz="0" w:space="0" w:color="auto"/>
      </w:divBdr>
      <w:divsChild>
        <w:div w:id="382607693">
          <w:marLeft w:val="0"/>
          <w:marRight w:val="0"/>
          <w:marTop w:val="0"/>
          <w:marBottom w:val="0"/>
          <w:divBdr>
            <w:top w:val="none" w:sz="0" w:space="0" w:color="auto"/>
            <w:left w:val="none" w:sz="0" w:space="0" w:color="auto"/>
            <w:bottom w:val="none" w:sz="0" w:space="0" w:color="auto"/>
            <w:right w:val="none" w:sz="0" w:space="0" w:color="auto"/>
          </w:divBdr>
          <w:divsChild>
            <w:div w:id="16789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09874">
      <w:bodyDiv w:val="1"/>
      <w:marLeft w:val="0"/>
      <w:marRight w:val="0"/>
      <w:marTop w:val="0"/>
      <w:marBottom w:val="0"/>
      <w:divBdr>
        <w:top w:val="none" w:sz="0" w:space="0" w:color="auto"/>
        <w:left w:val="none" w:sz="0" w:space="0" w:color="auto"/>
        <w:bottom w:val="none" w:sz="0" w:space="0" w:color="auto"/>
        <w:right w:val="none" w:sz="0" w:space="0" w:color="auto"/>
      </w:divBdr>
      <w:divsChild>
        <w:div w:id="479352318">
          <w:marLeft w:val="0"/>
          <w:marRight w:val="0"/>
          <w:marTop w:val="0"/>
          <w:marBottom w:val="0"/>
          <w:divBdr>
            <w:top w:val="none" w:sz="0" w:space="0" w:color="auto"/>
            <w:left w:val="none" w:sz="0" w:space="0" w:color="auto"/>
            <w:bottom w:val="none" w:sz="0" w:space="0" w:color="auto"/>
            <w:right w:val="none" w:sz="0" w:space="0" w:color="auto"/>
          </w:divBdr>
        </w:div>
      </w:divsChild>
    </w:div>
    <w:div w:id="957373244">
      <w:bodyDiv w:val="1"/>
      <w:marLeft w:val="0"/>
      <w:marRight w:val="0"/>
      <w:marTop w:val="0"/>
      <w:marBottom w:val="0"/>
      <w:divBdr>
        <w:top w:val="none" w:sz="0" w:space="0" w:color="auto"/>
        <w:left w:val="none" w:sz="0" w:space="0" w:color="auto"/>
        <w:bottom w:val="none" w:sz="0" w:space="0" w:color="auto"/>
        <w:right w:val="none" w:sz="0" w:space="0" w:color="auto"/>
      </w:divBdr>
      <w:divsChild>
        <w:div w:id="1518470810">
          <w:marLeft w:val="0"/>
          <w:marRight w:val="0"/>
          <w:marTop w:val="0"/>
          <w:marBottom w:val="0"/>
          <w:divBdr>
            <w:top w:val="none" w:sz="0" w:space="0" w:color="auto"/>
            <w:left w:val="none" w:sz="0" w:space="0" w:color="auto"/>
            <w:bottom w:val="none" w:sz="0" w:space="0" w:color="auto"/>
            <w:right w:val="none" w:sz="0" w:space="0" w:color="auto"/>
          </w:divBdr>
        </w:div>
      </w:divsChild>
    </w:div>
    <w:div w:id="1016073956">
      <w:bodyDiv w:val="1"/>
      <w:marLeft w:val="0"/>
      <w:marRight w:val="0"/>
      <w:marTop w:val="0"/>
      <w:marBottom w:val="0"/>
      <w:divBdr>
        <w:top w:val="none" w:sz="0" w:space="0" w:color="auto"/>
        <w:left w:val="none" w:sz="0" w:space="0" w:color="auto"/>
        <w:bottom w:val="none" w:sz="0" w:space="0" w:color="auto"/>
        <w:right w:val="none" w:sz="0" w:space="0" w:color="auto"/>
      </w:divBdr>
      <w:divsChild>
        <w:div w:id="473186403">
          <w:marLeft w:val="0"/>
          <w:marRight w:val="0"/>
          <w:marTop w:val="0"/>
          <w:marBottom w:val="0"/>
          <w:divBdr>
            <w:top w:val="none" w:sz="0" w:space="0" w:color="auto"/>
            <w:left w:val="none" w:sz="0" w:space="0" w:color="auto"/>
            <w:bottom w:val="none" w:sz="0" w:space="0" w:color="auto"/>
            <w:right w:val="none" w:sz="0" w:space="0" w:color="auto"/>
          </w:divBdr>
          <w:divsChild>
            <w:div w:id="555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3754">
      <w:bodyDiv w:val="1"/>
      <w:marLeft w:val="0"/>
      <w:marRight w:val="0"/>
      <w:marTop w:val="0"/>
      <w:marBottom w:val="0"/>
      <w:divBdr>
        <w:top w:val="none" w:sz="0" w:space="0" w:color="auto"/>
        <w:left w:val="none" w:sz="0" w:space="0" w:color="auto"/>
        <w:bottom w:val="none" w:sz="0" w:space="0" w:color="auto"/>
        <w:right w:val="none" w:sz="0" w:space="0" w:color="auto"/>
      </w:divBdr>
    </w:div>
    <w:div w:id="1435633411">
      <w:bodyDiv w:val="1"/>
      <w:marLeft w:val="0"/>
      <w:marRight w:val="0"/>
      <w:marTop w:val="0"/>
      <w:marBottom w:val="0"/>
      <w:divBdr>
        <w:top w:val="none" w:sz="0" w:space="0" w:color="auto"/>
        <w:left w:val="none" w:sz="0" w:space="0" w:color="auto"/>
        <w:bottom w:val="none" w:sz="0" w:space="0" w:color="auto"/>
        <w:right w:val="none" w:sz="0" w:space="0" w:color="auto"/>
      </w:divBdr>
      <w:divsChild>
        <w:div w:id="825977248">
          <w:marLeft w:val="0"/>
          <w:marRight w:val="0"/>
          <w:marTop w:val="0"/>
          <w:marBottom w:val="0"/>
          <w:divBdr>
            <w:top w:val="none" w:sz="0" w:space="0" w:color="auto"/>
            <w:left w:val="none" w:sz="0" w:space="0" w:color="auto"/>
            <w:bottom w:val="none" w:sz="0" w:space="0" w:color="auto"/>
            <w:right w:val="none" w:sz="0" w:space="0" w:color="auto"/>
          </w:divBdr>
          <w:divsChild>
            <w:div w:id="12706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3538">
      <w:bodyDiv w:val="1"/>
      <w:marLeft w:val="0"/>
      <w:marRight w:val="0"/>
      <w:marTop w:val="0"/>
      <w:marBottom w:val="0"/>
      <w:divBdr>
        <w:top w:val="none" w:sz="0" w:space="0" w:color="auto"/>
        <w:left w:val="none" w:sz="0" w:space="0" w:color="auto"/>
        <w:bottom w:val="none" w:sz="0" w:space="0" w:color="auto"/>
        <w:right w:val="none" w:sz="0" w:space="0" w:color="auto"/>
      </w:divBdr>
      <w:divsChild>
        <w:div w:id="409354477">
          <w:marLeft w:val="0"/>
          <w:marRight w:val="0"/>
          <w:marTop w:val="0"/>
          <w:marBottom w:val="0"/>
          <w:divBdr>
            <w:top w:val="none" w:sz="0" w:space="0" w:color="auto"/>
            <w:left w:val="none" w:sz="0" w:space="0" w:color="auto"/>
            <w:bottom w:val="none" w:sz="0" w:space="0" w:color="auto"/>
            <w:right w:val="none" w:sz="0" w:space="0" w:color="auto"/>
          </w:divBdr>
        </w:div>
      </w:divsChild>
    </w:div>
    <w:div w:id="1737901243">
      <w:bodyDiv w:val="1"/>
      <w:marLeft w:val="0"/>
      <w:marRight w:val="0"/>
      <w:marTop w:val="0"/>
      <w:marBottom w:val="0"/>
      <w:divBdr>
        <w:top w:val="none" w:sz="0" w:space="0" w:color="auto"/>
        <w:left w:val="none" w:sz="0" w:space="0" w:color="auto"/>
        <w:bottom w:val="none" w:sz="0" w:space="0" w:color="auto"/>
        <w:right w:val="none" w:sz="0" w:space="0" w:color="auto"/>
      </w:divBdr>
      <w:divsChild>
        <w:div w:id="975452000">
          <w:marLeft w:val="0"/>
          <w:marRight w:val="0"/>
          <w:marTop w:val="0"/>
          <w:marBottom w:val="0"/>
          <w:divBdr>
            <w:top w:val="none" w:sz="0" w:space="0" w:color="auto"/>
            <w:left w:val="none" w:sz="0" w:space="0" w:color="auto"/>
            <w:bottom w:val="none" w:sz="0" w:space="0" w:color="auto"/>
            <w:right w:val="none" w:sz="0" w:space="0" w:color="auto"/>
          </w:divBdr>
        </w:div>
      </w:divsChild>
    </w:div>
    <w:div w:id="1818496613">
      <w:bodyDiv w:val="1"/>
      <w:marLeft w:val="0"/>
      <w:marRight w:val="0"/>
      <w:marTop w:val="0"/>
      <w:marBottom w:val="0"/>
      <w:divBdr>
        <w:top w:val="none" w:sz="0" w:space="0" w:color="auto"/>
        <w:left w:val="none" w:sz="0" w:space="0" w:color="auto"/>
        <w:bottom w:val="none" w:sz="0" w:space="0" w:color="auto"/>
        <w:right w:val="none" w:sz="0" w:space="0" w:color="auto"/>
      </w:divBdr>
      <w:divsChild>
        <w:div w:id="1853298332">
          <w:marLeft w:val="0"/>
          <w:marRight w:val="0"/>
          <w:marTop w:val="0"/>
          <w:marBottom w:val="0"/>
          <w:divBdr>
            <w:top w:val="none" w:sz="0" w:space="0" w:color="auto"/>
            <w:left w:val="none" w:sz="0" w:space="0" w:color="auto"/>
            <w:bottom w:val="none" w:sz="0" w:space="0" w:color="auto"/>
            <w:right w:val="none" w:sz="0" w:space="0" w:color="auto"/>
          </w:divBdr>
          <w:divsChild>
            <w:div w:id="498008574">
              <w:marLeft w:val="0"/>
              <w:marRight w:val="0"/>
              <w:marTop w:val="0"/>
              <w:marBottom w:val="0"/>
              <w:divBdr>
                <w:top w:val="none" w:sz="0" w:space="0" w:color="auto"/>
                <w:left w:val="none" w:sz="0" w:space="0" w:color="auto"/>
                <w:bottom w:val="none" w:sz="0" w:space="0" w:color="auto"/>
                <w:right w:val="none" w:sz="0" w:space="0" w:color="auto"/>
              </w:divBdr>
            </w:div>
            <w:div w:id="7193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mailto:nescom-admin@ieee.org" TargetMode="Externa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10-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13.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7</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802.11-10/0001r0</vt:lpstr>
    </vt:vector>
  </TitlesOfParts>
  <Company>Research in Motion</Company>
  <LinksUpToDate>false</LinksUpToDate>
  <CharactersWithSpaces>9386</CharactersWithSpaces>
  <SharedDoc>false</SharedDoc>
  <HLinks>
    <vt:vector size="6" baseType="variant">
      <vt:variant>
        <vt:i4>7864339</vt:i4>
      </vt:variant>
      <vt:variant>
        <vt:i4>39</vt:i4>
      </vt:variant>
      <vt:variant>
        <vt:i4>0</vt:i4>
      </vt:variant>
      <vt:variant>
        <vt:i4>5</vt:i4>
      </vt:variant>
      <vt:variant>
        <vt:lpwstr>mailto:nescom-admin@ieee.org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802.11-10/0001r0</dc:title>
  <dc:subject>Submission</dc:subject>
  <dc:creator>Dave Halasz</dc:creator>
  <cp:keywords>January 2010</cp:keywords>
  <dc:description>Dave Halasz, Aclara</dc:description>
  <cp:lastModifiedBy>Dave Halasz</cp:lastModifiedBy>
  <cp:revision>17</cp:revision>
  <cp:lastPrinted>2010-01-04T01:36:00Z</cp:lastPrinted>
  <dcterms:created xsi:type="dcterms:W3CDTF">2010-01-03T21:23:00Z</dcterms:created>
  <dcterms:modified xsi:type="dcterms:W3CDTF">2010-01-11T00:41:00Z</dcterms:modified>
</cp:coreProperties>
</file>