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E264" w14:textId="240C76FC"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44FDA4C6"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r w:rsidR="006D604F">
        <w:rPr>
          <w:rFonts w:eastAsia="Times New Roman" w:cs="Calibri"/>
          <w:sz w:val="24"/>
          <w:szCs w:val="24"/>
        </w:rPr>
        <w:t>5 April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 xml:space="preserve">SA) Industry Connections Committee (ICCom)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The version number above, along with the date, may be used by the submitter to distinguish successive updates of this document.  A separate, unique Industry Connections (IC) Activity Number will be assigned when the document is submitted to the ICCom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638752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 Huawei</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E4B2006"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4331FE55" w14:textId="77777777" w:rsidR="006D604F" w:rsidRPr="000C4A6C" w:rsidRDefault="006D604F" w:rsidP="006D604F">
      <w:pPr>
        <w:rPr>
          <w:rFonts w:ascii="Montserrat Medium" w:hAnsi="Montserrat Medium"/>
        </w:rPr>
      </w:pPr>
      <w:r w:rsidRPr="000C4A6C">
        <w:rPr>
          <w:rFonts w:ascii="Montserrat Medium" w:hAnsi="Montserrat Medium"/>
        </w:rPr>
        <w:t>During the 2017-20</w:t>
      </w:r>
      <w:r>
        <w:rPr>
          <w:rFonts w:ascii="Montserrat Medium" w:hAnsi="Montserrat Medium"/>
        </w:rPr>
        <w:t>21</w:t>
      </w:r>
      <w:r w:rsidRPr="000C4A6C">
        <w:rPr>
          <w:rFonts w:ascii="Montserrat Medium" w:hAnsi="Montserrat Medium"/>
        </w:rPr>
        <w:t xml:space="preserve"> 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t xml:space="preserve">Nendica’s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0" w:name="_Hlk71104301"/>
      <w:r>
        <w:rPr>
          <w:rFonts w:ascii="Montserrat Medium" w:hAnsi="Montserrat Medium"/>
        </w:rPr>
        <w:t>“</w:t>
      </w:r>
      <w:bookmarkStart w:id="1"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1"/>
      <w:r>
        <w:rPr>
          <w:rFonts w:ascii="Montserrat Medium" w:hAnsi="Montserrat Medium"/>
        </w:rPr>
        <w:t>.”</w:t>
      </w:r>
      <w:bookmarkEnd w:id="0"/>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followup Work Item, resulting in the </w:t>
      </w:r>
      <w:r w:rsidRPr="00E03F1D">
        <w:rPr>
          <w:rFonts w:ascii="Montserrat Medium" w:hAnsi="Montserrat Medium"/>
        </w:rPr>
        <w:t>June 2021 publication by IEEE of “</w:t>
      </w:r>
      <w:bookmarkStart w:id="2"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2"/>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t>Nendica’s Flexible Factory IoT (FFIOT)</w:t>
      </w:r>
      <w:r w:rsidRPr="000C4A6C">
        <w:rPr>
          <w:rFonts w:ascii="Montserrat Medium" w:hAnsi="Montserrat Medium"/>
        </w:rPr>
        <w:t xml:space="preserve"> Work Item has led to </w:t>
      </w:r>
      <w:proofErr w:type="gramStart"/>
      <w:r w:rsidRPr="000C4A6C">
        <w:rPr>
          <w:rFonts w:ascii="Montserrat Medium" w:hAnsi="Montserrat Medium"/>
        </w:rPr>
        <w:t xml:space="preserve">the </w:t>
      </w:r>
      <w:r w:rsidRPr="00D575DF">
        <w:rPr>
          <w:rFonts w:ascii="Montserrat Medium" w:hAnsi="Montserrat Medium"/>
        </w:rPr>
        <w:t xml:space="preserve"> publication</w:t>
      </w:r>
      <w:proofErr w:type="gramEnd"/>
      <w:r w:rsidRPr="00D575DF">
        <w:rPr>
          <w:rFonts w:ascii="Montserrat Medium" w:hAnsi="Montserrat Medium"/>
        </w:rPr>
        <w:t xml:space="preserve"> by IEEE in April 2020 of “</w:t>
      </w:r>
      <w:bookmarkStart w:id="3"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3"/>
      <w:r>
        <w:rPr>
          <w:rFonts w:ascii="Montserrat Medium" w:hAnsi="Montserrat Medium"/>
        </w:rPr>
        <w:t xml:space="preserve">. Discussion stimulated in this Work Item led to the development of PAR P802.1Qdq. </w:t>
      </w:r>
    </w:p>
    <w:p w14:paraId="42C23950" w14:textId="77777777" w:rsidR="006D604F" w:rsidRPr="00D575DF" w:rsidRDefault="006D604F" w:rsidP="006D604F">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7777777" w:rsidR="004A112A" w:rsidRPr="00EE2052" w:rsidRDefault="004A112A" w:rsidP="004A112A">
      <w:pPr>
        <w:spacing w:after="0" w:line="240" w:lineRule="auto"/>
        <w:rPr>
          <w:rFonts w:eastAsia="Times New Roman" w:cs="Calibri"/>
        </w:rPr>
      </w:pPr>
      <w:r w:rsidRPr="00EE2052">
        <w:rPr>
          <w:rFonts w:eastAsia="Times New Roman" w:cs="Calibri"/>
          <w:color w:val="FF0000"/>
        </w:rPr>
        <w:t xml:space="preserve">IC activities are chartered for two years at a time.  Activities are eligible for extension upon request and review by ICCom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Should an extension be required, please notify the ICCom Administrator prior to the two-year mark.</w:t>
      </w: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lastRenderedPageBreak/>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4"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4"/>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w:t>
        </w:r>
        <w:r w:rsidR="00BC31F2" w:rsidRPr="00EE2052">
          <w:rPr>
            <w:rStyle w:val="Hyperlink"/>
            <w:rFonts w:eastAsia="Times New Roman" w:cs="Calibri"/>
            <w:i/>
            <w:iCs/>
          </w:rPr>
          <w:t>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ICCom.</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lastRenderedPageBreak/>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5" w:name="_Ref326845286"/>
      <w:r w:rsidRPr="00EE2052">
        <w:rPr>
          <w:rFonts w:eastAsia="Times New Roman" w:cs="Calibri"/>
          <w:b/>
          <w:sz w:val="24"/>
          <w:szCs w:val="24"/>
          <w:u w:val="single"/>
        </w:rPr>
        <w:t>7.2 Activity Management</w:t>
      </w:r>
      <w:bookmarkEnd w:id="5"/>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6" w:name="_Ref326845329"/>
      <w:r w:rsidRPr="00EE2052">
        <w:rPr>
          <w:rFonts w:eastAsia="Times New Roman" w:cs="Calibri"/>
          <w:b/>
          <w:sz w:val="24"/>
          <w:szCs w:val="24"/>
          <w:u w:val="single"/>
        </w:rPr>
        <w:t>7.3 Procedures</w:t>
      </w:r>
      <w:bookmarkEnd w:id="6"/>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Working Group policies and procedures accepted by the Working Group’s Standards Committee.  If option (a) is chosen, then ICCom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ICCom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Nendica Report Development Process</w:t>
      </w:r>
    </w:p>
    <w:p w14:paraId="77C45BB8" w14:textId="3B294027" w:rsidR="002E6905" w:rsidRPr="00EE2052" w:rsidRDefault="007F4F6F" w:rsidP="007F4F6F">
      <w:pPr>
        <w:rPr>
          <w:rFonts w:cs="Calibri"/>
          <w:sz w:val="24"/>
          <w:szCs w:val="24"/>
        </w:rPr>
      </w:pPr>
      <w:r w:rsidRPr="007F4F6F">
        <w:rPr>
          <w:rFonts w:eastAsia="Times New Roman" w:cs="Calibri"/>
          <w:sz w:val="24"/>
          <w:szCs w:val="24"/>
        </w:rPr>
        <w:t>&lt;https://1.ieee802.org/802-nendica/ieee-802-nendica-procedures&gt;</w:t>
      </w: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 xml:space="preserve">Stakeholders identified to date include but are not limited </w:t>
      </w:r>
      <w:proofErr w:type="gramStart"/>
      <w:r w:rsidRPr="00A951F1">
        <w:rPr>
          <w:rFonts w:ascii="Montserrat Medium" w:hAnsi="Montserrat Medium"/>
        </w:rPr>
        <w:t>to:</w:t>
      </w:r>
      <w:proofErr w:type="gramEnd"/>
      <w:r w:rsidRPr="00A951F1">
        <w:rPr>
          <w:rFonts w:ascii="Montserrat Medium" w:hAnsi="Montserrat Medium"/>
        </w:rPr>
        <w:t xml:space="preserve">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lastRenderedPageBreak/>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Jessy Rouyer</w:t>
            </w:r>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Analog Devices, Inc.; Mitsubishi Electric Corporation; Phoenix Contact GmbH &amp; Co. KG; PROFIBUS Nutzerorganisation e.V.;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Lily Lv</w:t>
            </w:r>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 HPE, Huawei, Wyebot, UNH BCoE,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Dieter Proell</w:t>
            </w:r>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7" w:name="_Hlk77226733"/>
            <w:r w:rsidRPr="007F4F6F">
              <w:rPr>
                <w:rFonts w:asciiTheme="minorHAnsi" w:hAnsiTheme="minorHAnsi" w:cstheme="minorHAnsi"/>
                <w:sz w:val="18"/>
              </w:rPr>
              <w:t>Siemens AG</w:t>
            </w:r>
            <w:bookmarkEnd w:id="7"/>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Ramesh Sivakolundu</w:t>
            </w:r>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8" w:name="_Hlk77226821"/>
            <w:r w:rsidRPr="007F4F6F">
              <w:rPr>
                <w:rFonts w:asciiTheme="minorHAnsi" w:hAnsiTheme="minorHAnsi" w:cstheme="minorHAnsi"/>
                <w:sz w:val="18"/>
                <w:szCs w:val="18"/>
              </w:rPr>
              <w:t>TSN Systems</w:t>
            </w:r>
            <w:bookmarkEnd w:id="8"/>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bl>
    <w:p w14:paraId="67E13B7F" w14:textId="77777777" w:rsidR="00C74924" w:rsidRPr="00EE2052" w:rsidRDefault="00C74924" w:rsidP="00C74924">
      <w:pPr>
        <w:spacing w:after="0" w:line="240" w:lineRule="auto"/>
        <w:rPr>
          <w:rFonts w:eastAsia="Times New Roman" w:cs="Calibri"/>
          <w:sz w:val="24"/>
          <w:szCs w:val="24"/>
        </w:rPr>
      </w:pPr>
    </w:p>
    <w:p w14:paraId="46B45E63" w14:textId="77777777"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lastRenderedPageBreak/>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r w:rsidRPr="00EE2052">
        <w:rPr>
          <w:rFonts w:eastAsia="Times New Roman" w:cs="Calibri"/>
          <w:sz w:val="24"/>
          <w:szCs w:val="24"/>
          <w:highlight w:val="lightGray"/>
        </w:rPr>
        <w:t>who@where</w:t>
      </w:r>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3C3D" w14:textId="77777777" w:rsidR="00752E27" w:rsidRDefault="00752E27" w:rsidP="002E6905">
      <w:pPr>
        <w:spacing w:after="0" w:line="240" w:lineRule="auto"/>
      </w:pPr>
      <w:r>
        <w:separator/>
      </w:r>
    </w:p>
  </w:endnote>
  <w:endnote w:type="continuationSeparator" w:id="0">
    <w:p w14:paraId="79212C5F" w14:textId="77777777" w:rsidR="00752E27" w:rsidRDefault="00752E27"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C363" w14:textId="77777777" w:rsidR="00BE454E" w:rsidRDefault="00BE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136" w14:textId="77777777" w:rsidR="00BE454E" w:rsidRDefault="00BE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1776" w14:textId="77777777" w:rsidR="00752E27" w:rsidRDefault="00752E27" w:rsidP="002E6905">
      <w:pPr>
        <w:spacing w:after="0" w:line="240" w:lineRule="auto"/>
      </w:pPr>
      <w:r>
        <w:separator/>
      </w:r>
    </w:p>
  </w:footnote>
  <w:footnote w:type="continuationSeparator" w:id="0">
    <w:p w14:paraId="453EBA54" w14:textId="77777777" w:rsidR="00752E27" w:rsidRDefault="00752E27"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A4D" w14:textId="77777777" w:rsidR="00BE454E" w:rsidRDefault="00BE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058C" w14:textId="77777777" w:rsidR="00BE454E" w:rsidRDefault="00BE4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438FD"/>
    <w:rsid w:val="00156120"/>
    <w:rsid w:val="001A0575"/>
    <w:rsid w:val="001C1C5A"/>
    <w:rsid w:val="00270402"/>
    <w:rsid w:val="002C7151"/>
    <w:rsid w:val="002E40D3"/>
    <w:rsid w:val="002E6905"/>
    <w:rsid w:val="003443BD"/>
    <w:rsid w:val="0035075D"/>
    <w:rsid w:val="003520D2"/>
    <w:rsid w:val="00382DB7"/>
    <w:rsid w:val="0038342F"/>
    <w:rsid w:val="00383858"/>
    <w:rsid w:val="003B6FF0"/>
    <w:rsid w:val="003D72F7"/>
    <w:rsid w:val="0041299A"/>
    <w:rsid w:val="0041696E"/>
    <w:rsid w:val="004565E1"/>
    <w:rsid w:val="004A112A"/>
    <w:rsid w:val="004A77F1"/>
    <w:rsid w:val="004C4E72"/>
    <w:rsid w:val="004C5FEA"/>
    <w:rsid w:val="00502A98"/>
    <w:rsid w:val="00517E21"/>
    <w:rsid w:val="00531B8E"/>
    <w:rsid w:val="00562FD4"/>
    <w:rsid w:val="00576740"/>
    <w:rsid w:val="005955BE"/>
    <w:rsid w:val="005E2FE9"/>
    <w:rsid w:val="0063429E"/>
    <w:rsid w:val="006616CC"/>
    <w:rsid w:val="00695B6A"/>
    <w:rsid w:val="006D1979"/>
    <w:rsid w:val="006D604F"/>
    <w:rsid w:val="00726D14"/>
    <w:rsid w:val="00751424"/>
    <w:rsid w:val="00752E27"/>
    <w:rsid w:val="007671E2"/>
    <w:rsid w:val="007812BB"/>
    <w:rsid w:val="00797BB0"/>
    <w:rsid w:val="007F4F6F"/>
    <w:rsid w:val="00812BDC"/>
    <w:rsid w:val="00876E86"/>
    <w:rsid w:val="008A71AF"/>
    <w:rsid w:val="009137DA"/>
    <w:rsid w:val="0098297A"/>
    <w:rsid w:val="00994CB7"/>
    <w:rsid w:val="00A43266"/>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4774"/>
    <w:rsid w:val="00CB5BF6"/>
    <w:rsid w:val="00CF0EE5"/>
    <w:rsid w:val="00D4481D"/>
    <w:rsid w:val="00D63022"/>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23" Type="http://schemas.openxmlformats.org/officeDocument/2006/relationships/theme" Target="theme/theme1.xml"/><Relationship Id="rId10" Type="http://schemas.openxmlformats.org/officeDocument/2006/relationships/hyperlink" Target="mailto:p.nikolich@iee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 Letterhead no address (1).dotx</Template>
  <TotalTime>7</TotalTime>
  <Pages>7</Pages>
  <Words>2100</Words>
  <Characters>12670</Characters>
  <Application>Microsoft Office Word</Application>
  <DocSecurity>0</DocSecurity>
  <Lines>372</Lines>
  <Paragraphs>205</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14565</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Rosalinda Saravia</cp:lastModifiedBy>
  <cp:revision>4</cp:revision>
  <cp:lastPrinted>2019-10-01T14:16:00Z</cp:lastPrinted>
  <dcterms:created xsi:type="dcterms:W3CDTF">2023-04-03T22:00:00Z</dcterms:created>
  <dcterms:modified xsi:type="dcterms:W3CDTF">2023-04-03T22:17:00Z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